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商之器（PACS）整合需求訪談大綱</w:t>
      </w:r>
    </w:p>
    <w:p>
      <w:pPr>
        <w:jc w:val="center"/>
      </w:pPr>
      <w:r>
        <w:rPr>
          <w:rFonts w:eastAsia="標楷體"/>
          <w:rFonts w:ascii="標楷體" w:hAnsi="標楷體"/>
          <w:b w:val="0"/>
          <w:color w:val="646464"/>
          <w:sz w:val="22"/>
        </w:rPr>
        <w:t>日期：2026 年 4 月 __ 日　　受訪對象：商之器科技（EBM Technologies）</w:t>
      </w:r>
    </w:p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一、對現有 AI 廠商的整合能力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問題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商之器是否有整合 Lunit、長佳智能、倍智醫電、Perfusion AI 的實際經驗？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評估整合難度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衍生檔案格式（SR / PR / DICOM Secondary Capture）接收規範為何？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確認技術相容性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若廠商格式不符，是否提供轉換機制或 Middleware？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評估額外成本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是否支援多廠商 AI 結果統一儲存於同一 PACS？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確認核心需求</w:t>
            </w:r>
          </w:p>
        </w:tc>
      </w:tr>
    </w:tbl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二、工作列表（Worklist）管理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問題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支援哪些排序條件？（急診/門診、檢查類型、AI 陽性標記、身分識別）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評估臨床適用性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能否根據 AI 判讀結果自動調整報告優先順序？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評估智能化程度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與現有 RIS（放射科資訊系統）的整合方式？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確認系統相容性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是否支援自訂排序規則？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評估彈性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工作列表能否區分「AI 已處理」與「待 AI 處理」的案件？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評估流程透明度</w:t>
            </w:r>
          </w:p>
        </w:tc>
      </w:tr>
    </w:tbl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三、資料所有權與遷移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問題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舊 PACS（銳紡或現有系統）的資料如何遷移？時程多久？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評估專案時程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影像資料的擁有權歸屬——醫院還是商之器？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法務與合約條款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遷移過程中，AI 衍生檔案如何一併移轉並保持關聯性？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確認資料完整性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是否支援分階段遷移（先影像、再 AI 結果）？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降低切換風險</w:t>
            </w:r>
          </w:p>
        </w:tc>
      </w:tr>
    </w:tbl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四、實際整合案例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問題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是否有類似本院規模（多 AI 廠商共存）的成功案例？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評估實務經驗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從簽約到全系統上線，估計時程多久？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設定專案預期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整合過程中，醫院端需要派多少人支援？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評估内部資源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是否有上線後的效能基準可供參考（如每小時處理量、並行人數）？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確認系統能力</w:t>
            </w:r>
          </w:p>
        </w:tc>
      </w:tr>
    </w:tbl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五、售後服務與維運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問題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是否提供 dedicated support engineer？還是一般客服？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評估服務品質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SLA 是什麼？（回應時間、到場時間）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確認維運保障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未來若有新 AI 廠商要加入，整合流程是什麼？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評估擴充性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系統升級頻率？是否需要額外付費？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長期成本評估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是否有在地技術團隊（台灣）？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確認支援能力</w:t>
            </w:r>
          </w:p>
        </w:tc>
      </w:tr>
    </w:tbl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六、報價與商業條款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問題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標楷體"/>
                <w:rFonts w:ascii="標楷體" w:hAnsi="標楷體"/>
                <w:b/>
                <w:sz w:val="22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報價是否含系統建置、訓練、遷移？還是分開計算？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完整成本評估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每年維運費用（MA）大約多少？是否有漲幅上限？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長期成本預測</w:t>
            </w:r>
          </w:p>
        </w:tc>
      </w:tr>
      <w:tr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是否有先導計畫（Pilot）或分期付款選項？</w:t>
            </w:r>
          </w:p>
        </w:tc>
        <w:tc>
          <w:tcPr>
            <w:tcW w:type="dxa" w:w="4320"/>
          </w:tcPr>
          <w:p>
            <w:r>
              <w:rPr>
                <w:rFonts w:eastAsia="標楷體"/>
                <w:rFonts w:ascii="標楷體" w:hAnsi="標楷體"/>
                <w:b w:val="0"/>
                <w:sz w:val="22"/>
              </w:rPr>
              <w:t>降低採購風險</w:t>
            </w:r>
          </w:p>
        </w:tc>
      </w:tr>
    </w:tbl>
    <w:p/>
    <w:p>
      <w:pPr>
        <w:pStyle w:val="Heading1"/>
      </w:pPr>
      <w:r>
        <w:rPr>
          <w:rFonts w:eastAsia="標楷體"/>
          <w:rFonts w:ascii="標楷體" w:hAnsi="標楷體"/>
          <w:b/>
          <w:sz w:val="28"/>
        </w:rPr>
        <w:t>附錄：現有 AI 架構參考</w:t>
      </w:r>
    </w:p>
    <w:p>
      <w:r>
        <w:rPr>
          <w:rFonts w:eastAsia="標楷體"/>
          <w:rFonts w:ascii="標楷體" w:hAnsi="標楷體"/>
          <w:b w:val="0"/>
          <w:sz w:val="22"/>
        </w:rPr>
        <w:t>目前本院 AI 處理架構如下：</w:t>
        <w:br/>
        <w:br/>
      </w:r>
    </w:p>
    <w:p>
      <w:pPr>
        <w:ind w:left="720"/>
      </w:pPr>
      <w:r>
        <w:rPr>
          <w:rFonts w:ascii="Courier New" w:hAnsi="Courier New"/>
          <w:sz w:val="20"/>
        </w:rPr>
        <w:t>CT / CTA / CXR</w:t>
        <w:br/>
        <w:t xml:space="preserve">    ↓</w:t>
        <w:br/>
        <w:t>[統一 PACS]</w:t>
        <w:br/>
        <w:t xml:space="preserve">    ↓</w:t>
        <w:br/>
        <w:t>┌─────────────────────────────────────┐</w:t>
        <w:br/>
        <w:t>│  AI 運算主機                        │</w:t>
        <w:br/>
        <w:t>│  ├── Lunit（自動分流）→ SR/PR 回傳  │</w:t>
        <w:br/>
        <w:t>│  ├── 長佳智能 → 衍生影像回傳        │</w:t>
        <w:br/>
        <w:t>│  ├── 倍智醫電 → 衍生影像回傳        │</w:t>
        <w:br/>
        <w:t>│  └── Perfusion AI → 衍生影像回傳    │</w:t>
        <w:br/>
        <w:t>└─────────────────────────────────────┘</w:t>
        <w:br/>
        <w:t xml:space="preserve">    ↓</w:t>
        <w:br/>
        <w:t>統一工作列表（目標）</w:t>
      </w:r>
    </w:p>
    <w:p/>
    <w:p>
      <w:r>
        <w:rPr>
          <w:rFonts w:eastAsia="標楷體"/>
          <w:rFonts w:ascii="標楷體" w:hAnsi="標楷體"/>
          <w:b w:val="0"/>
          <w:color w:val="960000"/>
          <w:sz w:val="22"/>
        </w:rPr>
        <w:t>備註：請於會議中請求商之器提供類似的醫學中心案例，以及整合時間軸估算。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