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31" w:rsidRPr="00A96131" w:rsidRDefault="00A96131" w:rsidP="00A96131">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w:t>
      </w:r>
      <w:bookmarkStart w:id="0" w:name="_GoBack"/>
      <w:bookmarkEnd w:id="0"/>
      <w:r w:rsidRPr="00A96131">
        <w:rPr>
          <w:rFonts w:ascii="Century Schoolbook" w:hAnsi="Century Schoolbook" w:cs="Arial"/>
          <w:i w:val="0"/>
          <w:color w:val="auto"/>
          <w:sz w:val="24"/>
          <w:szCs w:val="24"/>
          <w:lang w:val="en-GB"/>
        </w:rPr>
        <w:t xml:space="preserve">ling stations of settling material and sediments in the metropolitan coastal area of the Rio de la Plata estuary, near Buenos Aires main sewer (BA) and at a northern site in the Uruguay River (N). </w:t>
      </w:r>
    </w:p>
    <w:p w:rsidR="00A96131" w:rsidRPr="00A96131" w:rsidRDefault="00A96131" w:rsidP="00A96131">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rsidR="00A96131" w:rsidRPr="00A96131" w:rsidRDefault="00A96131" w:rsidP="00A96131">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rsidR="00A96131" w:rsidRPr="00A96131" w:rsidRDefault="00A96131" w:rsidP="00A96131">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w:t>
      </w:r>
      <w:proofErr w:type="spellStart"/>
      <w:r w:rsidRPr="00A96131">
        <w:rPr>
          <w:rFonts w:ascii="Century Schoolbook" w:hAnsi="Century Schoolbook" w:cs="Arial"/>
          <w:i w:val="0"/>
          <w:color w:val="000000" w:themeColor="text1"/>
          <w:sz w:val="24"/>
          <w:szCs w:val="24"/>
          <w:lang w:val="en-GB"/>
        </w:rPr>
        <w:t>fecal</w:t>
      </w:r>
      <w:proofErr w:type="spellEnd"/>
      <w:r w:rsidRPr="00A96131">
        <w:rPr>
          <w:rFonts w:ascii="Century Schoolbook" w:hAnsi="Century Schoolbook" w:cs="Arial"/>
          <w:i w:val="0"/>
          <w:color w:val="000000" w:themeColor="text1"/>
          <w:sz w:val="24"/>
          <w:szCs w:val="24"/>
          <w:lang w:val="en-GB"/>
        </w:rPr>
        <w:t xml:space="preserve"> sterols, </w:t>
      </w:r>
      <w:proofErr w:type="spellStart"/>
      <w:r w:rsidRPr="00A96131">
        <w:rPr>
          <w:rFonts w:ascii="Century Schoolbook" w:hAnsi="Century Schoolbook" w:cs="Arial"/>
          <w:i w:val="0"/>
          <w:color w:val="000000" w:themeColor="text1"/>
          <w:sz w:val="24"/>
          <w:szCs w:val="24"/>
          <w:lang w:val="en-GB"/>
        </w:rPr>
        <w:t>phytosterols</w:t>
      </w:r>
      <w:proofErr w:type="spellEnd"/>
      <w:r w:rsidRPr="00A96131">
        <w:rPr>
          <w:rFonts w:ascii="Century Schoolbook" w:hAnsi="Century Schoolbook" w:cs="Arial"/>
          <w:i w:val="0"/>
          <w:color w:val="000000" w:themeColor="text1"/>
          <w:sz w:val="24"/>
          <w:szCs w:val="24"/>
          <w:lang w:val="en-GB"/>
        </w:rPr>
        <w:t xml:space="preserve"> and other sterols. Bar graphs show individual sterols concentrations, in a dry weight basis (note the logarithmic scale). </w:t>
      </w:r>
    </w:p>
    <w:p w:rsidR="00A96131" w:rsidRPr="00A96131" w:rsidRDefault="00A96131" w:rsidP="00A96131">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lastRenderedPageBreak/>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 xml:space="preserve">Box plots of different sterol ratios from Buenos Aires (black) and North (grey) in settling material (filled boxes) and sediment (open boxes). </w:t>
      </w:r>
      <w:proofErr w:type="spellStart"/>
      <w:r w:rsidRPr="00A96131">
        <w:rPr>
          <w:rFonts w:ascii="Century Schoolbook" w:hAnsi="Century Schoolbook" w:cs="Arial"/>
          <w:i w:val="0"/>
          <w:color w:val="auto"/>
          <w:sz w:val="24"/>
          <w:szCs w:val="24"/>
          <w:lang w:val="en-GB"/>
        </w:rPr>
        <w:t>Copr</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epiCop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proofErr w:type="gramStart"/>
      <w:r w:rsidRPr="00A96131">
        <w:rPr>
          <w:rFonts w:ascii="Century Schoolbook" w:hAnsi="Century Schoolbook" w:cs="Arial"/>
          <w:i w:val="0"/>
          <w:color w:val="auto"/>
          <w:sz w:val="24"/>
          <w:szCs w:val="24"/>
          <w:lang w:val="en-GB"/>
        </w:rPr>
        <w:t>/(</w:t>
      </w:r>
      <w:proofErr w:type="spellStart"/>
      <w:proofErr w:type="gramEnd"/>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epicoprostanol), Cop/</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β-</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/(β-</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Chnol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Chrol</w:t>
      </w:r>
      <w:proofErr w:type="spellEnd"/>
      <w:r w:rsidRPr="00A96131">
        <w:rPr>
          <w:rFonts w:ascii="Century Schoolbook" w:hAnsi="Century Schoolbook" w:cs="Arial"/>
          <w:i w:val="0"/>
          <w:color w:val="auto"/>
          <w:sz w:val="24"/>
          <w:szCs w:val="24"/>
          <w:lang w:val="en-GB"/>
        </w:rPr>
        <w:t xml:space="preserve">: cholesterol/(cholesterol + </w:t>
      </w:r>
      <w:proofErr w:type="spellStart"/>
      <w:r w:rsidRPr="00A96131">
        <w:rPr>
          <w:rFonts w:ascii="Century Schoolbook" w:hAnsi="Century Schoolbook" w:cs="Arial"/>
          <w:i w:val="0"/>
          <w:color w:val="auto"/>
          <w:sz w:val="24"/>
          <w:szCs w:val="24"/>
          <w:lang w:val="en-GB"/>
        </w:rPr>
        <w:t>cholestanol</w:t>
      </w:r>
      <w:proofErr w:type="spellEnd"/>
      <w:r w:rsidRPr="00A96131">
        <w:rPr>
          <w:rFonts w:ascii="Century Schoolbook" w:hAnsi="Century Schoolbook" w:cs="Arial"/>
          <w:i w:val="0"/>
          <w:color w:val="auto"/>
          <w:sz w:val="24"/>
          <w:szCs w:val="24"/>
          <w:lang w:val="en-GB"/>
        </w:rPr>
        <w:t>) All ratios were significantly different between Buenos Aires and North (</w:t>
      </w:r>
      <w:r w:rsidRPr="00A96131">
        <w:rPr>
          <w:rFonts w:ascii="Century Schoolbook" w:hAnsi="Century Schoolbook" w:cs="Arial"/>
          <w:color w:val="auto"/>
          <w:sz w:val="24"/>
          <w:szCs w:val="24"/>
          <w:lang w:val="en-GB"/>
        </w:rPr>
        <w:t>p</w:t>
      </w:r>
      <w:r w:rsidRPr="00A96131">
        <w:rPr>
          <w:rFonts w:ascii="Century Schoolbook" w:hAnsi="Century Schoolbook" w:cs="Arial"/>
          <w:i w:val="0"/>
          <w:color w:val="auto"/>
          <w:sz w:val="24"/>
          <w:szCs w:val="24"/>
          <w:lang w:val="en-GB"/>
        </w:rPr>
        <w:t>&lt;0.0001).</w:t>
      </w:r>
    </w:p>
    <w:p w:rsidR="00A96131" w:rsidRPr="00A96131" w:rsidRDefault="00A96131" w:rsidP="00A96131">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rsidR="00A96131" w:rsidRPr="00A96131" w:rsidRDefault="00A96131" w:rsidP="00A96131">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BA (upper panel) and N (bottom panel). Horizontal dotted lines indicate accumulation efficiency of total sterols. Minor sterols (&lt;1% of total sterols) were excluded from calculations.</w:t>
      </w:r>
    </w:p>
    <w:p w:rsidR="00DA116A" w:rsidRPr="00A96131" w:rsidRDefault="00DA116A" w:rsidP="00A96131">
      <w:pPr>
        <w:spacing w:line="480" w:lineRule="auto"/>
        <w:rPr>
          <w:rFonts w:ascii="Century Schoolbook" w:hAnsi="Century Schoolbook"/>
          <w:sz w:val="24"/>
          <w:szCs w:val="24"/>
          <w:lang w:val="en-US"/>
        </w:rPr>
      </w:pPr>
    </w:p>
    <w:sectPr w:rsidR="00DA116A" w:rsidRPr="00A96131" w:rsidSect="00A96131">
      <w:pgSz w:w="12240" w:h="15840"/>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31"/>
    <w:rsid w:val="0009647D"/>
    <w:rsid w:val="00961976"/>
    <w:rsid w:val="00A96131"/>
    <w:rsid w:val="00AF2E64"/>
    <w:rsid w:val="00B47855"/>
    <w:rsid w:val="00DA11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7CE19-8FC1-4583-92CC-84FE3086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961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cp:revision>
  <dcterms:created xsi:type="dcterms:W3CDTF">2017-05-11T02:23:00Z</dcterms:created>
  <dcterms:modified xsi:type="dcterms:W3CDTF">2017-05-11T03:07:00Z</dcterms:modified>
</cp:coreProperties>
</file>