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start"/>
        <w:rPr/>
      </w:pPr>
      <w:r>
        <w:rPr>
          <w:rStyle w:val="Strong"/>
          <w:b/>
          <w:bCs/>
        </w:rPr>
        <w:tab/>
        <w:tab/>
      </w:r>
      <w:r>
        <w:rPr>
          <w:rStyle w:val="Strong"/>
          <w:rFonts w:ascii="Times New Roman" w:hAnsi="Times New Roman"/>
          <w:b/>
          <w:bCs/>
        </w:rPr>
        <w:t>AWS IAM Permissions Risk Assessment &amp; Remediation Report</w:t>
      </w:r>
    </w:p>
    <w:p>
      <w:pPr>
        <w:pStyle w:val="BodyText"/>
        <w:numPr>
          <w:ilvl w:val="0"/>
          <w:numId w:val="1"/>
        </w:numPr>
        <w:tabs>
          <w:tab w:val="left" w:pos="709" w:leader="none"/>
        </w:tabs>
        <w:bidi w:val="0"/>
        <w:ind w:hanging="283" w:start="709"/>
        <w:jc w:val="start"/>
        <w:rPr/>
      </w:pPr>
      <w:r>
        <w:rPr>
          <w:rStyle w:val="Strong"/>
          <w:rFonts w:ascii="Times New Roman" w:hAnsi="Times New Roman"/>
        </w:rPr>
        <w:t>Executive Summary</w:t>
      </w:r>
    </w:p>
    <w:p>
      <w:pPr>
        <w:pStyle w:val="BodyText"/>
        <w:numPr>
          <w:ilvl w:val="0"/>
          <w:numId w:val="0"/>
        </w:numPr>
        <w:tabs>
          <w:tab w:val="clear" w:pos="709"/>
          <w:tab w:val="left" w:pos="1418" w:leader="none"/>
        </w:tabs>
        <w:bidi w:val="0"/>
        <w:spacing w:lineRule="auto" w:line="240"/>
        <w:ind w:hanging="0" w:start="1418"/>
        <w:jc w:val="start"/>
        <w:rPr/>
      </w:pPr>
      <w:r>
        <w:rPr>
          <w:rFonts w:ascii="Times New Roman" w:hAnsi="Times New Roman"/>
        </w:rPr>
        <w:t xml:space="preserve">StartupCo, a rapidly growing startup, recently launched their first offer, a fitness tracking application.  In order to meet launch deadlines they bypassed foundational cloud security practices including, a lack of IAM configuration, no MFA, shared root access and inadequate credential management.   </w:t>
      </w:r>
    </w:p>
    <w:p>
      <w:pPr>
        <w:pStyle w:val="BodyText"/>
        <w:tabs>
          <w:tab w:val="clear" w:pos="709"/>
          <w:tab w:val="left" w:pos="1418" w:leader="none"/>
        </w:tabs>
        <w:bidi w:val="0"/>
        <w:spacing w:lineRule="auto" w:line="240"/>
        <w:ind w:hanging="0" w:start="1418"/>
        <w:jc w:val="start"/>
        <w:rPr/>
      </w:pPr>
      <w:r>
        <w:rPr>
          <w:rFonts w:ascii="Times New Roman" w:hAnsi="Times New Roman"/>
        </w:rPr>
        <w:t xml:space="preserve">This report identifies key security risks and outlines remediation efforts to bring the company’s environment up to industry standards while still supporting future scalability.  </w:t>
      </w:r>
    </w:p>
    <w:p>
      <w:pPr>
        <w:pStyle w:val="BodyText"/>
        <w:numPr>
          <w:ilvl w:val="0"/>
          <w:numId w:val="1"/>
        </w:numPr>
        <w:tabs>
          <w:tab w:val="left" w:pos="709" w:leader="none"/>
        </w:tabs>
        <w:bidi w:val="0"/>
        <w:spacing w:lineRule="auto" w:line="240"/>
        <w:ind w:hanging="283" w:start="709"/>
        <w:jc w:val="start"/>
        <w:rPr/>
      </w:pPr>
      <w:r>
        <w:rPr>
          <w:rStyle w:val="Strong"/>
          <w:rFonts w:ascii="Times New Roman" w:hAnsi="Times New Roman"/>
        </w:rPr>
        <w:t>Scope</w:t>
      </w:r>
    </w:p>
    <w:p>
      <w:pPr>
        <w:pStyle w:val="BodyText"/>
        <w:numPr>
          <w:ilvl w:val="0"/>
          <w:numId w:val="0"/>
        </w:numPr>
        <w:tabs>
          <w:tab w:val="clear" w:pos="709"/>
          <w:tab w:val="left" w:pos="1418" w:leader="none"/>
        </w:tabs>
        <w:bidi w:val="0"/>
        <w:spacing w:lineRule="auto" w:line="240"/>
        <w:ind w:hanging="0" w:start="1418"/>
        <w:jc w:val="start"/>
        <w:rPr/>
      </w:pPr>
      <w:r>
        <w:rPr>
          <w:rFonts w:ascii="Times New Roman" w:hAnsi="Times New Roman"/>
        </w:rPr>
        <w:t>This assessment focused on StartupCo’s primary AWS account used to host their production and development environments.  Items in scope:</w:t>
      </w:r>
    </w:p>
    <w:p>
      <w:pPr>
        <w:pStyle w:val="BodyText"/>
        <w:numPr>
          <w:ilvl w:val="0"/>
          <w:numId w:val="0"/>
        </w:numPr>
        <w:tabs>
          <w:tab w:val="clear" w:pos="709"/>
          <w:tab w:val="left" w:pos="1418" w:leader="none"/>
        </w:tabs>
        <w:bidi w:val="0"/>
        <w:spacing w:lineRule="auto" w:line="240"/>
        <w:ind w:hanging="0" w:start="1418"/>
        <w:jc w:val="start"/>
        <w:rPr/>
      </w:pPr>
      <w:r>
        <w:rPr>
          <w:rFonts w:ascii="Times New Roman" w:hAnsi="Times New Roman"/>
          <w:i/>
          <w:iCs/>
        </w:rPr>
        <w:t xml:space="preserve">AWS Root Account – </w:t>
      </w:r>
      <w:r>
        <w:rPr>
          <w:rFonts w:ascii="Times New Roman" w:hAnsi="Times New Roman"/>
          <w:i w:val="false"/>
          <w:iCs w:val="false"/>
        </w:rPr>
        <w:t xml:space="preserve">Evaluation of usage practices, access management and credential handling. </w:t>
      </w:r>
    </w:p>
    <w:p>
      <w:pPr>
        <w:pStyle w:val="BodyText"/>
        <w:numPr>
          <w:ilvl w:val="0"/>
          <w:numId w:val="0"/>
        </w:numPr>
        <w:tabs>
          <w:tab w:val="clear" w:pos="709"/>
          <w:tab w:val="left" w:pos="1418" w:leader="none"/>
        </w:tabs>
        <w:bidi w:val="0"/>
        <w:spacing w:lineRule="auto" w:line="240"/>
        <w:ind w:hanging="0" w:start="1418"/>
        <w:jc w:val="start"/>
        <w:rPr/>
      </w:pPr>
      <w:r>
        <w:rPr>
          <w:rFonts w:ascii="Times New Roman" w:hAnsi="Times New Roman"/>
          <w:i/>
          <w:iCs/>
        </w:rPr>
        <w:t xml:space="preserve">IAM Configuration – </w:t>
      </w:r>
      <w:r>
        <w:rPr>
          <w:rFonts w:ascii="Times New Roman" w:hAnsi="Times New Roman"/>
          <w:i w:val="false"/>
          <w:iCs w:val="false"/>
        </w:rPr>
        <w:t>Review of user and group roles and their associated policies.</w:t>
      </w:r>
    </w:p>
    <w:p>
      <w:pPr>
        <w:pStyle w:val="BodyText"/>
        <w:numPr>
          <w:ilvl w:val="0"/>
          <w:numId w:val="0"/>
        </w:numPr>
        <w:tabs>
          <w:tab w:val="clear" w:pos="709"/>
          <w:tab w:val="left" w:pos="1418" w:leader="none"/>
        </w:tabs>
        <w:bidi w:val="0"/>
        <w:spacing w:lineRule="auto" w:line="240"/>
        <w:ind w:hanging="0" w:start="1418"/>
        <w:jc w:val="start"/>
        <w:rPr/>
      </w:pPr>
      <w:r>
        <w:rPr>
          <w:rFonts w:ascii="Times New Roman" w:hAnsi="Times New Roman"/>
          <w:i/>
          <w:iCs/>
        </w:rPr>
        <w:t xml:space="preserve">Key AWS Services in Use – </w:t>
      </w:r>
      <w:r>
        <w:rPr>
          <w:rFonts w:ascii="Times New Roman" w:hAnsi="Times New Roman"/>
          <w:i w:val="false"/>
          <w:iCs w:val="false"/>
        </w:rPr>
        <w:t xml:space="preserve">EC2 instances used to host their application, S3 buckets where customer and application data is stored, RDS instance where user information is stored, and CloudWatch – used for application and infrastructure monitoring. </w:t>
      </w:r>
    </w:p>
    <w:p>
      <w:pPr>
        <w:pStyle w:val="BodyText"/>
        <w:numPr>
          <w:ilvl w:val="0"/>
          <w:numId w:val="0"/>
        </w:numPr>
        <w:tabs>
          <w:tab w:val="clear" w:pos="709"/>
          <w:tab w:val="left" w:pos="1418" w:leader="none"/>
        </w:tabs>
        <w:bidi w:val="0"/>
        <w:spacing w:lineRule="auto" w:line="240"/>
        <w:ind w:hanging="0" w:start="1418"/>
        <w:jc w:val="start"/>
        <w:rPr/>
      </w:pPr>
      <w:r>
        <w:rPr>
          <w:rFonts w:ascii="Times New Roman" w:hAnsi="Times New Roman"/>
          <w:i/>
          <w:iCs/>
        </w:rPr>
        <w:t>User Groups Assessed –</w:t>
      </w:r>
      <w:r>
        <w:rPr>
          <w:rFonts w:ascii="Times New Roman" w:hAnsi="Times New Roman"/>
          <w:i w:val="false"/>
          <w:iCs w:val="false"/>
        </w:rPr>
        <w:t xml:space="preserve"> Developers (4 members), Operations (2 members), Finance (1 member), and Data Analyst (3 members).    </w:t>
      </w:r>
    </w:p>
    <w:p>
      <w:pPr>
        <w:pStyle w:val="BodyText"/>
        <w:tabs>
          <w:tab w:val="clear" w:pos="709"/>
          <w:tab w:val="left" w:pos="1418" w:leader="none"/>
        </w:tabs>
        <w:bidi w:val="0"/>
        <w:spacing w:lineRule="auto" w:line="240"/>
        <w:ind w:hanging="0" w:start="1418"/>
        <w:jc w:val="start"/>
        <w:rPr/>
      </w:pPr>
      <w:r>
        <w:rPr>
          <w:rFonts w:ascii="Times New Roman" w:hAnsi="Times New Roman"/>
          <w:i w:val="false"/>
          <w:iCs w:val="false"/>
        </w:rPr>
        <w:t xml:space="preserve">This report does not include third-party integrations, CI/CD pipelines, or non-AWS systems unless they directly impact IAM configurations or access controls within the AWS environment.  </w:t>
      </w:r>
    </w:p>
    <w:p>
      <w:pPr>
        <w:pStyle w:val="BodyText"/>
        <w:tabs>
          <w:tab w:val="clear" w:pos="709"/>
          <w:tab w:val="left" w:pos="1418" w:leader="none"/>
        </w:tabs>
        <w:bidi w:val="0"/>
        <w:spacing w:lineRule="auto" w:line="240"/>
        <w:ind w:hanging="0" w:start="1418"/>
        <w:jc w:val="start"/>
        <w:rPr/>
      </w:pPr>
      <w:r>
        <w:rPr/>
      </w:r>
    </w:p>
    <w:p>
      <w:pPr>
        <w:pStyle w:val="BodyText"/>
        <w:numPr>
          <w:ilvl w:val="0"/>
          <w:numId w:val="1"/>
        </w:numPr>
        <w:tabs>
          <w:tab w:val="left" w:pos="709" w:leader="none"/>
        </w:tabs>
        <w:bidi w:val="0"/>
        <w:ind w:hanging="283" w:start="709"/>
        <w:jc w:val="start"/>
        <w:rPr/>
      </w:pPr>
      <w:r>
        <w:rPr>
          <w:rStyle w:val="Strong"/>
          <w:rFonts w:ascii="Times New Roman" w:hAnsi="Times New Roman"/>
        </w:rPr>
        <w:t>Findings</w:t>
      </w:r>
    </w:p>
    <w:p>
      <w:pPr>
        <w:pStyle w:val="BodyText"/>
        <w:tabs>
          <w:tab w:val="clear" w:pos="709"/>
          <w:tab w:val="left" w:pos="1418" w:leader="none"/>
        </w:tabs>
        <w:bidi w:val="0"/>
        <w:ind w:hanging="283" w:start="1418"/>
        <w:jc w:val="start"/>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posOffset>341630</wp:posOffset>
            </wp:positionH>
            <wp:positionV relativeFrom="paragraph">
              <wp:posOffset>-71755</wp:posOffset>
            </wp:positionV>
            <wp:extent cx="5611495" cy="19837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611495" cy="1983740"/>
                    </a:xfrm>
                    <a:prstGeom prst="rect">
                      <a:avLst/>
                    </a:prstGeom>
                  </pic:spPr>
                </pic:pic>
              </a:graphicData>
            </a:graphic>
          </wp:anchor>
        </w:drawing>
      </w:r>
    </w:p>
    <w:p>
      <w:pPr>
        <w:pStyle w:val="BodyText"/>
        <w:tabs>
          <w:tab w:val="clear" w:pos="709"/>
          <w:tab w:val="left" w:pos="1418" w:leader="none"/>
        </w:tabs>
        <w:bidi w:val="0"/>
        <w:spacing w:lineRule="auto" w:line="240"/>
        <w:ind w:hanging="283" w:start="1418"/>
        <w:jc w:val="start"/>
        <w:rPr/>
      </w:pPr>
      <w:r>
        <w:rPr>
          <w:rFonts w:ascii="Times New Roman" w:hAnsi="Times New Roman"/>
        </w:rPr>
        <w:t xml:space="preserve">The table above is a traffic light risk assessment used to plainly represent the severity of each vulnerability present in StartupCo’s environment.   </w:t>
      </w:r>
      <w:r>
        <w:rPr>
          <w:rFonts w:ascii="Times New Roman" w:hAnsi="Times New Roman"/>
        </w:rPr>
        <w:t xml:space="preserve">The root account provides a major attack surface, the lack of MFA puts credentials at risk of compromise, and the overly permissive IAM policies go against the principle of least privilege.  This lack of policies also represents a lack of configuration concerning AWS services such as S3, EC2, and RDS.  CloudWatch is helpful in providing visibility into these environments and understanding what happened, where, and how.  </w:t>
      </w:r>
    </w:p>
    <w:p>
      <w:pPr>
        <w:pStyle w:val="BodyText"/>
        <w:tabs>
          <w:tab w:val="clear" w:pos="709"/>
          <w:tab w:val="left" w:pos="1418" w:leader="none"/>
        </w:tabs>
        <w:bidi w:val="0"/>
        <w:ind w:hanging="283" w:start="1418"/>
        <w:jc w:val="start"/>
        <w:rPr>
          <w:rFonts w:ascii="Times New Roman" w:hAnsi="Times New Roman"/>
        </w:rPr>
      </w:pPr>
      <w:r>
        <w:rPr/>
      </w:r>
    </w:p>
    <w:p>
      <w:pPr>
        <w:pStyle w:val="BodyText"/>
        <w:numPr>
          <w:ilvl w:val="0"/>
          <w:numId w:val="1"/>
        </w:numPr>
        <w:tabs>
          <w:tab w:val="left" w:pos="709" w:leader="none"/>
        </w:tabs>
        <w:bidi w:val="0"/>
        <w:ind w:hanging="283" w:start="709"/>
        <w:jc w:val="start"/>
        <w:rPr/>
      </w:pPr>
      <w:r>
        <w:rPr>
          <w:rStyle w:val="Strong"/>
          <w:rFonts w:ascii="Times New Roman" w:hAnsi="Times New Roman"/>
        </w:rPr>
        <w:t>Remediation Actions</w:t>
      </w:r>
    </w:p>
    <w:p>
      <w:pPr>
        <w:pStyle w:val="BodyText"/>
        <w:numPr>
          <w:ilvl w:val="0"/>
          <w:numId w:val="0"/>
        </w:numPr>
        <w:tabs>
          <w:tab w:val="clear" w:pos="709"/>
          <w:tab w:val="left" w:pos="1418" w:leader="none"/>
        </w:tabs>
        <w:bidi w:val="0"/>
        <w:ind w:hanging="0" w:start="1418"/>
        <w:jc w:val="start"/>
        <w:rPr>
          <w:i w:val="false"/>
          <w:i w:val="false"/>
          <w:iCs w:val="false"/>
        </w:rPr>
      </w:pPr>
      <w:r>
        <w:rPr>
          <w:i w:val="false"/>
          <w:iCs w:val="false"/>
        </w:rPr>
        <w:t>Mapped out current infrastructure (See Appendix A1: StartupCo Infrastructure)</w:t>
      </w:r>
    </w:p>
    <w:p>
      <w:pPr>
        <w:pStyle w:val="BodyText"/>
        <w:numPr>
          <w:ilvl w:val="0"/>
          <w:numId w:val="0"/>
        </w:numPr>
        <w:tabs>
          <w:tab w:val="clear" w:pos="709"/>
          <w:tab w:val="left" w:pos="1418" w:leader="none"/>
        </w:tabs>
        <w:bidi w:val="0"/>
        <w:ind w:hanging="0" w:start="1418"/>
        <w:jc w:val="start"/>
        <w:rPr>
          <w:i/>
          <w:i/>
          <w:iCs/>
        </w:rPr>
      </w:pPr>
      <w:r>
        <w:rPr>
          <w:i/>
          <w:iCs/>
        </w:rPr>
        <w:t xml:space="preserve">Secured Root Account – </w:t>
      </w:r>
      <w:r>
        <w:rPr>
          <w:i w:val="false"/>
          <w:iCs w:val="false"/>
        </w:rPr>
        <w:t>Enabled MFA on root account (See Appendix A</w:t>
      </w:r>
      <w:r>
        <w:rPr>
          <w:i w:val="false"/>
          <w:iCs w:val="false"/>
        </w:rPr>
        <w:t>2</w:t>
      </w:r>
      <w:r>
        <w:rPr>
          <w:i w:val="false"/>
          <w:iCs w:val="false"/>
        </w:rPr>
        <w:t xml:space="preserve">: MFA </w:t>
      </w:r>
      <w:r>
        <w:rPr>
          <w:i w:val="false"/>
          <w:iCs w:val="false"/>
        </w:rPr>
        <w:t>C</w:t>
      </w:r>
      <w:r>
        <w:rPr>
          <w:i w:val="false"/>
          <w:iCs w:val="false"/>
        </w:rPr>
        <w:t>onfiguration), root account now used only for critical administrative tasks.</w:t>
      </w:r>
    </w:p>
    <w:p>
      <w:pPr>
        <w:pStyle w:val="BodyText"/>
        <w:numPr>
          <w:ilvl w:val="0"/>
          <w:numId w:val="0"/>
        </w:numPr>
        <w:tabs>
          <w:tab w:val="clear" w:pos="709"/>
          <w:tab w:val="left" w:pos="1418" w:leader="none"/>
        </w:tabs>
        <w:bidi w:val="0"/>
        <w:ind w:hanging="0" w:start="1418"/>
        <w:jc w:val="start"/>
        <w:rPr>
          <w:i/>
          <w:i/>
          <w:iCs/>
        </w:rPr>
      </w:pPr>
      <w:r>
        <w:rPr>
          <w:i/>
          <w:iCs/>
        </w:rPr>
        <w:t xml:space="preserve">Created IAM Groups and Users – </w:t>
      </w:r>
      <w:r>
        <w:rPr>
          <w:i w:val="false"/>
          <w:iCs w:val="false"/>
        </w:rPr>
        <w:t xml:space="preserve">Created 4 groups; data analyst, finance, developer, and operations.  Assigned users to the appropriate group.  </w:t>
      </w:r>
      <w:r>
        <w:rPr>
          <w:i w:val="false"/>
          <w:iCs w:val="false"/>
        </w:rPr>
        <w:t>(See Appendix A8: Users)</w:t>
      </w:r>
    </w:p>
    <w:p>
      <w:pPr>
        <w:pStyle w:val="BodyText"/>
        <w:numPr>
          <w:ilvl w:val="0"/>
          <w:numId w:val="0"/>
        </w:numPr>
        <w:tabs>
          <w:tab w:val="clear" w:pos="709"/>
          <w:tab w:val="left" w:pos="1418" w:leader="none"/>
        </w:tabs>
        <w:bidi w:val="0"/>
        <w:ind w:hanging="0" w:start="1418"/>
        <w:jc w:val="start"/>
        <w:rPr>
          <w:i/>
          <w:i/>
          <w:iCs/>
        </w:rPr>
      </w:pPr>
      <w:r>
        <w:rPr>
          <w:i/>
          <w:iCs/>
        </w:rPr>
        <w:t>Applied Least Privilege Permissions:</w:t>
      </w:r>
    </w:p>
    <w:p>
      <w:pPr>
        <w:pStyle w:val="BodyText"/>
        <w:numPr>
          <w:ilvl w:val="0"/>
          <w:numId w:val="0"/>
        </w:numPr>
        <w:tabs>
          <w:tab w:val="clear" w:pos="709"/>
          <w:tab w:val="left" w:pos="1418" w:leader="none"/>
        </w:tabs>
        <w:bidi w:val="0"/>
        <w:ind w:hanging="0" w:start="1418"/>
        <w:jc w:val="start"/>
        <w:rPr>
          <w:i/>
          <w:i/>
          <w:iCs/>
        </w:rPr>
      </w:pPr>
      <w:r>
        <w:rPr>
          <w:i/>
          <w:iCs/>
        </w:rPr>
        <w:t xml:space="preserve">- Developers: </w:t>
      </w:r>
      <w:r>
        <w:rPr>
          <w:i w:val="false"/>
          <w:iCs w:val="false"/>
        </w:rPr>
        <w:t>EC2, S3, CloudWatch (See Appendix A3: Developer Permissions)</w:t>
      </w:r>
    </w:p>
    <w:p>
      <w:pPr>
        <w:pStyle w:val="BodyText"/>
        <w:numPr>
          <w:ilvl w:val="0"/>
          <w:numId w:val="0"/>
        </w:numPr>
        <w:tabs>
          <w:tab w:val="clear" w:pos="709"/>
          <w:tab w:val="left" w:pos="1418" w:leader="none"/>
        </w:tabs>
        <w:bidi w:val="0"/>
        <w:ind w:hanging="0" w:start="1418"/>
        <w:jc w:val="start"/>
        <w:rPr>
          <w:i/>
          <w:i/>
          <w:iCs/>
        </w:rPr>
      </w:pPr>
      <w:r>
        <w:rPr>
          <w:i w:val="false"/>
          <w:iCs w:val="false"/>
        </w:rPr>
        <w:t>- Operations: EC2, RDS, SSM, CloudWatch (See Appendix A4: Operations Permissions)</w:t>
      </w:r>
    </w:p>
    <w:p>
      <w:pPr>
        <w:pStyle w:val="BodyText"/>
        <w:numPr>
          <w:ilvl w:val="0"/>
          <w:numId w:val="0"/>
        </w:numPr>
        <w:tabs>
          <w:tab w:val="clear" w:pos="709"/>
          <w:tab w:val="left" w:pos="1418" w:leader="none"/>
        </w:tabs>
        <w:bidi w:val="0"/>
        <w:ind w:hanging="0" w:start="1418"/>
        <w:jc w:val="start"/>
        <w:rPr>
          <w:i/>
          <w:i/>
          <w:iCs/>
        </w:rPr>
      </w:pPr>
      <w:r>
        <w:rPr>
          <w:i w:val="false"/>
          <w:iCs w:val="false"/>
        </w:rPr>
        <w:t>- Finance: Billing and Budgets (See Appendix A5: Finance Permissions)</w:t>
      </w:r>
    </w:p>
    <w:p>
      <w:pPr>
        <w:pStyle w:val="BodyText"/>
        <w:numPr>
          <w:ilvl w:val="0"/>
          <w:numId w:val="0"/>
        </w:numPr>
        <w:tabs>
          <w:tab w:val="clear" w:pos="709"/>
          <w:tab w:val="left" w:pos="1418" w:leader="none"/>
        </w:tabs>
        <w:bidi w:val="0"/>
        <w:ind w:hanging="0" w:start="1418"/>
        <w:jc w:val="start"/>
        <w:rPr>
          <w:i/>
          <w:i/>
          <w:iCs/>
        </w:rPr>
      </w:pPr>
      <w:r>
        <w:rPr>
          <w:i w:val="false"/>
          <w:iCs w:val="false"/>
        </w:rPr>
        <w:t>- Data Analyst: RDS and S3 (See Appendix A6: Data Analyst Permissions)</w:t>
      </w:r>
    </w:p>
    <w:p>
      <w:pPr>
        <w:pStyle w:val="BodyText"/>
        <w:tabs>
          <w:tab w:val="clear" w:pos="709"/>
          <w:tab w:val="left" w:pos="1418" w:leader="none"/>
        </w:tabs>
        <w:bidi w:val="0"/>
        <w:ind w:hanging="283" w:start="1418"/>
        <w:jc w:val="start"/>
        <w:rPr>
          <w:i/>
          <w:i/>
          <w:iCs/>
        </w:rPr>
      </w:pPr>
      <w:r>
        <w:rPr>
          <w:i/>
          <w:iCs/>
        </w:rPr>
        <w:tab/>
        <w:t xml:space="preserve">Implemented Industry Standard Security – </w:t>
      </w:r>
      <w:r>
        <w:rPr>
          <w:i w:val="false"/>
          <w:iCs w:val="false"/>
        </w:rPr>
        <w:t>Enforced MFA for all IAM users, enabled IAM password policy: minimum 12 characters, complexity (See Appendix A7: Password Policy)</w:t>
      </w:r>
    </w:p>
    <w:p>
      <w:pPr>
        <w:pStyle w:val="BodyText"/>
        <w:numPr>
          <w:ilvl w:val="0"/>
          <w:numId w:val="1"/>
        </w:numPr>
        <w:tabs>
          <w:tab w:val="left" w:pos="709" w:leader="none"/>
        </w:tabs>
        <w:bidi w:val="0"/>
        <w:ind w:hanging="283" w:start="709"/>
        <w:jc w:val="start"/>
        <w:rPr/>
      </w:pPr>
      <w:r>
        <w:rPr>
          <w:rStyle w:val="Strong"/>
          <w:rFonts w:ascii="Times New Roman" w:hAnsi="Times New Roman"/>
        </w:rPr>
        <w:t>Benefits Impact and Benefits</w:t>
      </w:r>
    </w:p>
    <w:p>
      <w:pPr>
        <w:pStyle w:val="BodyText"/>
        <w:numPr>
          <w:ilvl w:val="0"/>
          <w:numId w:val="0"/>
        </w:numPr>
        <w:tabs>
          <w:tab w:val="clear" w:pos="709"/>
          <w:tab w:val="left" w:pos="1418" w:leader="none"/>
        </w:tabs>
        <w:bidi w:val="0"/>
        <w:ind w:hanging="0" w:start="1418"/>
        <w:jc w:val="start"/>
        <w:rPr>
          <w:i/>
          <w:i/>
          <w:iCs/>
        </w:rPr>
      </w:pPr>
      <w:r>
        <w:rPr>
          <w:i/>
          <w:iCs/>
        </w:rPr>
        <w:t xml:space="preserve">Reduced attack surface – </w:t>
      </w:r>
      <w:r>
        <w:rPr>
          <w:i w:val="false"/>
          <w:iCs w:val="false"/>
        </w:rPr>
        <w:t>Eliminated high-risk practices (shared use of root account, lack of MFA)</w:t>
      </w:r>
    </w:p>
    <w:p>
      <w:pPr>
        <w:pStyle w:val="BodyText"/>
        <w:numPr>
          <w:ilvl w:val="0"/>
          <w:numId w:val="0"/>
        </w:numPr>
        <w:tabs>
          <w:tab w:val="clear" w:pos="709"/>
          <w:tab w:val="left" w:pos="1418" w:leader="none"/>
        </w:tabs>
        <w:bidi w:val="0"/>
        <w:ind w:hanging="0" w:start="1418"/>
        <w:jc w:val="start"/>
        <w:rPr>
          <w:i/>
          <w:i/>
          <w:iCs/>
        </w:rPr>
      </w:pPr>
      <w:r>
        <w:rPr>
          <w:i/>
          <w:iCs/>
        </w:rPr>
        <w:t xml:space="preserve">Improved compliance – </w:t>
      </w:r>
      <w:r>
        <w:rPr>
          <w:i w:val="false"/>
          <w:iCs w:val="false"/>
        </w:rPr>
        <w:t>Alignment with ISO 27001, and AWS Well-Architected best practices.</w:t>
      </w:r>
    </w:p>
    <w:p>
      <w:pPr>
        <w:pStyle w:val="BodyText"/>
        <w:numPr>
          <w:ilvl w:val="0"/>
          <w:numId w:val="0"/>
        </w:numPr>
        <w:tabs>
          <w:tab w:val="clear" w:pos="709"/>
          <w:tab w:val="left" w:pos="1418" w:leader="none"/>
        </w:tabs>
        <w:bidi w:val="0"/>
        <w:ind w:hanging="0" w:start="1418"/>
        <w:jc w:val="start"/>
        <w:rPr>
          <w:i/>
          <w:i/>
          <w:iCs/>
        </w:rPr>
      </w:pPr>
      <w:r>
        <w:rPr>
          <w:i/>
          <w:iCs/>
        </w:rPr>
        <w:t xml:space="preserve">Scalable model – </w:t>
      </w:r>
      <w:r>
        <w:rPr>
          <w:i w:val="false"/>
          <w:iCs w:val="false"/>
        </w:rPr>
        <w:t xml:space="preserve">New users can be onboarded securely and consistently due to appropriate group permissions.  </w:t>
      </w:r>
    </w:p>
    <w:p>
      <w:pPr>
        <w:pStyle w:val="BodyText"/>
        <w:numPr>
          <w:ilvl w:val="0"/>
          <w:numId w:val="1"/>
        </w:numPr>
        <w:tabs>
          <w:tab w:val="left" w:pos="709" w:leader="none"/>
        </w:tabs>
        <w:bidi w:val="0"/>
        <w:ind w:hanging="283" w:start="709"/>
        <w:jc w:val="start"/>
        <w:rPr/>
      </w:pPr>
      <w:r>
        <w:rPr>
          <w:rStyle w:val="Strong"/>
          <w:rFonts w:ascii="Times New Roman" w:hAnsi="Times New Roman"/>
        </w:rPr>
        <w:t>Recommendations</w:t>
      </w:r>
    </w:p>
    <w:p>
      <w:pPr>
        <w:pStyle w:val="BodyText"/>
        <w:numPr>
          <w:ilvl w:val="0"/>
          <w:numId w:val="0"/>
        </w:numPr>
        <w:tabs>
          <w:tab w:val="clear" w:pos="709"/>
          <w:tab w:val="left" w:pos="1418" w:leader="none"/>
        </w:tabs>
        <w:bidi w:val="0"/>
        <w:ind w:hanging="0" w:start="1418"/>
        <w:jc w:val="start"/>
        <w:rPr>
          <w:rFonts w:ascii="Times New Roman" w:hAnsi="Times New Roman"/>
        </w:rPr>
      </w:pPr>
      <w:r>
        <w:rPr>
          <w:rFonts w:ascii="Times New Roman" w:hAnsi="Times New Roman"/>
        </w:rPr>
        <w:t xml:space="preserve">Automate key and password rotation using AWS Secrets Manager.  </w:t>
      </w:r>
    </w:p>
    <w:p>
      <w:pPr>
        <w:pStyle w:val="BodyText"/>
        <w:numPr>
          <w:ilvl w:val="0"/>
          <w:numId w:val="0"/>
        </w:numPr>
        <w:tabs>
          <w:tab w:val="clear" w:pos="709"/>
          <w:tab w:val="left" w:pos="1418" w:leader="none"/>
        </w:tabs>
        <w:bidi w:val="0"/>
        <w:ind w:hanging="0" w:start="1418"/>
        <w:jc w:val="start"/>
        <w:rPr/>
      </w:pPr>
      <w:r>
        <w:rPr/>
        <w:t xml:space="preserve">Enable CloudTrail with organization-wide logging for auditing IAM changes.  </w:t>
      </w:r>
    </w:p>
    <w:p>
      <w:pPr>
        <w:pStyle w:val="BodyText"/>
        <w:tabs>
          <w:tab w:val="clear" w:pos="709"/>
          <w:tab w:val="left" w:pos="1418" w:leader="none"/>
        </w:tabs>
        <w:bidi w:val="0"/>
        <w:ind w:hanging="0" w:start="1418"/>
        <w:jc w:val="start"/>
        <w:rPr/>
      </w:pPr>
      <w:r>
        <w:rPr/>
        <w:t xml:space="preserve">Regularly review and refine IAM policies based on industry best practices such as those listed in the ISO 27001 and NIST SP 800-63B.  </w:t>
      </w:r>
    </w:p>
    <w:p>
      <w:pPr>
        <w:pStyle w:val="BodyText"/>
        <w:tabs>
          <w:tab w:val="clear" w:pos="709"/>
          <w:tab w:val="left" w:pos="1418" w:leader="none"/>
        </w:tabs>
        <w:bidi w:val="0"/>
        <w:ind w:hanging="0" w:start="1418"/>
        <w:jc w:val="start"/>
        <w:rPr/>
      </w:pPr>
      <w:r>
        <w:rPr/>
        <w:t xml:space="preserve">The password policy was configured based off recommendations in NIST SP 800-63B Section 3.1.1.2.  All other changes were made to be aligned with the principle of least privilege.  </w:t>
      </w:r>
    </w:p>
    <w:p>
      <w:pPr>
        <w:pStyle w:val="BodyText"/>
        <w:tabs>
          <w:tab w:val="clear" w:pos="709"/>
          <w:tab w:val="left" w:pos="1418" w:leader="none"/>
        </w:tabs>
        <w:bidi w:val="0"/>
        <w:ind w:hanging="0" w:start="1418"/>
        <w:jc w:val="start"/>
        <w:rPr/>
      </w:pPr>
      <w:r>
        <w:rPr/>
      </w:r>
    </w:p>
    <w:p>
      <w:pPr>
        <w:pStyle w:val="BodyText"/>
        <w:numPr>
          <w:ilvl w:val="0"/>
          <w:numId w:val="1"/>
        </w:numPr>
        <w:tabs>
          <w:tab w:val="left" w:pos="709" w:leader="none"/>
        </w:tabs>
        <w:bidi w:val="0"/>
        <w:ind w:hanging="283" w:start="709"/>
        <w:jc w:val="start"/>
        <w:rPr/>
      </w:pPr>
      <w:r>
        <w:rPr>
          <w:rStyle w:val="Strong"/>
          <w:rFonts w:ascii="Times New Roman" w:hAnsi="Times New Roman"/>
        </w:rPr>
        <w:t>Appendix</w:t>
      </w:r>
    </w:p>
    <w:p>
      <w:pPr>
        <w:pStyle w:val="BodyText"/>
        <w:numPr>
          <w:ilvl w:val="0"/>
          <w:numId w:val="0"/>
        </w:numPr>
        <w:tabs>
          <w:tab w:val="clear" w:pos="709"/>
          <w:tab w:val="left" w:pos="1418" w:leader="none"/>
        </w:tabs>
        <w:bidi w:val="0"/>
        <w:ind w:hanging="0" w:start="1418"/>
        <w:jc w:val="center"/>
        <w:rPr>
          <w:b/>
          <w:bCs/>
        </w:rPr>
      </w:pPr>
      <w:r>
        <w:rPr>
          <w:b/>
          <w:bCs/>
        </w:rPr>
        <w:t>Appendix A1: StartupCo Infrastructure</w:t>
        <w:tab/>
        <w:tab/>
      </w:r>
    </w:p>
    <w:p>
      <w:pPr>
        <w:pStyle w:val="BodyText"/>
        <w:tabs>
          <w:tab w:val="clear" w:pos="709"/>
          <w:tab w:val="left" w:pos="1418" w:leader="none"/>
        </w:tabs>
        <w:bidi w:val="0"/>
        <w:ind w:hanging="283" w:start="1418"/>
        <w:jc w:val="center"/>
        <w:rPr>
          <w:b/>
          <w:bCs/>
        </w:rPr>
      </w:pPr>
      <w:r>
        <w:rPr>
          <w:b/>
          <w:bCs/>
        </w:rPr>
      </w:r>
    </w:p>
    <w:p>
      <w:pPr>
        <w:pStyle w:val="BodyText"/>
        <w:tabs>
          <w:tab w:val="clear" w:pos="709"/>
          <w:tab w:val="left" w:pos="1418" w:leader="none"/>
        </w:tabs>
        <w:bidi w:val="0"/>
        <w:ind w:hanging="283" w:start="1418"/>
        <w:jc w:val="center"/>
        <w:rPr>
          <w:b/>
          <w:bCs/>
        </w:rPr>
      </w:pPr>
      <w:r>
        <w:rPr>
          <w:b/>
          <w:bCs/>
        </w:rPr>
        <w:drawing>
          <wp:anchor behindDoc="0" distT="0" distB="0" distL="0" distR="0" simplePos="0" locked="0" layoutInCell="0" allowOverlap="1" relativeHeight="3">
            <wp:simplePos x="0" y="0"/>
            <wp:positionH relativeFrom="column">
              <wp:posOffset>-123825</wp:posOffset>
            </wp:positionH>
            <wp:positionV relativeFrom="paragraph">
              <wp:posOffset>-95250</wp:posOffset>
            </wp:positionV>
            <wp:extent cx="6864350" cy="58864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864350" cy="5886450"/>
                    </a:xfrm>
                    <a:prstGeom prst="rect">
                      <a:avLst/>
                    </a:prstGeom>
                  </pic:spPr>
                </pic:pic>
              </a:graphicData>
            </a:graphic>
          </wp:anchor>
        </w:drawing>
      </w:r>
    </w:p>
    <w:p>
      <w:pPr>
        <w:pStyle w:val="Normal"/>
        <w:bidi w:val="0"/>
        <w:jc w:val="start"/>
        <w:rPr>
          <w:rFonts w:ascii="Times New Roman" w:hAnsi="Times New Roman"/>
        </w:rPr>
      </w:pPr>
      <w:r>
        <w:rPr>
          <w:rFonts w:ascii="Times New Roman" w:hAnsi="Times New Roman"/>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b/>
          <w:bCs/>
        </w:rPr>
      </w:pPr>
      <w:r>
        <w:rPr>
          <w:b/>
          <w:bCs/>
        </w:rPr>
        <w:t>Appendix A2: MFA Configuration</w:t>
      </w:r>
    </w:p>
    <w:p>
      <w:pPr>
        <w:pStyle w:val="Normal"/>
        <w:bidi w:val="0"/>
        <w:jc w:val="center"/>
        <w:rPr>
          <w:b/>
          <w:bCs/>
        </w:rPr>
      </w:pPr>
      <w:r>
        <w:rPr>
          <w:b/>
          <w:bCs/>
        </w:rPr>
      </w:r>
    </w:p>
    <w:p>
      <w:pPr>
        <w:pStyle w:val="Normal"/>
        <w:bidi w:val="0"/>
        <w:jc w:val="center"/>
        <w:rPr>
          <w:b/>
          <w:bCs/>
        </w:rPr>
      </w:pPr>
      <w:r>
        <w:rPr>
          <w:b/>
          <w:bCs/>
        </w:rPr>
        <w:drawing>
          <wp:anchor behindDoc="0" distT="0" distB="0" distL="0" distR="0" simplePos="0" locked="0" layoutInCell="0" allowOverlap="1" relativeHeight="4">
            <wp:simplePos x="0" y="0"/>
            <wp:positionH relativeFrom="column">
              <wp:posOffset>-19050</wp:posOffset>
            </wp:positionH>
            <wp:positionV relativeFrom="paragraph">
              <wp:posOffset>111125</wp:posOffset>
            </wp:positionV>
            <wp:extent cx="6620510" cy="155321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620510" cy="1553210"/>
                    </a:xfrm>
                    <a:prstGeom prst="rect">
                      <a:avLst/>
                    </a:prstGeom>
                  </pic:spPr>
                </pic:pic>
              </a:graphicData>
            </a:graphic>
          </wp:anchor>
        </w:drawing>
      </w:r>
    </w:p>
    <w:p>
      <w:pPr>
        <w:pStyle w:val="Normal"/>
        <w:bidi w:val="0"/>
        <w:jc w:val="center"/>
        <w:rPr>
          <w:b/>
          <w:bCs/>
        </w:rPr>
      </w:pPr>
      <w:r>
        <w:rPr>
          <w:b/>
          <w:bCs/>
        </w:rPr>
      </w:r>
    </w:p>
    <w:p>
      <w:pPr>
        <w:pStyle w:val="Normal"/>
        <w:bidi w:val="0"/>
        <w:jc w:val="start"/>
        <w:rPr/>
      </w:pPr>
      <w:r>
        <w:rPr/>
      </w:r>
    </w:p>
    <w:p>
      <w:pPr>
        <w:pStyle w:val="Normal"/>
        <w:bidi w:val="0"/>
        <w:jc w:val="center"/>
        <w:rPr>
          <w:b/>
          <w:bCs/>
        </w:rPr>
      </w:pPr>
      <w:r>
        <w:rPr>
          <w:b/>
          <w:bCs/>
        </w:rPr>
        <w:t>Appendix A3: Developer Permissions</w:t>
      </w:r>
    </w:p>
    <w:p>
      <w:pPr>
        <w:pStyle w:val="Normal"/>
        <w:bidi w:val="0"/>
        <w:jc w:val="center"/>
        <w:rPr>
          <w:b/>
          <w:bCs/>
        </w:rPr>
      </w:pPr>
      <w:r>
        <w:rPr>
          <w:b/>
          <w:bCs/>
        </w:rPr>
        <w:drawing>
          <wp:anchor behindDoc="0" distT="0" distB="0" distL="0" distR="0" simplePos="0" locked="0" layoutInCell="0" allowOverlap="1" relativeHeight="5">
            <wp:simplePos x="0" y="0"/>
            <wp:positionH relativeFrom="column">
              <wp:posOffset>842010</wp:posOffset>
            </wp:positionH>
            <wp:positionV relativeFrom="paragraph">
              <wp:posOffset>22225</wp:posOffset>
            </wp:positionV>
            <wp:extent cx="4386580" cy="617156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386580" cy="6171565"/>
                    </a:xfrm>
                    <a:prstGeom prst="rect">
                      <a:avLst/>
                    </a:prstGeom>
                  </pic:spPr>
                </pic:pic>
              </a:graphicData>
            </a:graphic>
          </wp:anchor>
        </w:drawing>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tab/>
        <w:tab/>
        <w:t xml:space="preserve">Appendix A4: Operations Permissions  </w:t>
        <w:tab/>
        <w:tab/>
      </w:r>
    </w:p>
    <w:p>
      <w:pPr>
        <w:pStyle w:val="Normal"/>
        <w:bidi w:val="0"/>
        <w:jc w:val="center"/>
        <w:rPr>
          <w:b/>
          <w:bCs/>
        </w:rPr>
      </w:pPr>
      <w:r>
        <w:rPr>
          <w:b/>
          <w:bCs/>
        </w:rPr>
      </w:r>
    </w:p>
    <w:p>
      <w:pPr>
        <w:pStyle w:val="Normal"/>
        <w:bidi w:val="0"/>
        <w:jc w:val="center"/>
        <w:rPr>
          <w:b/>
          <w:bCs/>
        </w:rPr>
      </w:pPr>
      <w:r>
        <w:rPr>
          <w:b/>
          <w:bCs/>
        </w:rPr>
        <w:drawing>
          <wp:anchor behindDoc="0" distT="0" distB="0" distL="0" distR="0" simplePos="0" locked="0" layoutInCell="0" allowOverlap="1" relativeHeight="6">
            <wp:simplePos x="0" y="0"/>
            <wp:positionH relativeFrom="column">
              <wp:posOffset>889635</wp:posOffset>
            </wp:positionH>
            <wp:positionV relativeFrom="paragraph">
              <wp:posOffset>118110</wp:posOffset>
            </wp:positionV>
            <wp:extent cx="4800600" cy="697230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4800600" cy="6972300"/>
                    </a:xfrm>
                    <a:prstGeom prst="rect">
                      <a:avLst/>
                    </a:prstGeom>
                  </pic:spPr>
                </pic:pic>
              </a:graphicData>
            </a:graphic>
          </wp:anchor>
        </w:drawing>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t>Appendix A5: Finance Permissions</w:t>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drawing>
          <wp:anchor behindDoc="0" distT="0" distB="0" distL="0" distR="0" simplePos="0" locked="0" layoutInCell="0" allowOverlap="1" relativeHeight="7">
            <wp:simplePos x="0" y="0"/>
            <wp:positionH relativeFrom="column">
              <wp:posOffset>685165</wp:posOffset>
            </wp:positionH>
            <wp:positionV relativeFrom="paragraph">
              <wp:posOffset>53340</wp:posOffset>
            </wp:positionV>
            <wp:extent cx="5343525" cy="621982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5343525" cy="6219825"/>
                    </a:xfrm>
                    <a:prstGeom prst="rect">
                      <a:avLst/>
                    </a:prstGeom>
                  </pic:spPr>
                </pic:pic>
              </a:graphicData>
            </a:graphic>
          </wp:anchor>
        </w:drawing>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t>Appendix A6: Data Analyst Permissions</w:t>
      </w:r>
    </w:p>
    <w:p>
      <w:pPr>
        <w:pStyle w:val="Normal"/>
        <w:bidi w:val="0"/>
        <w:jc w:val="center"/>
        <w:rPr>
          <w:b/>
          <w:bCs/>
        </w:rPr>
      </w:pPr>
      <w:r>
        <w:rPr>
          <w:b/>
          <w:bCs/>
        </w:rPr>
      </w:r>
    </w:p>
    <w:p>
      <w:pPr>
        <w:pStyle w:val="Normal"/>
        <w:bidi w:val="0"/>
        <w:jc w:val="center"/>
        <w:rPr>
          <w:b/>
          <w:bCs/>
        </w:rPr>
      </w:pPr>
      <w:r>
        <w:rPr>
          <w:b/>
          <w:bCs/>
        </w:rPr>
        <w:drawing>
          <wp:anchor behindDoc="0" distT="0" distB="0" distL="0" distR="0" simplePos="0" locked="0" layoutInCell="0" allowOverlap="1" relativeHeight="8">
            <wp:simplePos x="0" y="0"/>
            <wp:positionH relativeFrom="column">
              <wp:posOffset>641985</wp:posOffset>
            </wp:positionH>
            <wp:positionV relativeFrom="paragraph">
              <wp:posOffset>30480</wp:posOffset>
            </wp:positionV>
            <wp:extent cx="4953000" cy="59912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4953000" cy="5991225"/>
                    </a:xfrm>
                    <a:prstGeom prst="rect">
                      <a:avLst/>
                    </a:prstGeom>
                  </pic:spPr>
                </pic:pic>
              </a:graphicData>
            </a:graphic>
          </wp:anchor>
        </w:drawing>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t>Appendix A7: Password Policy</w:t>
      </w:r>
    </w:p>
    <w:p>
      <w:pPr>
        <w:pStyle w:val="Normal"/>
        <w:bidi w:val="0"/>
        <w:jc w:val="center"/>
        <w:rPr>
          <w:b/>
          <w:bCs/>
        </w:rPr>
      </w:pPr>
      <w:r>
        <w:rPr>
          <w:b/>
          <w:bCs/>
        </w:rPr>
        <w:drawing>
          <wp:anchor behindDoc="0" distT="0" distB="0" distL="0" distR="0" simplePos="0" locked="0" layoutInCell="0" allowOverlap="1" relativeHeight="9">
            <wp:simplePos x="0" y="0"/>
            <wp:positionH relativeFrom="column">
              <wp:posOffset>0</wp:posOffset>
            </wp:positionH>
            <wp:positionV relativeFrom="paragraph">
              <wp:posOffset>196850</wp:posOffset>
            </wp:positionV>
            <wp:extent cx="6581140" cy="507555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6581140" cy="5075555"/>
                    </a:xfrm>
                    <a:prstGeom prst="rect">
                      <a:avLst/>
                    </a:prstGeom>
                  </pic:spPr>
                </pic:pic>
              </a:graphicData>
            </a:graphic>
          </wp:anchor>
        </w:drawing>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t>Appendix A8: Users</w:t>
      </w:r>
    </w:p>
    <w:p>
      <w:pPr>
        <w:pStyle w:val="Normal"/>
        <w:bidi w:val="0"/>
        <w:jc w:val="center"/>
        <w:rPr>
          <w:b/>
          <w:bCs/>
        </w:rPr>
      </w:pPr>
      <w:r>
        <w:rPr>
          <w:b/>
          <w:bCs/>
        </w:rPr>
      </w:r>
    </w:p>
    <w:p>
      <w:pPr>
        <w:pStyle w:val="Normal"/>
        <w:bidi w:val="0"/>
        <w:jc w:val="center"/>
        <w:rPr>
          <w:b/>
          <w:bCs/>
        </w:rPr>
      </w:pPr>
      <w:r>
        <w:rPr>
          <w:b/>
          <w:bCs/>
        </w:rPr>
        <w:drawing>
          <wp:anchor behindDoc="0" distT="0" distB="0" distL="0" distR="0" simplePos="0" locked="0" layoutInCell="0" allowOverlap="1" relativeHeight="10">
            <wp:simplePos x="0" y="0"/>
            <wp:positionH relativeFrom="column">
              <wp:posOffset>508635</wp:posOffset>
            </wp:positionH>
            <wp:positionV relativeFrom="paragraph">
              <wp:posOffset>116840</wp:posOffset>
            </wp:positionV>
            <wp:extent cx="5701030" cy="414845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5701030" cy="4148455"/>
                    </a:xfrm>
                    <a:prstGeom prst="rect">
                      <a:avLst/>
                    </a:prstGeom>
                  </pic:spPr>
                </pic:pic>
              </a:graphicData>
            </a:graphic>
          </wp:anchor>
        </w:drawing>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p>
      <w:pPr>
        <w:pStyle w:val="Normal"/>
        <w:bidi w:val="0"/>
        <w:jc w:val="center"/>
        <w:rPr>
          <w:b/>
          <w:bCs/>
        </w:rPr>
      </w:pPr>
      <w:r>
        <w:rPr>
          <w:b/>
          <w:bCs/>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TotalTime>
  <Application>LibreOffice/24.2.7.2$Linux_X86_64 LibreOffice_project/420$Build-2</Application>
  <AppVersion>15.0000</AppVersion>
  <Pages>10</Pages>
  <Words>581</Words>
  <Characters>3430</Characters>
  <CharactersWithSpaces>4005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2025-05-24T14:36:22Z</dcterms:created>
  <dc:creator/>
  <dc:description/>
  <dc:language>en-US</dc:language>
  <cp:lastModifiedBy/>
  <dcterms:modified xsi:type="dcterms:W3CDTF">2025-05-27T10:13:10Z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