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Wireframe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219075</wp:posOffset>
            </wp:positionV>
            <wp:extent cx="7253288" cy="640625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288" cy="6406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jc w:val="center"/>
      <w:rPr>
        <w:i w:val="1"/>
        <w:color w:val="434343"/>
      </w:rPr>
    </w:pPr>
    <w:r w:rsidDel="00000000" w:rsidR="00000000" w:rsidRPr="00000000">
      <w:rPr>
        <w:rFonts w:ascii="Georgia" w:cs="Georgia" w:eastAsia="Georgia" w:hAnsi="Georgia"/>
        <w:i w:val="1"/>
        <w:color w:val="434343"/>
        <w:sz w:val="24"/>
        <w:szCs w:val="24"/>
        <w:rtl w:val="0"/>
      </w:rPr>
      <w:t xml:space="preserve">Mental Health Companion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Fonts w:ascii="Georgia" w:cs="Georgia" w:eastAsia="Georgia" w:hAnsi="Georgia"/>
        <w:color w:val="434343"/>
        <w:rtl w:val="0"/>
      </w:rPr>
      <w:t xml:space="preserve">Nelson and Wang </w:t>
    </w:r>
    <w:r w:rsidDel="00000000" w:rsidR="00000000" w:rsidRPr="00000000">
      <w:rPr>
        <w:rFonts w:ascii="Georgia" w:cs="Georgia" w:eastAsia="Georgia" w:hAnsi="Georgia"/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