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gateways for chapter dues</w:t>
            </w:r>
            <w:r>
              <w:rPr>
                <w:rFonts w:ascii="Calibri" w:cs="Calibri" w:eastAsia="Calibri" w:hAnsi="Calibri"/>
                <w:sz w:val="19"/>
                <w:szCs w:val="19"/>
              </w:rPr>
              <w:t xml:space="preserve"> (enhancement): a chapter able to take payments electronically connects one of a few common gateways (for example PayPal, Square or Stripe) so members can pay their chapter dues online; the payment records the chapter dues automatically, as FIN-02 does by hand.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(enhancement; owner, 31 Oct 2026)</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for cash, check and other (with the dues phase; on staging); online methods with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deployed to staging 2026-10-31 with the engine and reminders off</w:t>
      </w:r>
      <w:r>
        <w:rPr>
          <w:rFonts w:ascii="Calibri" w:cs="Calibri" w:eastAsia="Calibri" w:hAnsi="Calibri"/>
        </w:rPr>
        <w:t xml:space="preserve"> (backup </w:t>
      </w:r>
      <w:r>
        <w:rPr>
          <w:rFonts w:ascii="Consolas" w:cs="Consolas" w:eastAsia="Consolas" w:hAnsi="Consolas"/>
          <w:color w:val="B02020"/>
          <w:sz w:val="20"/>
          <w:szCs w:val="20"/>
        </w:rPr>
        <w:t xml:space="preserve">~/backups/bpa_staging-2026-10-31-before-dues.sql.gz</w:t>
      </w:r>
      <w:r>
        <w:rPr>
          <w:rFonts w:ascii="Calibri" w:cs="Calibri" w:eastAsia="Calibri" w:hAnsi="Calibri"/>
        </w:rPr>
        <w:t xml:space="preserve">; 35 Family members converted).</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Staging: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added 2026-10-31 (05:05; says "engine off" until </w:t>
      </w:r>
      <w:r>
        <w:rPr>
          <w:rFonts w:ascii="Consolas" w:cs="Consolas" w:eastAsia="Consolas" w:hAnsi="Consolas"/>
          <w:color w:val="B02020"/>
          <w:sz w:val="20"/>
          <w:szCs w:val="20"/>
        </w:rPr>
        <w:t xml:space="preserve">DUES_STATUS_ENGINE</w:t>
      </w:r>
      <w:r>
        <w:rPr>
          <w:rFonts w:ascii="Calibri" w:cs="Calibri" w:eastAsia="Calibri" w:hAnsi="Calibri"/>
        </w:rPr>
        <w:t xml:space="preserve"> is switched on). Production will need the same.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Enhancement: chapter payment gateways (PAY-14; owner, 2026-10-31):</w:t>
      </w:r>
      <w:r>
        <w:rPr>
          <w:rFonts w:ascii="Calibri" w:cs="Calibri" w:eastAsia="Calibri" w:hAnsi="Calibri"/>
        </w:rPr>
        <w:t xml:space="preserve"> chapters able to take electronic payments connect one of a few common gateways (PayPal, Square, Stripe) for their chapter dues, through the Payments module's gateway connections by scope; a paid chapter dues payment records FIN-02 automatically.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Auditlog feature for improvements</w:t>
      </w:r>
      <w:r>
        <w:rPr>
          <w:rFonts w:ascii="Calibri" w:cs="Calibri" w:eastAsia="Calibri" w:hAnsi="Calibri"/>
        </w:rPr>
        <w:t xml:space="preserve"> (owner, 2026-10-31): what's logged and how consistently (action names, who, which record, old and new values), searching and filtering on the Auditlog screen, export, retention and size, who may see it, and whether money and permission changes need a stricter trail. Recommendations to the owner first.</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2026-10-31T14:17:10.563Z</dcterms:created>
  <dcterms:modified xsi:type="dcterms:W3CDTF">2026-10-31T14:17:10.563Z</dcterms:modified>
</cp:coreProperties>
</file>

<file path=docProps/custom.xml><?xml version="1.0" encoding="utf-8"?>
<Properties xmlns="http://schemas.openxmlformats.org/officeDocument/2006/custom-properties" xmlns:vt="http://schemas.openxmlformats.org/officeDocument/2006/docPropsVTypes"/>
</file>