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Spending Composition and ACO Savings: Fixed Effects and Logit Models</w:t>
      </w:r>
    </w:p>
    <w:tbl>
      <w:tblPr>
        <w:tblStyle w:val="Table"/>
        <w:tblW w:type="pct" w:w="4867"/>
        <w:tblLayout w:type="fixed"/>
        <w:tblLook w:firstRow="1" w:lastRow="1" w:firstColumn="0" w:lastColumn="0" w:noHBand="0" w:noVBand="0" w:val="0020"/>
        <w:tblCaption w:val="Spending Composition and ACO Savings: Fixed Effects and Logit Models"/>
      </w:tblPr>
      <w:tblGrid>
        <w:gridCol w:w="1401"/>
        <w:gridCol w:w="1962"/>
        <w:gridCol w:w="2172"/>
        <w:gridCol w:w="981"/>
        <w:gridCol w:w="11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FE: Savings Rate 1 (Full)</w:t>
            </w:r>
          </w:p>
        </w:tc>
        <w:tc>
          <w:tcPr/>
          <w:p>
            <w:pPr>
              <w:pStyle w:val="Compact"/>
            </w:pPr>
            <w:r>
              <w:t xml:space="preserve">FE: Savings Rate 2 (Reduced)</w:t>
            </w:r>
          </w:p>
        </w:tc>
        <w:tc>
          <w:tcPr/>
          <w:p>
            <w:pPr>
              <w:pStyle w:val="Compact"/>
            </w:pPr>
            <w:r>
              <w:t xml:space="preserve">Logit: Full</w:t>
            </w:r>
          </w:p>
        </w:tc>
        <w:tc>
          <w:tcPr/>
          <w:p>
            <w:pPr>
              <w:pStyle w:val="Compact"/>
            </w:pPr>
            <w:r>
              <w:t xml:space="preserve">Logit: Reduced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Inpatient</w:t>
            </w:r>
          </w:p>
        </w:tc>
        <w:tc>
          <w:tcPr/>
          <w:p>
            <w:pPr>
              <w:pStyle w:val="Compact"/>
            </w:pPr>
            <w:r>
              <w:t xml:space="preserve">-0.520**</w:t>
            </w:r>
          </w:p>
        </w:tc>
        <w:tc>
          <w:tcPr/>
          <w:p>
            <w:pPr>
              <w:pStyle w:val="Compact"/>
            </w:pPr>
            <w:r>
              <w:t xml:space="preserve">-0.529***</w:t>
            </w:r>
          </w:p>
        </w:tc>
        <w:tc>
          <w:tcPr/>
          <w:p>
            <w:pPr>
              <w:pStyle w:val="Compact"/>
            </w:pPr>
            <w:r>
              <w:t xml:space="preserve">-0.559*</w:t>
            </w:r>
          </w:p>
        </w:tc>
        <w:tc>
          <w:tcPr/>
          <w:p>
            <w:pPr>
              <w:pStyle w:val="Compact"/>
            </w:pPr>
            <w:r>
              <w:t xml:space="preserve">-0.541*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  <w:r>
              <w:t xml:space="preserve">(0.153)</w:t>
            </w:r>
          </w:p>
        </w:tc>
        <w:tc>
          <w:tcPr/>
          <w:p>
            <w:pPr>
              <w:pStyle w:val="Compact"/>
            </w:pPr>
            <w:r>
              <w:t xml:space="preserve">(0.235)</w:t>
            </w:r>
          </w:p>
        </w:tc>
        <w:tc>
          <w:tcPr/>
          <w:p>
            <w:pPr>
              <w:pStyle w:val="Compact"/>
            </w:pPr>
            <w:r>
              <w:t xml:space="preserve">(0.227)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Hospice</w:t>
            </w:r>
          </w:p>
        </w:tc>
        <w:tc>
          <w:tcPr/>
          <w:p>
            <w:pPr>
              <w:pStyle w:val="Compact"/>
            </w:pPr>
            <w:r>
              <w:t xml:space="preserve">-0.267</w:t>
            </w:r>
          </w:p>
        </w:tc>
        <w:tc>
          <w:tcPr/>
          <w:p>
            <w:pPr>
              <w:pStyle w:val="Compact"/>
            </w:pPr>
            <w:r>
              <w:t xml:space="preserve">-0.281</w:t>
            </w:r>
          </w:p>
        </w:tc>
        <w:tc>
          <w:tcPr/>
          <w:p>
            <w:pPr>
              <w:pStyle w:val="Compact"/>
            </w:pPr>
            <w:r>
              <w:t xml:space="preserve">-0.302</w:t>
            </w:r>
          </w:p>
        </w:tc>
        <w:tc>
          <w:tcPr/>
          <w:p>
            <w:pPr>
              <w:pStyle w:val="Compact"/>
            </w:pPr>
            <w:r>
              <w:t xml:space="preserve">-0.304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(0.237)</w:t>
            </w:r>
          </w:p>
        </w:tc>
        <w:tc>
          <w:tcPr/>
          <w:p>
            <w:pPr>
              <w:pStyle w:val="Compact"/>
            </w:pPr>
            <w:r>
              <w:t xml:space="preserve">(0.232)</w:t>
            </w:r>
          </w:p>
        </w:tc>
        <w:tc>
          <w:tcPr/>
          <w:p>
            <w:pPr>
              <w:pStyle w:val="Compact"/>
            </w:pPr>
            <w:r>
              <w:t xml:space="preserve">(0.392)</w:t>
            </w:r>
          </w:p>
        </w:tc>
        <w:tc>
          <w:tcPr/>
          <w:p>
            <w:pPr>
              <w:pStyle w:val="Compact"/>
            </w:pPr>
            <w:r>
              <w:t xml:space="preserve">(0.383)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SNF</w:t>
            </w:r>
          </w:p>
        </w:tc>
        <w:tc>
          <w:tcPr/>
          <w:p>
            <w:pPr>
              <w:pStyle w:val="Compact"/>
            </w:pPr>
            <w:r>
              <w:t xml:space="preserve">-0.290*</w:t>
            </w:r>
          </w:p>
        </w:tc>
        <w:tc>
          <w:tcPr/>
          <w:p>
            <w:pPr>
              <w:pStyle w:val="Compact"/>
            </w:pPr>
            <w:r>
              <w:t xml:space="preserve">-0.312*</w:t>
            </w:r>
          </w:p>
        </w:tc>
        <w:tc>
          <w:tcPr/>
          <w:p>
            <w:pPr>
              <w:pStyle w:val="Compact"/>
            </w:pPr>
            <w:r>
              <w:t xml:space="preserve">-0.183</w:t>
            </w:r>
          </w:p>
        </w:tc>
        <w:tc>
          <w:tcPr/>
          <w:p>
            <w:pPr>
              <w:pStyle w:val="Compact"/>
            </w:pPr>
            <w:r>
              <w:t xml:space="preserve">-0.222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(0.134)</w:t>
            </w: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Physician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(0.127)</w:t>
            </w:r>
          </w:p>
        </w:tc>
        <w:tc>
          <w:tcPr/>
          <w:p>
            <w:pPr>
              <w:pStyle w:val="Compact"/>
            </w:pPr>
            <w:r>
              <w:t xml:space="preserve">(0.206)</w:t>
            </w:r>
          </w:p>
        </w:tc>
        <w:tc>
          <w:tcPr/>
          <w:p>
            <w:pPr>
              <w:pStyle w:val="Compact"/>
            </w:pPr>
            <w:r>
              <w:t xml:space="preserve">(0.207)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AmbPay</w:t>
            </w:r>
          </w:p>
        </w:tc>
        <w:tc>
          <w:tcPr/>
          <w:p>
            <w:pPr>
              <w:pStyle w:val="Compact"/>
            </w:pPr>
            <w:r>
              <w:t xml:space="preserve">-0.481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(0.842)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Percent HHA</w:t>
            </w:r>
          </w:p>
        </w:tc>
        <w:tc>
          <w:tcPr/>
          <w:p>
            <w:pPr>
              <w:pStyle w:val="Compact"/>
            </w:pPr>
            <w:r>
              <w:t xml:space="preserve">-0.342*</w:t>
            </w:r>
          </w:p>
        </w:tc>
        <w:tc>
          <w:tcPr/>
          <w:p>
            <w:pPr>
              <w:pStyle w:val="Compact"/>
            </w:pPr>
            <w:r>
              <w:t xml:space="preserve">-0.328*</w:t>
            </w:r>
          </w:p>
        </w:tc>
        <w:tc>
          <w:tcPr/>
          <w:p>
            <w:pPr>
              <w:pStyle w:val="Compact"/>
            </w:pPr>
            <w:r>
              <w:t xml:space="preserve">-0.373</w:t>
            </w:r>
          </w:p>
        </w:tc>
        <w:tc>
          <w:tcPr/>
          <w:p>
            <w:pPr>
              <w:pStyle w:val="Compact"/>
            </w:pPr>
            <w:r>
              <w:t xml:space="preserve">-0.344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(0.170)</w:t>
            </w: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  <w:r>
              <w:t xml:space="preserve">(0.229)</w:t>
            </w:r>
          </w:p>
        </w:tc>
        <w:tc>
          <w:tcPr/>
          <w:p>
            <w:pPr>
              <w:pStyle w:val="Compact"/>
            </w:pPr>
            <w:r>
              <w:t xml:space="preserve">(0.210)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DME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(0.384)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(0.647)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1569</w:t>
            </w:r>
          </w:p>
        </w:tc>
        <w:tc>
          <w:tcPr/>
          <w:p>
            <w:pPr>
              <w:pStyle w:val="Compact"/>
            </w:pPr>
            <w:r>
              <w:t xml:space="preserve">1569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by: aco_num</w:t>
            </w:r>
          </w:p>
        </w:tc>
        <w:tc>
          <w:tcPr/>
          <w:p>
            <w:pPr>
              <w:pStyle w:val="Compact"/>
            </w:pPr>
            <w:r>
              <w:t xml:space="preserve">by: aco_num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aco_num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 models report coefficients on savings rate with ACO and year FEs and ACO-clustered SEs. Logit models</w:t>
            </w:r>
            <w:r>
              <w:t xml:space="preserve"> </w:t>
            </w:r>
            <w:r>
              <w:t xml:space="preserve">are fixed-effects logits with ACO and year FEs; SEs clustered by ACO. Coefficients for logits are</w:t>
            </w:r>
            <w:r>
              <w:t xml:space="preserve"> </w:t>
            </w:r>
            <w:r>
              <w:t xml:space="preserve">log-odds.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2026-10-03T05:00:35Z</dcterms:created>
  <dcterms:modified xsi:type="dcterms:W3CDTF">2026-10-03T05:00:35Z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