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69" w:rsidRDefault="00E54E87" w:rsidP="00E54E87">
      <w:pPr>
        <w:pStyle w:val="Heading1"/>
        <w:jc w:val="center"/>
      </w:pPr>
      <w:r w:rsidRPr="00E54E87">
        <w:rPr>
          <w:rFonts w:hint="eastAsia"/>
        </w:rPr>
        <w:t>《</w:t>
      </w:r>
      <w:r w:rsidRPr="00E54E87">
        <w:t>隐藏在权重行业背后的指数择时策略</w:t>
      </w:r>
      <w:r w:rsidRPr="00E54E87">
        <w:rPr>
          <w:rFonts w:hint="eastAsia"/>
        </w:rPr>
        <w:t>》的实现与近期表现</w:t>
      </w:r>
    </w:p>
    <w:p w:rsidR="00E54E87" w:rsidRPr="00E54E87" w:rsidRDefault="00E54E87" w:rsidP="00E54E87">
      <w:pPr>
        <w:jc w:val="center"/>
      </w:pPr>
      <w:r>
        <w:rPr>
          <w:rFonts w:hint="eastAsia"/>
        </w:rPr>
        <w:t>王志宇</w:t>
      </w:r>
    </w:p>
    <w:p w:rsidR="0075307D" w:rsidRDefault="00052C69" w:rsidP="00052C69">
      <w:pPr>
        <w:pStyle w:val="ListParagraph"/>
        <w:numPr>
          <w:ilvl w:val="0"/>
          <w:numId w:val="1"/>
        </w:numPr>
      </w:pPr>
      <w:r>
        <w:rPr>
          <w:rFonts w:hint="eastAsia"/>
        </w:rPr>
        <w:t>策略</w:t>
      </w:r>
      <w:r w:rsidR="0075307D">
        <w:rPr>
          <w:rFonts w:hint="eastAsia"/>
        </w:rPr>
        <w:t>细节：</w:t>
      </w:r>
      <w:r w:rsidR="0075307D">
        <w:br/>
      </w:r>
      <w:r w:rsidR="0075307D">
        <w:rPr>
          <w:rFonts w:hint="eastAsia"/>
        </w:rPr>
        <w:t>数据来源：大智慧</w:t>
      </w:r>
      <w:r w:rsidR="0075307D">
        <w:rPr>
          <w:rFonts w:hint="eastAsia"/>
        </w:rPr>
        <w:t>365</w:t>
      </w:r>
      <w:r w:rsidR="0075307D">
        <w:rPr>
          <w:rFonts w:hint="eastAsia"/>
        </w:rPr>
        <w:t>中的沪深</w:t>
      </w:r>
      <w:r w:rsidR="0075307D">
        <w:rPr>
          <w:rFonts w:hint="eastAsia"/>
        </w:rPr>
        <w:t>300</w:t>
      </w:r>
      <w:r w:rsidR="00EF3805">
        <w:rPr>
          <w:rFonts w:hint="eastAsia"/>
        </w:rPr>
        <w:t>指数</w:t>
      </w:r>
      <w:r w:rsidR="0075307D">
        <w:rPr>
          <w:rFonts w:hint="eastAsia"/>
        </w:rPr>
        <w:t>以及</w:t>
      </w:r>
      <w:r w:rsidR="00234BDE">
        <w:rPr>
          <w:rFonts w:hint="eastAsia"/>
        </w:rPr>
        <w:t>SH000909-SH000917</w:t>
      </w:r>
      <w:r w:rsidR="00234BDE">
        <w:rPr>
          <w:rFonts w:hint="eastAsia"/>
        </w:rPr>
        <w:t>十个行业指数的日线数据，时间范围</w:t>
      </w:r>
      <w:r w:rsidR="00BA01F6">
        <w:rPr>
          <w:rFonts w:hint="eastAsia"/>
        </w:rPr>
        <w:t>从</w:t>
      </w:r>
      <w:r w:rsidR="00BA01F6">
        <w:rPr>
          <w:rFonts w:hint="eastAsia"/>
        </w:rPr>
        <w:t>2006</w:t>
      </w:r>
      <w:r w:rsidR="00BA01F6">
        <w:rPr>
          <w:rFonts w:hint="eastAsia"/>
        </w:rPr>
        <w:t>年</w:t>
      </w:r>
      <w:r w:rsidR="00BA01F6">
        <w:rPr>
          <w:rFonts w:hint="eastAsia"/>
        </w:rPr>
        <w:t>4</w:t>
      </w:r>
      <w:r w:rsidR="00BA01F6">
        <w:rPr>
          <w:rFonts w:hint="eastAsia"/>
        </w:rPr>
        <w:t>月</w:t>
      </w:r>
      <w:r w:rsidR="00BA01F6">
        <w:rPr>
          <w:rFonts w:hint="eastAsia"/>
        </w:rPr>
        <w:t>13</w:t>
      </w:r>
      <w:r w:rsidR="00BA01F6">
        <w:rPr>
          <w:rFonts w:hint="eastAsia"/>
        </w:rPr>
        <w:t>日起，</w:t>
      </w:r>
      <w:r w:rsidR="00234BDE">
        <w:rPr>
          <w:rFonts w:hint="eastAsia"/>
        </w:rPr>
        <w:t>到</w:t>
      </w:r>
      <w:r w:rsidR="00234BDE">
        <w:rPr>
          <w:rFonts w:hint="eastAsia"/>
        </w:rPr>
        <w:t>2014</w:t>
      </w:r>
      <w:r w:rsidR="00234BDE">
        <w:rPr>
          <w:rFonts w:hint="eastAsia"/>
        </w:rPr>
        <w:t>年</w:t>
      </w:r>
      <w:r w:rsidR="00234BDE">
        <w:rPr>
          <w:rFonts w:hint="eastAsia"/>
        </w:rPr>
        <w:t>12</w:t>
      </w:r>
      <w:r w:rsidR="00234BDE">
        <w:rPr>
          <w:rFonts w:hint="eastAsia"/>
        </w:rPr>
        <w:t>月</w:t>
      </w:r>
      <w:r w:rsidR="00234BDE">
        <w:rPr>
          <w:rFonts w:hint="eastAsia"/>
        </w:rPr>
        <w:t>5</w:t>
      </w:r>
      <w:r w:rsidR="00234BDE">
        <w:rPr>
          <w:rFonts w:hint="eastAsia"/>
        </w:rPr>
        <w:t>日为止。</w:t>
      </w:r>
    </w:p>
    <w:p w:rsidR="00C91D91" w:rsidRDefault="00234BDE" w:rsidP="00234BDE">
      <w:pPr>
        <w:pStyle w:val="ListParagraph"/>
        <w:ind w:left="810"/>
      </w:pPr>
      <w:r>
        <w:rPr>
          <w:rFonts w:hint="eastAsia"/>
        </w:rPr>
        <w:t>具体</w:t>
      </w:r>
      <w:r w:rsidR="00544F6B">
        <w:rPr>
          <w:rFonts w:hint="eastAsia"/>
        </w:rPr>
        <w:t>实施</w:t>
      </w:r>
      <w:r>
        <w:rPr>
          <w:rFonts w:hint="eastAsia"/>
        </w:rPr>
        <w:t>逻辑：</w:t>
      </w:r>
    </w:p>
    <w:p w:rsidR="00234BDE" w:rsidRDefault="00C91D91" w:rsidP="00234BDE">
      <w:pPr>
        <w:pStyle w:val="ListParagraph"/>
        <w:ind w:left="81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234BDE">
        <w:rPr>
          <w:rFonts w:hint="eastAsia"/>
        </w:rPr>
        <w:t>计算每个行业</w:t>
      </w:r>
      <w:r>
        <w:rPr>
          <w:rFonts w:hint="eastAsia"/>
        </w:rPr>
        <w:t>指数</w:t>
      </w:r>
      <w:r w:rsidR="00234BDE">
        <w:rPr>
          <w:rFonts w:hint="eastAsia"/>
        </w:rPr>
        <w:t>的</w:t>
      </w:r>
      <w:r>
        <w:rPr>
          <w:rFonts w:hint="eastAsia"/>
        </w:rPr>
        <w:t>日涨跌幅、</w:t>
      </w:r>
      <w:r>
        <w:rPr>
          <w:rFonts w:hint="eastAsia"/>
        </w:rPr>
        <w:t>beta</w:t>
      </w:r>
      <w:r>
        <w:rPr>
          <w:rFonts w:hint="eastAsia"/>
        </w:rPr>
        <w:t>值和</w:t>
      </w:r>
      <w:r>
        <w:rPr>
          <w:rFonts w:hint="eastAsia"/>
        </w:rPr>
        <w:t>alpha</w:t>
      </w:r>
      <w:r>
        <w:rPr>
          <w:rFonts w:hint="eastAsia"/>
        </w:rPr>
        <w:t>值，其中</w:t>
      </w:r>
    </w:p>
    <w:p w:rsidR="00C91D91" w:rsidRPr="00C91D91" w:rsidRDefault="00C91D91" w:rsidP="00234BDE">
      <w:pPr>
        <w:pStyle w:val="ListParagraph"/>
        <w:ind w:left="810"/>
      </w:pPr>
      <m:oMathPara>
        <m:oMath>
          <m:r>
            <m:rPr>
              <m:sty m:val="p"/>
            </m:rPr>
            <w:rPr>
              <w:rFonts w:ascii="Cambria Math" w:hAnsi="Cambria Math"/>
            </w:rPr>
            <m:t>beta=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cov(r,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C91D91" w:rsidRPr="00C91D91" w:rsidRDefault="00C91D91" w:rsidP="00234BDE">
      <w:pPr>
        <w:pStyle w:val="ListParagraph"/>
        <w:ind w:left="810"/>
      </w:pPr>
      <m:oMathPara>
        <m:oMath>
          <m:r>
            <m:rPr>
              <m:sty m:val="p"/>
            </m:rPr>
            <w:rPr>
              <w:rFonts w:ascii="Cambria Math" w:hAnsi="Cambria Math"/>
            </w:rPr>
            <m:t>alpha=r-beta*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C91D91" w:rsidRDefault="00C91D91" w:rsidP="00234BDE">
      <w:pPr>
        <w:pStyle w:val="ListParagraph"/>
        <w:ind w:left="81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27302">
        <w:rPr>
          <w:rFonts w:hint="eastAsia"/>
        </w:rPr>
        <w:t>计算行业指数上涨和正</w:t>
      </w:r>
      <w:r w:rsidR="00227302">
        <w:rPr>
          <w:rFonts w:hint="eastAsia"/>
        </w:rPr>
        <w:t>alpha</w:t>
      </w:r>
      <w:r w:rsidR="00227302">
        <w:rPr>
          <w:rFonts w:hint="eastAsia"/>
        </w:rPr>
        <w:t>值</w:t>
      </w:r>
      <w:r w:rsidR="005B7F9F">
        <w:rPr>
          <w:rFonts w:hint="eastAsia"/>
        </w:rPr>
        <w:t>的比例，分别计算其五日均值</w:t>
      </w:r>
    </w:p>
    <w:p w:rsidR="00C91D91" w:rsidRDefault="00C91D91" w:rsidP="00234BDE">
      <w:pPr>
        <w:pStyle w:val="ListParagraph"/>
        <w:ind w:left="810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5B7F9F">
        <w:rPr>
          <w:rFonts w:hint="eastAsia"/>
        </w:rPr>
        <w:t>如果前一日比例均值达到入场条件，则以当日收盘价进场；如果有多仓但前一日比例均值不再符合条件，则按当日收盘价平仓。</w:t>
      </w:r>
      <w:r w:rsidR="00544F6B">
        <w:rPr>
          <w:rFonts w:hint="eastAsia"/>
        </w:rPr>
        <w:t>（如果标的为</w:t>
      </w:r>
      <w:r w:rsidR="00544F6B">
        <w:rPr>
          <w:rFonts w:hint="eastAsia"/>
        </w:rPr>
        <w:t>300</w:t>
      </w:r>
      <w:r w:rsidR="00544F6B">
        <w:rPr>
          <w:rFonts w:hint="eastAsia"/>
        </w:rPr>
        <w:t>指数，则盈亏单位为指数点数。）</w:t>
      </w:r>
    </w:p>
    <w:p w:rsidR="00544F6B" w:rsidRDefault="00BA01F6" w:rsidP="00544F6B">
      <w:pPr>
        <w:pStyle w:val="ListParagraph"/>
        <w:keepNext/>
        <w:ind w:left="810"/>
        <w:jc w:val="center"/>
      </w:pPr>
      <w:r>
        <w:rPr>
          <w:rFonts w:hint="eastAsia"/>
          <w:noProof/>
        </w:rPr>
        <w:drawing>
          <wp:inline distT="0" distB="0" distL="0" distR="0" wp14:anchorId="72CBBC3F" wp14:editId="0D01B8AC">
            <wp:extent cx="5943341" cy="437578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t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1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87" w:rsidRDefault="00544F6B" w:rsidP="00E54E87">
      <w:pPr>
        <w:pStyle w:val="Caption"/>
        <w:jc w:val="center"/>
      </w:pPr>
      <w:r>
        <w:t xml:space="preserve">Figure </w:t>
      </w:r>
      <w:r w:rsidR="00022F1A">
        <w:fldChar w:fldCharType="begin"/>
      </w:r>
      <w:r w:rsidR="00022F1A">
        <w:instrText xml:space="preserve"> SEQ Figure \* ARABIC </w:instrText>
      </w:r>
      <w:r w:rsidR="00022F1A">
        <w:fldChar w:fldCharType="separate"/>
      </w:r>
      <w:r w:rsidR="00E54E87">
        <w:rPr>
          <w:noProof/>
        </w:rPr>
        <w:t>1</w:t>
      </w:r>
      <w:r w:rsidR="00022F1A">
        <w:rPr>
          <w:noProof/>
        </w:rPr>
        <w:fldChar w:fldCharType="end"/>
      </w:r>
      <w:r>
        <w:rPr>
          <w:rFonts w:hint="eastAsia"/>
        </w:rPr>
        <w:t>研报原策略自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日表现，</w:t>
      </w:r>
      <w:r w:rsidR="00D17170">
        <w:rPr>
          <w:rFonts w:hint="eastAsia"/>
        </w:rPr>
        <w:t>标的为沪深</w:t>
      </w:r>
      <w:r w:rsidR="00D17170">
        <w:rPr>
          <w:rFonts w:hint="eastAsia"/>
        </w:rPr>
        <w:t>300</w:t>
      </w:r>
      <w:r w:rsidR="00D17170">
        <w:rPr>
          <w:rFonts w:hint="eastAsia"/>
        </w:rPr>
        <w:t>指数；</w:t>
      </w:r>
      <w:r>
        <w:rPr>
          <w:rFonts w:hint="eastAsia"/>
        </w:rPr>
        <w:t>上图中以三角标示交易位置，下图</w:t>
      </w:r>
      <w:r w:rsidR="00D17170">
        <w:rPr>
          <w:rFonts w:hint="eastAsia"/>
        </w:rPr>
        <w:t>为每日盈亏分布；策略总盈利</w:t>
      </w:r>
      <w:r w:rsidR="00D17170">
        <w:rPr>
          <w:rFonts w:hint="eastAsia"/>
        </w:rPr>
        <w:t>3095.04</w:t>
      </w:r>
      <w:r w:rsidR="00D17170">
        <w:rPr>
          <w:rFonts w:hint="eastAsia"/>
        </w:rPr>
        <w:t>，最大回撤</w:t>
      </w:r>
      <w:r w:rsidR="00D17170">
        <w:rPr>
          <w:rFonts w:hint="eastAsia"/>
        </w:rPr>
        <w:t>-941.47</w:t>
      </w:r>
      <w:r w:rsidR="00D17170">
        <w:rPr>
          <w:rFonts w:hint="eastAsia"/>
        </w:rPr>
        <w:t>，夏普比率</w:t>
      </w:r>
      <w:r w:rsidR="00D17170">
        <w:rPr>
          <w:rFonts w:hint="eastAsia"/>
        </w:rPr>
        <w:t>0.05</w:t>
      </w:r>
    </w:p>
    <w:p w:rsidR="00E93CD1" w:rsidRDefault="0075307D" w:rsidP="00D17170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策略</w:t>
      </w:r>
      <w:r w:rsidR="00052C69">
        <w:rPr>
          <w:rFonts w:hint="eastAsia"/>
        </w:rPr>
        <w:t>在</w:t>
      </w:r>
      <w:r w:rsidR="00052C69">
        <w:rPr>
          <w:rFonts w:hint="eastAsia"/>
        </w:rPr>
        <w:t>2014</w:t>
      </w:r>
      <w:r w:rsidR="00052C69">
        <w:rPr>
          <w:rFonts w:hint="eastAsia"/>
        </w:rPr>
        <w:t>年</w:t>
      </w:r>
      <w:r w:rsidR="00052C69">
        <w:rPr>
          <w:rFonts w:hint="eastAsia"/>
        </w:rPr>
        <w:t>11</w:t>
      </w:r>
      <w:r w:rsidR="00052C69">
        <w:rPr>
          <w:rFonts w:hint="eastAsia"/>
        </w:rPr>
        <w:t>月</w:t>
      </w:r>
      <w:r w:rsidR="00052C69">
        <w:rPr>
          <w:rFonts w:hint="eastAsia"/>
        </w:rPr>
        <w:t>20</w:t>
      </w:r>
      <w:r w:rsidR="00052C69">
        <w:rPr>
          <w:rFonts w:hint="eastAsia"/>
        </w:rPr>
        <w:t>日之后的表现：</w:t>
      </w:r>
    </w:p>
    <w:p w:rsidR="00E54E87" w:rsidRDefault="00E93CD1" w:rsidP="00E54E87">
      <w:pPr>
        <w:pStyle w:val="ListParagraph"/>
        <w:keepNext/>
        <w:ind w:left="810"/>
      </w:pPr>
      <w:r>
        <w:rPr>
          <w:rFonts w:hint="eastAsia"/>
        </w:rPr>
        <w:t>可见该策略自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EF3805">
        <w:rPr>
          <w:rFonts w:hint="eastAsia"/>
        </w:rPr>
        <w:t>25</w:t>
      </w:r>
      <w:r>
        <w:rPr>
          <w:rFonts w:hint="eastAsia"/>
        </w:rPr>
        <w:t>日</w:t>
      </w:r>
      <w:r w:rsidR="00EF3805">
        <w:rPr>
          <w:rFonts w:hint="eastAsia"/>
        </w:rPr>
        <w:t>和</w:t>
      </w:r>
      <w:r w:rsidR="00EF3805">
        <w:rPr>
          <w:rFonts w:hint="eastAsia"/>
        </w:rPr>
        <w:t>28</w:t>
      </w:r>
      <w:r w:rsidR="00EF3805">
        <w:rPr>
          <w:rFonts w:hint="eastAsia"/>
        </w:rPr>
        <w:t>日两次</w:t>
      </w:r>
      <w:r>
        <w:rPr>
          <w:rFonts w:hint="eastAsia"/>
        </w:rPr>
        <w:t>进场</w:t>
      </w:r>
      <w:r w:rsidR="00022F1A">
        <w:rPr>
          <w:rFonts w:hint="eastAsia"/>
        </w:rPr>
        <w:t>（分别于</w:t>
      </w:r>
      <w:r w:rsidR="00022F1A">
        <w:rPr>
          <w:rFonts w:hint="eastAsia"/>
        </w:rPr>
        <w:t>11</w:t>
      </w:r>
      <w:r w:rsidR="00022F1A">
        <w:rPr>
          <w:rFonts w:hint="eastAsia"/>
        </w:rPr>
        <w:t>月</w:t>
      </w:r>
      <w:r w:rsidR="00022F1A">
        <w:rPr>
          <w:rFonts w:hint="eastAsia"/>
        </w:rPr>
        <w:t>26</w:t>
      </w:r>
      <w:r w:rsidR="00022F1A">
        <w:rPr>
          <w:rFonts w:hint="eastAsia"/>
        </w:rPr>
        <w:t>日和</w:t>
      </w:r>
      <w:r w:rsidR="00022F1A">
        <w:rPr>
          <w:rFonts w:hint="eastAsia"/>
        </w:rPr>
        <w:t>12</w:t>
      </w:r>
      <w:r w:rsidR="00022F1A">
        <w:rPr>
          <w:rFonts w:hint="eastAsia"/>
        </w:rPr>
        <w:t>月</w:t>
      </w:r>
      <w:r w:rsidR="00022F1A">
        <w:rPr>
          <w:rFonts w:hint="eastAsia"/>
        </w:rPr>
        <w:t>5</w:t>
      </w:r>
      <w:r w:rsidR="00022F1A">
        <w:rPr>
          <w:rFonts w:hint="eastAsia"/>
        </w:rPr>
        <w:t>日出现平仓信号）</w:t>
      </w:r>
      <w:bookmarkStart w:id="0" w:name="_GoBack"/>
      <w:bookmarkEnd w:id="0"/>
      <w:r>
        <w:rPr>
          <w:rFonts w:hint="eastAsia"/>
        </w:rPr>
        <w:t>，抓住了这波趋势的很大部分。</w:t>
      </w:r>
      <w:r w:rsidR="00D17170">
        <w:rPr>
          <w:rFonts w:hint="eastAsia"/>
          <w:noProof/>
        </w:rPr>
        <w:t xml:space="preserve"> </w:t>
      </w:r>
      <w:r w:rsidR="00052C69">
        <w:rPr>
          <w:rFonts w:hint="eastAsia"/>
          <w:noProof/>
        </w:rPr>
        <w:drawing>
          <wp:inline distT="0" distB="0" distL="0" distR="0" wp14:anchorId="57F64CC2" wp14:editId="1EEB931C">
            <wp:extent cx="5943600" cy="43759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inde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95" w:rsidRDefault="00E54E87" w:rsidP="004F5995">
      <w:pPr>
        <w:pStyle w:val="Caption"/>
        <w:jc w:val="center"/>
      </w:pPr>
      <w:r>
        <w:t xml:space="preserve">Figure </w:t>
      </w:r>
      <w:r w:rsidR="00022F1A">
        <w:fldChar w:fldCharType="begin"/>
      </w:r>
      <w:r w:rsidR="00022F1A">
        <w:instrText xml:space="preserve"> SEQ Figure \* ARABIC </w:instrText>
      </w:r>
      <w:r w:rsidR="00022F1A">
        <w:fldChar w:fldCharType="separate"/>
      </w:r>
      <w:r>
        <w:rPr>
          <w:noProof/>
        </w:rPr>
        <w:t>2</w:t>
      </w:r>
      <w:r w:rsidR="00022F1A">
        <w:rPr>
          <w:noProof/>
        </w:rPr>
        <w:fldChar w:fldCharType="end"/>
      </w:r>
      <w:r w:rsidRPr="00F971E9">
        <w:rPr>
          <w:rFonts w:hint="eastAsia"/>
        </w:rPr>
        <w:t>策略以沪深</w:t>
      </w:r>
      <w:r w:rsidRPr="00F971E9">
        <w:rPr>
          <w:rFonts w:hint="eastAsia"/>
        </w:rPr>
        <w:t>300</w:t>
      </w:r>
      <w:r w:rsidRPr="00F971E9">
        <w:rPr>
          <w:rFonts w:hint="eastAsia"/>
        </w:rPr>
        <w:t>指数为标的的表现</w:t>
      </w:r>
      <w:r w:rsidR="004F5995">
        <w:rPr>
          <w:rFonts w:hint="eastAsia"/>
        </w:rPr>
        <w:t>，在</w:t>
      </w:r>
      <w:r w:rsidR="004F5995">
        <w:rPr>
          <w:rFonts w:hint="eastAsia"/>
        </w:rPr>
        <w:t>11</w:t>
      </w:r>
      <w:r w:rsidR="004F5995">
        <w:rPr>
          <w:rFonts w:hint="eastAsia"/>
        </w:rPr>
        <w:t>月</w:t>
      </w:r>
      <w:r w:rsidR="004F5995">
        <w:rPr>
          <w:rFonts w:hint="eastAsia"/>
        </w:rPr>
        <w:t>25</w:t>
      </w:r>
      <w:r w:rsidR="00CB3294">
        <w:rPr>
          <w:rFonts w:hint="eastAsia"/>
        </w:rPr>
        <w:t>日和</w:t>
      </w:r>
      <w:r w:rsidR="00CB3294">
        <w:rPr>
          <w:rFonts w:hint="eastAsia"/>
        </w:rPr>
        <w:t>28</w:t>
      </w:r>
      <w:r w:rsidR="00CB3294">
        <w:rPr>
          <w:rFonts w:hint="eastAsia"/>
        </w:rPr>
        <w:t>日两次进场</w:t>
      </w:r>
      <w:r w:rsidR="00022F1A">
        <w:rPr>
          <w:rFonts w:hint="eastAsia"/>
        </w:rPr>
        <w:t>：</w:t>
      </w:r>
      <w:r w:rsidR="00022F1A">
        <w:rPr>
          <w:rFonts w:hint="eastAsia"/>
        </w:rPr>
        <w:t>11</w:t>
      </w:r>
      <w:r w:rsidR="00022F1A">
        <w:rPr>
          <w:rFonts w:hint="eastAsia"/>
        </w:rPr>
        <w:t>月</w:t>
      </w:r>
      <w:r w:rsidR="00022F1A">
        <w:rPr>
          <w:rFonts w:hint="eastAsia"/>
        </w:rPr>
        <w:t>25</w:t>
      </w:r>
      <w:r w:rsidR="00022F1A">
        <w:rPr>
          <w:rFonts w:hint="eastAsia"/>
        </w:rPr>
        <w:t>日，</w:t>
      </w:r>
      <w:r w:rsidR="00022F1A" w:rsidRPr="00022F1A">
        <w:rPr>
          <w:rFonts w:hint="eastAsia"/>
        </w:rPr>
        <w:t>Buy@2685.56</w:t>
      </w:r>
      <w:r w:rsidR="00022F1A" w:rsidRPr="00022F1A">
        <w:rPr>
          <w:rFonts w:hint="eastAsia"/>
        </w:rPr>
        <w:t>，</w:t>
      </w:r>
      <w:r w:rsidR="00022F1A" w:rsidRPr="00022F1A">
        <w:rPr>
          <w:rFonts w:hint="eastAsia"/>
        </w:rPr>
        <w:t>11</w:t>
      </w:r>
      <w:r w:rsidR="00022F1A" w:rsidRPr="00022F1A">
        <w:rPr>
          <w:rFonts w:hint="eastAsia"/>
        </w:rPr>
        <w:t>月</w:t>
      </w:r>
      <w:r w:rsidR="00022F1A" w:rsidRPr="00022F1A">
        <w:rPr>
          <w:rFonts w:hint="eastAsia"/>
        </w:rPr>
        <w:t>26</w:t>
      </w:r>
      <w:r w:rsidR="00022F1A">
        <w:rPr>
          <w:rFonts w:hint="eastAsia"/>
        </w:rPr>
        <w:t>日，</w:t>
      </w:r>
      <w:r w:rsidR="00022F1A" w:rsidRPr="00022F1A">
        <w:rPr>
          <w:rFonts w:hint="eastAsia"/>
        </w:rPr>
        <w:t>Sell@2723.02</w:t>
      </w:r>
      <w:r w:rsidR="00022F1A" w:rsidRPr="00022F1A">
        <w:rPr>
          <w:rFonts w:hint="eastAsia"/>
        </w:rPr>
        <w:t>，</w:t>
      </w:r>
      <w:r w:rsidR="00022F1A" w:rsidRPr="00022F1A">
        <w:rPr>
          <w:rFonts w:hint="eastAsia"/>
        </w:rPr>
        <w:t>,11</w:t>
      </w:r>
      <w:r w:rsidR="00022F1A" w:rsidRPr="00022F1A">
        <w:rPr>
          <w:rFonts w:hint="eastAsia"/>
        </w:rPr>
        <w:t>月</w:t>
      </w:r>
      <w:r w:rsidR="00022F1A" w:rsidRPr="00022F1A">
        <w:rPr>
          <w:rFonts w:hint="eastAsia"/>
        </w:rPr>
        <w:t>28</w:t>
      </w:r>
      <w:r w:rsidR="00022F1A">
        <w:rPr>
          <w:rFonts w:hint="eastAsia"/>
        </w:rPr>
        <w:t>日，</w:t>
      </w:r>
      <w:r w:rsidR="00022F1A" w:rsidRPr="00022F1A">
        <w:rPr>
          <w:rFonts w:hint="eastAsia"/>
        </w:rPr>
        <w:t>Buy@2808.82</w:t>
      </w:r>
      <w:r w:rsidR="00022F1A" w:rsidRPr="00022F1A">
        <w:rPr>
          <w:rFonts w:hint="eastAsia"/>
        </w:rPr>
        <w:t>，</w:t>
      </w:r>
      <w:r w:rsidR="00022F1A" w:rsidRPr="00022F1A">
        <w:rPr>
          <w:rFonts w:hint="eastAsia"/>
        </w:rPr>
        <w:t>12</w:t>
      </w:r>
      <w:r w:rsidR="00022F1A" w:rsidRPr="00022F1A">
        <w:rPr>
          <w:rFonts w:hint="eastAsia"/>
        </w:rPr>
        <w:t>月</w:t>
      </w:r>
      <w:r w:rsidR="00022F1A" w:rsidRPr="00022F1A">
        <w:rPr>
          <w:rFonts w:hint="eastAsia"/>
        </w:rPr>
        <w:t>5</w:t>
      </w:r>
      <w:r w:rsidR="00022F1A">
        <w:rPr>
          <w:rFonts w:hint="eastAsia"/>
        </w:rPr>
        <w:t>日，</w:t>
      </w:r>
      <w:r w:rsidR="00022F1A">
        <w:rPr>
          <w:rFonts w:hint="eastAsia"/>
        </w:rPr>
        <w:t>Sell@3124.89</w:t>
      </w:r>
    </w:p>
    <w:p w:rsidR="00052C69" w:rsidRDefault="00052C69" w:rsidP="00E54E87">
      <w:pPr>
        <w:pStyle w:val="Caption"/>
        <w:jc w:val="center"/>
      </w:pPr>
    </w:p>
    <w:p w:rsidR="00E54E87" w:rsidRDefault="00E54E87">
      <w:r>
        <w:br w:type="page"/>
      </w:r>
    </w:p>
    <w:p w:rsidR="00B66803" w:rsidRDefault="00052C69" w:rsidP="00B6680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参数优化：</w:t>
      </w:r>
    </w:p>
    <w:p w:rsidR="00437BEC" w:rsidRDefault="00052C69" w:rsidP="00437BEC">
      <w:pPr>
        <w:pStyle w:val="ListParagraph"/>
        <w:ind w:left="810"/>
      </w:pPr>
      <w:r>
        <w:rPr>
          <w:rFonts w:hint="eastAsia"/>
        </w:rPr>
        <w:t>程序针对原策略中上涨行业个数比例阈值和正</w:t>
      </w:r>
      <w:r>
        <w:rPr>
          <w:rFonts w:hint="eastAsia"/>
        </w:rPr>
        <w:t>Alpha</w:t>
      </w:r>
      <w:r>
        <w:rPr>
          <w:rFonts w:hint="eastAsia"/>
        </w:rPr>
        <w:t>行业个数比例阈值进行了遍历优化</w:t>
      </w:r>
      <w:r w:rsidR="00B66803">
        <w:rPr>
          <w:rFonts w:hint="eastAsia"/>
        </w:rPr>
        <w:t>（步长</w:t>
      </w:r>
      <w:r w:rsidR="00B66803">
        <w:rPr>
          <w:rFonts w:hint="eastAsia"/>
        </w:rPr>
        <w:t>=10%</w:t>
      </w:r>
      <w:r w:rsidR="00B66803">
        <w:rPr>
          <w:rFonts w:hint="eastAsia"/>
        </w:rPr>
        <w:t>）</w:t>
      </w:r>
      <w:r>
        <w:rPr>
          <w:rFonts w:hint="eastAsia"/>
        </w:rPr>
        <w:t>，样本为</w:t>
      </w:r>
      <w:r>
        <w:rPr>
          <w:rFonts w:hint="eastAsia"/>
        </w:rPr>
        <w:t>200</w:t>
      </w:r>
      <w:r w:rsidR="00E93CD1">
        <w:rPr>
          <w:rFonts w:hint="eastAsia"/>
        </w:rPr>
        <w:t>6</w:t>
      </w:r>
      <w:r w:rsidR="00E93CD1">
        <w:rPr>
          <w:rFonts w:hint="eastAsia"/>
        </w:rPr>
        <w:t>年</w:t>
      </w:r>
      <w:r w:rsidR="00E93CD1">
        <w:rPr>
          <w:rFonts w:hint="eastAsia"/>
        </w:rPr>
        <w:t>4</w:t>
      </w:r>
      <w:r w:rsidR="00E93CD1">
        <w:rPr>
          <w:rFonts w:hint="eastAsia"/>
        </w:rPr>
        <w:t>月</w:t>
      </w:r>
      <w:r w:rsidR="00E93CD1">
        <w:rPr>
          <w:rFonts w:hint="eastAsia"/>
        </w:rPr>
        <w:t>13</w:t>
      </w:r>
      <w:r w:rsidR="00E93CD1">
        <w:rPr>
          <w:rFonts w:hint="eastAsia"/>
        </w:rPr>
        <w:t>日至</w:t>
      </w:r>
      <w:r w:rsidR="00E93CD1">
        <w:rPr>
          <w:rFonts w:hint="eastAsia"/>
        </w:rPr>
        <w:t>2011</w:t>
      </w:r>
      <w:r w:rsidR="00E93CD1">
        <w:rPr>
          <w:rFonts w:hint="eastAsia"/>
        </w:rPr>
        <w:t>年</w:t>
      </w:r>
      <w:r w:rsidR="00E93CD1">
        <w:rPr>
          <w:rFonts w:hint="eastAsia"/>
        </w:rPr>
        <w:t>12</w:t>
      </w:r>
      <w:r w:rsidR="00E93CD1">
        <w:rPr>
          <w:rFonts w:hint="eastAsia"/>
        </w:rPr>
        <w:t>月</w:t>
      </w:r>
      <w:r w:rsidR="00E93CD1">
        <w:rPr>
          <w:rFonts w:hint="eastAsia"/>
        </w:rPr>
        <w:t>31</w:t>
      </w:r>
      <w:r w:rsidR="00E93CD1">
        <w:rPr>
          <w:rFonts w:hint="eastAsia"/>
        </w:rPr>
        <w:t>日的行情数据。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743"/>
        <w:gridCol w:w="809"/>
        <w:gridCol w:w="809"/>
        <w:gridCol w:w="809"/>
        <w:gridCol w:w="809"/>
        <w:gridCol w:w="809"/>
        <w:gridCol w:w="812"/>
        <w:gridCol w:w="809"/>
        <w:gridCol w:w="809"/>
        <w:gridCol w:w="774"/>
        <w:gridCol w:w="774"/>
      </w:tblGrid>
      <w:tr w:rsidR="00437BEC" w:rsidTr="008A00BB">
        <w:tc>
          <w:tcPr>
            <w:tcW w:w="797" w:type="dxa"/>
            <w:vAlign w:val="bottom"/>
          </w:tcPr>
          <w:p w:rsidR="00437BEC" w:rsidRDefault="00437BE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0.00</w:t>
            </w: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0.10</w:t>
            </w: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0.20</w:t>
            </w:r>
          </w:p>
        </w:tc>
        <w:tc>
          <w:tcPr>
            <w:tcW w:w="796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0.30</w:t>
            </w: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0.40</w:t>
            </w: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0.50</w:t>
            </w: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0.60</w:t>
            </w: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0.70</w:t>
            </w: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0.80</w:t>
            </w:r>
          </w:p>
        </w:tc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0.90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0.00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0.10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0.20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151.13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151.13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151.13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333.09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49.23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73.03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134.41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-122.15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0.30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439.17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383.4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353.6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459.73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191.19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218.19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399.26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-3.32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-71.33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8.62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0.40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1658.84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1603.07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1575.41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1323.87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596.62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923.66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932.95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273.65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96.38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51.84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0.50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2850.14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3148.2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3564.87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2702.56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2626.35</w:t>
            </w:r>
          </w:p>
        </w:tc>
        <w:tc>
          <w:tcPr>
            <w:tcW w:w="797" w:type="dxa"/>
            <w:vAlign w:val="bottom"/>
          </w:tcPr>
          <w:p w:rsidR="00437BEC" w:rsidRPr="00E54E87" w:rsidRDefault="00437BEC">
            <w:pPr>
              <w:jc w:val="right"/>
              <w:rPr>
                <w:rFonts w:ascii="Calibri" w:hAnsi="Calibri"/>
                <w:b/>
                <w:color w:val="000000"/>
                <w:sz w:val="18"/>
              </w:rPr>
            </w:pPr>
            <w:r w:rsidRPr="00E54E87">
              <w:rPr>
                <w:rFonts w:ascii="Calibri" w:hAnsi="Calibri"/>
                <w:b/>
                <w:color w:val="000000"/>
                <w:sz w:val="18"/>
              </w:rPr>
              <w:t>3266.93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2449.13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1270.51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496.29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104.5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0.60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2374.64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2654.9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2967.6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2611.95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2245.84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1174.02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1660.75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1766.39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625.65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159.22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0.70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1812.54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2092.8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2411.59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1833.79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1205.61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737.94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1446.6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1747.14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820.72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242.37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0.80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1949.06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2229.32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2548.11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1970.31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1294.9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757.02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1446.6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1747.14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820.72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242.37</w:t>
            </w:r>
          </w:p>
        </w:tc>
      </w:tr>
      <w:tr w:rsidR="00437BEC" w:rsidTr="008A00BB">
        <w:tc>
          <w:tcPr>
            <w:tcW w:w="797" w:type="dxa"/>
          </w:tcPr>
          <w:p w:rsidR="00437BEC" w:rsidRDefault="00437BE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0.90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1949.06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2229.32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2548.11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1970.31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1294.9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757.02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1446.6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1747.14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820.72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242.37</w:t>
            </w:r>
          </w:p>
        </w:tc>
      </w:tr>
    </w:tbl>
    <w:p w:rsidR="00437BEC" w:rsidRDefault="00437BEC" w:rsidP="00E54E87">
      <w:pPr>
        <w:pStyle w:val="Caption"/>
        <w:jc w:val="center"/>
      </w:pPr>
      <w:r>
        <w:t xml:space="preserve">Table </w:t>
      </w:r>
      <w:r w:rsidR="00022F1A">
        <w:fldChar w:fldCharType="begin"/>
      </w:r>
      <w:r w:rsidR="00022F1A">
        <w:instrText xml:space="preserve"> SEQ Table \* ARABIC </w:instrText>
      </w:r>
      <w:r w:rsidR="00022F1A">
        <w:fldChar w:fldCharType="separate"/>
      </w:r>
      <w:r>
        <w:rPr>
          <w:noProof/>
        </w:rPr>
        <w:t>1</w:t>
      </w:r>
      <w:r w:rsidR="00022F1A">
        <w:rPr>
          <w:noProof/>
        </w:rPr>
        <w:fldChar w:fldCharType="end"/>
      </w:r>
      <w:r>
        <w:rPr>
          <w:rFonts w:hint="eastAsia"/>
        </w:rPr>
        <w:t>策略样本内盈亏随参数变化（横坐标：</w:t>
      </w:r>
      <w:r>
        <w:rPr>
          <w:rFonts w:hint="eastAsia"/>
        </w:rPr>
        <w:t>Alpha</w:t>
      </w:r>
      <w:r>
        <w:rPr>
          <w:rFonts w:hint="eastAsia"/>
        </w:rPr>
        <w:t>比例阈值，纵坐标：指数上涨比例阈值）</w:t>
      </w:r>
    </w:p>
    <w:tbl>
      <w:tblPr>
        <w:tblStyle w:val="TableGrid"/>
        <w:tblW w:w="8766" w:type="dxa"/>
        <w:tblInd w:w="810" w:type="dxa"/>
        <w:tblLook w:val="04A0" w:firstRow="1" w:lastRow="0" w:firstColumn="1" w:lastColumn="0" w:noHBand="0" w:noVBand="1"/>
      </w:tblPr>
      <w:tblGrid>
        <w:gridCol w:w="766"/>
        <w:gridCol w:w="809"/>
        <w:gridCol w:w="809"/>
        <w:gridCol w:w="809"/>
        <w:gridCol w:w="809"/>
        <w:gridCol w:w="809"/>
        <w:gridCol w:w="809"/>
        <w:gridCol w:w="809"/>
        <w:gridCol w:w="784"/>
        <w:gridCol w:w="784"/>
        <w:gridCol w:w="769"/>
      </w:tblGrid>
      <w:tr w:rsidR="00437BEC" w:rsidTr="00437BEC">
        <w:tc>
          <w:tcPr>
            <w:tcW w:w="797" w:type="dxa"/>
            <w:vAlign w:val="bottom"/>
          </w:tcPr>
          <w:p w:rsidR="00437BEC" w:rsidRDefault="00437BEC" w:rsidP="008F47A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0.00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0.10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0.20</w:t>
            </w:r>
          </w:p>
        </w:tc>
        <w:tc>
          <w:tcPr>
            <w:tcW w:w="796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0.30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0.40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0.50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0.60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0.70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0.80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0.90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0.00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0.10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0.20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503.04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503.04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503.04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321.08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444.41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402.69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0.30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503.04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503.04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559.06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377.1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500.43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455.51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178.17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79.95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0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0.40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896.86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952.63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878.19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1042.8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813.86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564.37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301.65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234.46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81.57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32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0.50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3148.65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2899.3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2454.36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3207.51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2166.26</w:t>
            </w:r>
          </w:p>
        </w:tc>
        <w:tc>
          <w:tcPr>
            <w:tcW w:w="797" w:type="dxa"/>
            <w:vAlign w:val="bottom"/>
          </w:tcPr>
          <w:p w:rsidR="00437BEC" w:rsidRPr="00E54E87" w:rsidRDefault="00437BEC">
            <w:pPr>
              <w:jc w:val="right"/>
              <w:rPr>
                <w:rFonts w:ascii="Calibri" w:hAnsi="Calibri"/>
                <w:b/>
                <w:color w:val="000000"/>
                <w:sz w:val="18"/>
              </w:rPr>
            </w:pPr>
            <w:r w:rsidRPr="00E54E87">
              <w:rPr>
                <w:rFonts w:ascii="Calibri" w:hAnsi="Calibri"/>
                <w:b/>
                <w:color w:val="000000"/>
                <w:sz w:val="18"/>
              </w:rPr>
              <w:t>941.47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682.92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391.14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136.12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32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0.60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4031.54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3782.19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3310.34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3964.31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3064.92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2829.97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1398.6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629.11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370.91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68.42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0.70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4325.3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4075.95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3586.39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4400.72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3818.43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3161.93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1531.02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661.53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329.21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68.42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0.80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4249.44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4000.09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3510.53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4324.86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3742.57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3142.85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1531.02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661.53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329.21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68.42</w:t>
            </w:r>
          </w:p>
        </w:tc>
      </w:tr>
      <w:tr w:rsidR="00437BEC" w:rsidTr="00B77C72"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0.90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4249.44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4000.09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3510.53</w:t>
            </w:r>
          </w:p>
        </w:tc>
        <w:tc>
          <w:tcPr>
            <w:tcW w:w="796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4324.86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3742.57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3142.85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1531.02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661.53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329.21</w:t>
            </w:r>
          </w:p>
        </w:tc>
        <w:tc>
          <w:tcPr>
            <w:tcW w:w="797" w:type="dxa"/>
            <w:vAlign w:val="bottom"/>
          </w:tcPr>
          <w:p w:rsidR="00437BEC" w:rsidRPr="00437BEC" w:rsidRDefault="00437BEC">
            <w:pPr>
              <w:jc w:val="right"/>
              <w:rPr>
                <w:rFonts w:ascii="Calibri" w:hAnsi="Calibri"/>
                <w:color w:val="000000"/>
                <w:sz w:val="18"/>
              </w:rPr>
            </w:pPr>
            <w:r w:rsidRPr="00437BEC">
              <w:rPr>
                <w:rFonts w:ascii="Calibri" w:hAnsi="Calibri"/>
                <w:color w:val="000000"/>
                <w:sz w:val="18"/>
              </w:rPr>
              <w:t>68.42</w:t>
            </w:r>
          </w:p>
        </w:tc>
      </w:tr>
    </w:tbl>
    <w:p w:rsidR="00437BEC" w:rsidRPr="00437BEC" w:rsidRDefault="00437BEC" w:rsidP="00E54E87">
      <w:pPr>
        <w:pStyle w:val="Caption"/>
        <w:jc w:val="center"/>
      </w:pPr>
      <w:r>
        <w:t xml:space="preserve">Table </w:t>
      </w:r>
      <w:r w:rsidR="00022F1A">
        <w:fldChar w:fldCharType="begin"/>
      </w:r>
      <w:r w:rsidR="00022F1A">
        <w:instrText xml:space="preserve"> SEQ Table \* ARABIC </w:instrText>
      </w:r>
      <w:r w:rsidR="00022F1A">
        <w:fldChar w:fldCharType="separate"/>
      </w:r>
      <w:r>
        <w:rPr>
          <w:noProof/>
        </w:rPr>
        <w:t>2</w:t>
      </w:r>
      <w:r w:rsidR="00022F1A">
        <w:rPr>
          <w:noProof/>
        </w:rPr>
        <w:fldChar w:fldCharType="end"/>
      </w:r>
      <w:r w:rsidRPr="00073B67">
        <w:rPr>
          <w:rFonts w:hint="eastAsia"/>
        </w:rPr>
        <w:t>策略最大回撤随参数变化</w:t>
      </w:r>
      <w:r>
        <w:rPr>
          <w:rFonts w:hint="eastAsia"/>
        </w:rPr>
        <w:t>（横坐标：</w:t>
      </w:r>
      <w:r>
        <w:rPr>
          <w:rFonts w:hint="eastAsia"/>
        </w:rPr>
        <w:t>Alpha</w:t>
      </w:r>
      <w:r>
        <w:rPr>
          <w:rFonts w:hint="eastAsia"/>
        </w:rPr>
        <w:t>比例阈值，纵坐标：指数上涨比例阈值）</w:t>
      </w:r>
    </w:p>
    <w:tbl>
      <w:tblPr>
        <w:tblStyle w:val="TableGrid"/>
        <w:tblW w:w="8766" w:type="dxa"/>
        <w:tblInd w:w="810" w:type="dxa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6"/>
        <w:gridCol w:w="797"/>
        <w:gridCol w:w="797"/>
        <w:gridCol w:w="797"/>
        <w:gridCol w:w="797"/>
        <w:gridCol w:w="797"/>
      </w:tblGrid>
      <w:tr w:rsidR="00437BEC" w:rsidTr="00E54E87">
        <w:tc>
          <w:tcPr>
            <w:tcW w:w="797" w:type="dxa"/>
            <w:vAlign w:val="bottom"/>
          </w:tcPr>
          <w:p w:rsidR="00437BEC" w:rsidRDefault="00437BEC" w:rsidP="008F47A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0.00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0.10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0.20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0.30</w:t>
            </w:r>
          </w:p>
        </w:tc>
        <w:tc>
          <w:tcPr>
            <w:tcW w:w="796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0.40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0.50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0.60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0.70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0.80</w:t>
            </w:r>
          </w:p>
        </w:tc>
        <w:tc>
          <w:tcPr>
            <w:tcW w:w="797" w:type="dxa"/>
          </w:tcPr>
          <w:p w:rsidR="00437BEC" w:rsidRDefault="00437BEC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0.90</w:t>
            </w: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0.00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6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0.10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6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0.20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</w:t>
            </w:r>
          </w:p>
        </w:tc>
        <w:tc>
          <w:tcPr>
            <w:tcW w:w="796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0.11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0.30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0.76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1.22</w:t>
            </w:r>
          </w:p>
        </w:tc>
        <w:tc>
          <w:tcPr>
            <w:tcW w:w="796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0.38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-0.89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rPr>
                <w:rFonts w:ascii="Calibri" w:hAnsi="Calibri"/>
                <w:color w:val="000000"/>
              </w:rPr>
            </w:pP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0.40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1.85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1.68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1.27</w:t>
            </w:r>
          </w:p>
        </w:tc>
        <w:tc>
          <w:tcPr>
            <w:tcW w:w="796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1.17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1.18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1.62</w:t>
            </w: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0.50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1.45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</w:t>
            </w:r>
          </w:p>
        </w:tc>
        <w:tc>
          <w:tcPr>
            <w:tcW w:w="796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1.21</w:t>
            </w:r>
          </w:p>
        </w:tc>
        <w:tc>
          <w:tcPr>
            <w:tcW w:w="797" w:type="dxa"/>
            <w:vAlign w:val="bottom"/>
          </w:tcPr>
          <w:p w:rsidR="00E54E87" w:rsidRPr="00E54E87" w:rsidRDefault="00E54E87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E54E87">
              <w:rPr>
                <w:rFonts w:ascii="Calibri" w:hAnsi="Calibri"/>
                <w:b/>
                <w:color w:val="000000"/>
              </w:rPr>
              <w:t>3.47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3.25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3.65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3.27</w:t>
            </w: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0.60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</w:t>
            </w:r>
          </w:p>
        </w:tc>
        <w:tc>
          <w:tcPr>
            <w:tcW w:w="796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2.81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2.33</w:t>
            </w: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0.70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796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3.54</w:t>
            </w: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0.80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796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3.54</w:t>
            </w:r>
          </w:p>
        </w:tc>
      </w:tr>
      <w:tr w:rsidR="00E54E87" w:rsidTr="00E54E87">
        <w:tc>
          <w:tcPr>
            <w:tcW w:w="797" w:type="dxa"/>
          </w:tcPr>
          <w:p w:rsidR="00E54E87" w:rsidRDefault="00E54E87" w:rsidP="008F47A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0.90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0.46</w:t>
            </w:r>
          </w:p>
        </w:tc>
        <w:tc>
          <w:tcPr>
            <w:tcW w:w="796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2.64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2.49</w:t>
            </w:r>
          </w:p>
        </w:tc>
        <w:tc>
          <w:tcPr>
            <w:tcW w:w="797" w:type="dxa"/>
            <w:vAlign w:val="bottom"/>
          </w:tcPr>
          <w:p w:rsidR="00E54E87" w:rsidRDefault="00E54E8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3.54</w:t>
            </w:r>
          </w:p>
        </w:tc>
      </w:tr>
    </w:tbl>
    <w:p w:rsidR="00437BEC" w:rsidRDefault="00437BEC" w:rsidP="00437BEC">
      <w:pPr>
        <w:pStyle w:val="Caption"/>
        <w:jc w:val="center"/>
      </w:pPr>
      <w:r>
        <w:t xml:space="preserve">Table </w:t>
      </w:r>
      <w:r w:rsidR="00022F1A">
        <w:fldChar w:fldCharType="begin"/>
      </w:r>
      <w:r w:rsidR="00022F1A">
        <w:instrText xml:space="preserve"> SEQ Table \* ARABIC </w:instrText>
      </w:r>
      <w:r w:rsidR="00022F1A">
        <w:fldChar w:fldCharType="separate"/>
      </w:r>
      <w:r>
        <w:rPr>
          <w:noProof/>
        </w:rPr>
        <w:t>3</w:t>
      </w:r>
      <w:r w:rsidR="00022F1A">
        <w:rPr>
          <w:noProof/>
        </w:rPr>
        <w:fldChar w:fldCharType="end"/>
      </w:r>
      <w:r w:rsidRPr="00BC1113">
        <w:rPr>
          <w:rFonts w:hint="eastAsia"/>
        </w:rPr>
        <w:t>策略风险回报比例随参数变化</w:t>
      </w:r>
      <w:r>
        <w:rPr>
          <w:rFonts w:hint="eastAsia"/>
        </w:rPr>
        <w:t>（横坐标：</w:t>
      </w:r>
      <w:r>
        <w:rPr>
          <w:rFonts w:hint="eastAsia"/>
        </w:rPr>
        <w:t>Alpha</w:t>
      </w:r>
      <w:r>
        <w:rPr>
          <w:rFonts w:hint="eastAsia"/>
        </w:rPr>
        <w:t>比例阈值，纵坐标：指数上涨比例阈值）</w:t>
      </w:r>
    </w:p>
    <w:p w:rsidR="00052C69" w:rsidRPr="00052C69" w:rsidRDefault="00E54E87">
      <w:r>
        <w:rPr>
          <w:rFonts w:hint="eastAsia"/>
        </w:rPr>
        <w:tab/>
      </w:r>
      <w:r>
        <w:rPr>
          <w:rFonts w:hint="eastAsia"/>
        </w:rPr>
        <w:t>综合考虑，研报中原参数选择（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）即为最优选择。</w:t>
      </w:r>
      <w:r w:rsidR="00B66803">
        <w:rPr>
          <w:rFonts w:hint="eastAsia"/>
        </w:rPr>
        <w:t xml:space="preserve"> </w:t>
      </w:r>
      <w:r>
        <w:rPr>
          <w:rFonts w:hint="eastAsia"/>
        </w:rPr>
        <w:t>该参数对的样本外表现请见第一部分。</w:t>
      </w:r>
    </w:p>
    <w:sectPr w:rsidR="00052C69" w:rsidRPr="0005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46AE7"/>
    <w:multiLevelType w:val="hybridMultilevel"/>
    <w:tmpl w:val="37FE5552"/>
    <w:lvl w:ilvl="0" w:tplc="4CDACF5A">
      <w:start w:val="1"/>
      <w:numFmt w:val="japaneseCounting"/>
      <w:lvlText w:val="%1，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69"/>
    <w:rsid w:val="00022F1A"/>
    <w:rsid w:val="00052C69"/>
    <w:rsid w:val="00227302"/>
    <w:rsid w:val="00234BDE"/>
    <w:rsid w:val="00437BEC"/>
    <w:rsid w:val="004F5995"/>
    <w:rsid w:val="00544F6B"/>
    <w:rsid w:val="005B7F9F"/>
    <w:rsid w:val="0075307D"/>
    <w:rsid w:val="008A035E"/>
    <w:rsid w:val="00B66803"/>
    <w:rsid w:val="00BA01F6"/>
    <w:rsid w:val="00BB345F"/>
    <w:rsid w:val="00C91D91"/>
    <w:rsid w:val="00CB3294"/>
    <w:rsid w:val="00D17170"/>
    <w:rsid w:val="00E54E87"/>
    <w:rsid w:val="00E93CD1"/>
    <w:rsid w:val="00EF3805"/>
    <w:rsid w:val="00F2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2C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52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D91"/>
    <w:rPr>
      <w:color w:val="808080"/>
    </w:rPr>
  </w:style>
  <w:style w:type="table" w:styleId="TableGrid">
    <w:name w:val="Table Grid"/>
    <w:basedOn w:val="TableNormal"/>
    <w:uiPriority w:val="59"/>
    <w:rsid w:val="0043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4E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E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4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22F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2C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52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1D91"/>
    <w:rPr>
      <w:color w:val="808080"/>
    </w:rPr>
  </w:style>
  <w:style w:type="table" w:styleId="TableGrid">
    <w:name w:val="Table Grid"/>
    <w:basedOn w:val="TableNormal"/>
    <w:uiPriority w:val="59"/>
    <w:rsid w:val="0043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4E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E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4E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22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Hertshten Group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Yu Wang</dc:creator>
  <cp:lastModifiedBy>Zhi Yu Wang</cp:lastModifiedBy>
  <cp:revision>12</cp:revision>
  <dcterms:created xsi:type="dcterms:W3CDTF">2014-12-06T06:47:00Z</dcterms:created>
  <dcterms:modified xsi:type="dcterms:W3CDTF">2014-12-06T13:18:00Z</dcterms:modified>
</cp:coreProperties>
</file>