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80" w:after="80"/>
        <w:jc w:val="center"/>
      </w:pPr>
      <w:r>
        <w:rPr>
          <w:rFonts w:ascii="Arial" w:cs="Arial" w:eastAsia="Arial" w:hAnsi="Arial"/>
          <w:b/>
          <w:bCs/>
          <w:sz w:val="32"/>
          <w:szCs w:val="32"/>
        </w:rPr>
        <w:t xml:space="preserve">MASENO UNIVERSITY</w:t>
      </w:r>
    </w:p>
    <w:p>
      <w:pPr>
        <w:spacing w:before="80" w:after="80"/>
        <w:jc w:val="center"/>
      </w:pPr>
      <w:r>
        <w:rPr>
          <w:rFonts w:ascii="Arial" w:cs="Arial" w:eastAsia="Arial" w:hAnsi="Arial"/>
          <w:b/>
          <w:bCs/>
          <w:sz w:val="26"/>
          <w:szCs w:val="26"/>
        </w:rPr>
        <w:t xml:space="preserve">COMPUTER SCIENCE DEPARTMENT</w:t>
      </w:r>
    </w:p>
    <w:p>
      <w:pPr>
        <w:spacing w:before="80" w:after="80"/>
        <w:jc w:val="center"/>
      </w:pPr>
      <w:r>
        <w:rPr>
          <w:rFonts w:ascii="Arial" w:cs="Arial" w:eastAsia="Arial" w:hAnsi="Arial"/>
          <w:b/>
          <w:bCs/>
          <w:sz w:val="26"/>
          <w:szCs w:val="26"/>
        </w:rPr>
        <w:t xml:space="preserve">PROJECT REPORT</w:t>
      </w:r>
    </w:p>
    <w:p>
      <w:pPr>
        <w:spacing w:before="60" w:after="60"/>
      </w:pPr>
      <w:r>
        <w:t xml:space="preserve"/>
      </w:r>
    </w:p>
    <w:p>
      <w:pPr>
        <w:spacing w:before="60" w:after="60"/>
      </w:pPr>
      <w:r>
        <w:t xml:space="preserve"/>
      </w:r>
    </w:p>
    <w:p>
      <w:pPr>
        <w:spacing w:before="80" w:after="80"/>
        <w:jc w:val="center"/>
      </w:pPr>
      <w:r>
        <w:rPr>
          <w:rFonts w:ascii="Arial" w:cs="Arial" w:eastAsia="Arial" w:hAnsi="Arial"/>
          <w:b/>
          <w:bCs/>
          <w:color w:val="1F3864"/>
          <w:sz w:val="28"/>
          <w:szCs w:val="28"/>
        </w:rPr>
        <w:t xml:space="preserve">A DIGITAL RECORD-KEEPING SYSTEM FOR COMMUNITY SAVINGS GROUPS</w:t>
      </w:r>
    </w:p>
    <w:p>
      <w:pPr>
        <w:spacing w:before="60" w:after="60"/>
      </w:pPr>
      <w:r>
        <w:t xml:space="preserve"/>
      </w:r>
    </w:p>
    <w:p>
      <w:pPr>
        <w:spacing w:before="60" w:after="60"/>
      </w:pPr>
      <w:r>
        <w:t xml:space="preserve"/>
      </w:r>
    </w:p>
    <w:p>
      <w:pPr>
        <w:spacing w:before="100" w:after="100" w:line="360"/>
        <w:jc w:val="both"/>
      </w:pPr>
      <w:r>
        <w:rPr>
          <w:rFonts w:ascii="Arial" w:cs="Arial" w:eastAsia="Arial" w:hAnsi="Arial"/>
          <w:i/>
          <w:iCs/>
          <w:sz w:val="24"/>
          <w:szCs w:val="24"/>
        </w:rPr>
        <w:t xml:space="preserve">A project submitted to the Department of Computer Science in the School of Computing and Informatics in partial fulfillment of the requirements for the award of the degree of Computer Science, for the Unit: Software Development Project, Maseno University.</w:t>
      </w:r>
    </w:p>
    <w:p>
      <w:pPr>
        <w:spacing w:before="60" w:after="60"/>
      </w:pPr>
      <w:r>
        <w:t xml:space="preserve"/>
      </w:r>
    </w:p>
    <w:p>
      <w:pPr>
        <w:spacing w:before="60" w:after="60"/>
      </w:pPr>
      <w:r>
        <w:t xml:space="preserve"/>
      </w:r>
    </w:p>
    <w:p>
      <w:pPr>
        <w:spacing w:before="100" w:after="100" w:line="360"/>
        <w:jc w:val="both"/>
      </w:pPr>
      <w:r>
        <w:rPr>
          <w:rFonts w:ascii="Arial" w:cs="Arial" w:eastAsia="Arial" w:hAnsi="Arial"/>
          <w:b/>
          <w:bCs/>
          <w:sz w:val="24"/>
          <w:szCs w:val="24"/>
        </w:rPr>
        <w:t xml:space="preserve">AUTHORS:</w:t>
      </w:r>
    </w:p>
    <w:p>
      <w:pPr>
        <w:spacing w:before="60" w:after="60"/>
      </w:pPr>
      <w:r>
        <w:t xml:space="preserve"/>
      </w:r>
    </w:p>
    <w:p>
      <w:r>
        <w:rPr>
          <w:rFonts w:ascii="Arial" w:cs="Arial" w:eastAsia="Arial" w:hAnsi="Arial"/>
          <w:b/>
          <w:bCs/>
          <w:sz w:val="24"/>
          <w:szCs w:val="24"/>
        </w:rPr>
        <w:t xml:space="preserve">TMC/OOO8/022				TMC/OOO14/022</w:t>
      </w:r>
    </w:p>
    <w:p>
      <w:r>
        <w:rPr>
          <w:rFonts w:ascii="Arial" w:cs="Arial" w:eastAsia="Arial" w:hAnsi="Arial"/>
          <w:b/>
          <w:bCs/>
          <w:sz w:val="24"/>
          <w:szCs w:val="24"/>
        </w:rPr>
        <w:t xml:space="preserve">ERIC MUTETI MWENDWA			CAROLINE AKINYI</w:t>
      </w:r>
    </w:p>
    <w:p>
      <w:r>
        <w:rPr>
          <w:rFonts w:ascii="Arial" w:cs="Arial" w:eastAsia="Arial" w:hAnsi="Arial"/>
          <w:sz w:val="24"/>
          <w:szCs w:val="24"/>
        </w:rPr>
        <w:t xml:space="preserve">BSc. Mathematics and Computer Science	BSc. Mathematics and Computer Science</w:t>
      </w:r>
    </w:p>
    <w:p>
      <w:pPr>
        <w:spacing w:before="60" w:after="60"/>
      </w:pPr>
      <w:r>
        <w:t xml:space="preserve"/>
      </w:r>
    </w:p>
    <w:p>
      <w:pPr>
        <w:spacing w:before="100" w:after="100" w:line="360"/>
        <w:jc w:val="both"/>
      </w:pPr>
      <w:r>
        <w:rPr>
          <w:rFonts w:ascii="Arial" w:cs="Arial" w:eastAsia="Arial" w:hAnsi="Arial"/>
          <w:b/>
          <w:bCs/>
          <w:sz w:val="24"/>
          <w:szCs w:val="24"/>
        </w:rPr>
        <w:t xml:space="preserve">TMC/OOO74/021</w:t>
      </w:r>
    </w:p>
    <w:p>
      <w:pPr>
        <w:spacing w:before="100" w:after="100" w:line="360"/>
        <w:jc w:val="both"/>
      </w:pPr>
      <w:r>
        <w:rPr>
          <w:rFonts w:ascii="Arial" w:cs="Arial" w:eastAsia="Arial" w:hAnsi="Arial"/>
          <w:b/>
          <w:bCs/>
          <w:sz w:val="24"/>
          <w:szCs w:val="24"/>
        </w:rPr>
        <w:t xml:space="preserve">PETER WAFULA NYONGESA</w:t>
      </w:r>
    </w:p>
    <w:p>
      <w:pPr>
        <w:spacing w:before="100" w:after="100" w:line="360"/>
        <w:jc w:val="both"/>
      </w:pPr>
      <w:r>
        <w:rPr>
          <w:rFonts w:ascii="Arial" w:cs="Arial" w:eastAsia="Arial" w:hAnsi="Arial"/>
          <w:sz w:val="24"/>
          <w:szCs w:val="24"/>
        </w:rPr>
        <w:t xml:space="preserve">BSc. Mathematics and Computer Science</w:t>
      </w:r>
    </w:p>
    <w:p>
      <w:r>
        <w:br w:type="page"/>
      </w:r>
    </w:p>
    <w:p>
      <w:pPr>
        <w:pStyle w:val="Heading2"/>
        <w:spacing w:before="280" w:after="160"/>
      </w:pPr>
      <w:r>
        <w:rPr>
          <w:rFonts w:ascii="Arial" w:cs="Arial" w:eastAsia="Arial" w:hAnsi="Arial"/>
          <w:b/>
          <w:bCs/>
          <w:color w:val="2E75B6"/>
          <w:sz w:val="28"/>
          <w:szCs w:val="28"/>
        </w:rPr>
        <w:t xml:space="preserve">DECLARATION</w:t>
      </w:r>
    </w:p>
    <w:p>
      <w:pPr>
        <w:spacing w:before="100" w:after="100" w:line="360"/>
        <w:jc w:val="both"/>
      </w:pPr>
      <w:r>
        <w:rPr>
          <w:rFonts w:ascii="Arial" w:cs="Arial" w:eastAsia="Arial" w:hAnsi="Arial"/>
          <w:sz w:val="24"/>
          <w:szCs w:val="24"/>
        </w:rPr>
        <w:t xml:space="preserve">We hereby declare that this project report titled "Community Savings Group Digital Record-Keeping System" is our original work and has not been submitted for examination in any other institution. Where other people's work has been used, references have been provided and in some cases quotations made. All sources of information have been specifically acknowledged by means of referencing.</w:t>
      </w:r>
    </w:p>
    <w:p>
      <w:pPr>
        <w:spacing w:before="60" w:after="60"/>
      </w:pPr>
      <w:r>
        <w:t xml:space="preserve"/>
      </w:r>
    </w:p>
    <w:p>
      <w:pPr>
        <w:spacing w:before="100" w:after="100" w:line="360"/>
        <w:jc w:val="both"/>
      </w:pPr>
      <w:r>
        <w:rPr>
          <w:rFonts w:ascii="Arial" w:cs="Arial" w:eastAsia="Arial" w:hAnsi="Arial"/>
          <w:b/>
          <w:bCs/>
          <w:sz w:val="24"/>
          <w:szCs w:val="24"/>
        </w:rPr>
        <w:t xml:space="preserve">Signed:</w:t>
      </w:r>
    </w:p>
    <w:p>
      <w:pPr>
        <w:spacing w:before="60" w:after="60"/>
      </w:pPr>
      <w:r>
        <w:t xml:space="preserve"/>
      </w:r>
    </w:p>
    <w:p>
      <w:r>
        <w:rPr>
          <w:rFonts w:ascii="Arial" w:cs="Arial" w:eastAsia="Arial" w:hAnsi="Arial"/>
          <w:sz w:val="24"/>
          <w:szCs w:val="24"/>
        </w:rPr>
        <w:t xml:space="preserve">TMC/00074/021				TMC/00008/022</w:t>
      </w:r>
    </w:p>
    <w:p>
      <w:r>
        <w:rPr>
          <w:rFonts w:ascii="Arial" w:cs="Arial" w:eastAsia="Arial" w:hAnsi="Arial"/>
          <w:b/>
          <w:bCs/>
          <w:sz w:val="24"/>
          <w:szCs w:val="24"/>
        </w:rPr>
        <w:t xml:space="preserve">PETER WAFULA NYONGESA		ERIC MUTETI MWENDWA</w:t>
      </w:r>
    </w:p>
    <w:p>
      <w:r>
        <w:rPr>
          <w:rFonts w:ascii="Arial" w:cs="Arial" w:eastAsia="Arial" w:hAnsi="Arial"/>
          <w:sz w:val="24"/>
          <w:szCs w:val="24"/>
        </w:rPr>
        <w:t xml:space="preserve">SIGN…………………………………		SIGN……………………………</w:t>
      </w:r>
    </w:p>
    <w:p>
      <w:pPr>
        <w:spacing w:before="60" w:after="60"/>
      </w:pPr>
      <w:r>
        <w:t xml:space="preserve"/>
      </w:r>
    </w:p>
    <w:p>
      <w:pPr>
        <w:spacing w:before="100" w:after="100" w:line="360"/>
        <w:jc w:val="both"/>
      </w:pPr>
      <w:r>
        <w:rPr>
          <w:rFonts w:ascii="Arial" w:cs="Arial" w:eastAsia="Arial" w:hAnsi="Arial"/>
          <w:b/>
          <w:bCs/>
          <w:sz w:val="24"/>
          <w:szCs w:val="24"/>
        </w:rPr>
        <w:t xml:space="preserve">CAROLINE AKINYI</w:t>
      </w:r>
    </w:p>
    <w:p>
      <w:pPr>
        <w:spacing w:before="100" w:after="100" w:line="360"/>
        <w:jc w:val="both"/>
      </w:pPr>
      <w:r>
        <w:rPr>
          <w:rFonts w:ascii="Arial" w:cs="Arial" w:eastAsia="Arial" w:hAnsi="Arial"/>
          <w:sz w:val="24"/>
          <w:szCs w:val="24"/>
        </w:rPr>
        <w:t xml:space="preserve">TMC/00014/022</w:t>
      </w:r>
    </w:p>
    <w:p>
      <w:pPr>
        <w:spacing w:before="100" w:after="100" w:line="360"/>
        <w:jc w:val="both"/>
      </w:pPr>
      <w:r>
        <w:rPr>
          <w:rFonts w:ascii="Arial" w:cs="Arial" w:eastAsia="Arial" w:hAnsi="Arial"/>
          <w:sz w:val="24"/>
          <w:szCs w:val="24"/>
        </w:rPr>
        <w:t xml:space="preserve">SIGN……………………………</w:t>
      </w:r>
    </w:p>
    <w:p>
      <w:pPr>
        <w:spacing w:before="60" w:after="60"/>
      </w:pPr>
      <w:r>
        <w:t xml:space="preserve"/>
      </w:r>
    </w:p>
    <w:p>
      <w:pPr>
        <w:spacing w:before="100" w:after="100" w:line="360"/>
        <w:jc w:val="both"/>
      </w:pPr>
      <w:r>
        <w:rPr>
          <w:rFonts w:ascii="Arial" w:cs="Arial" w:eastAsia="Arial" w:hAnsi="Arial"/>
          <w:sz w:val="24"/>
          <w:szCs w:val="24"/>
        </w:rPr>
        <w:t xml:space="preserve">Date: DECEMBER 2025</w:t>
      </w:r>
    </w:p>
    <w:p>
      <w:pPr>
        <w:spacing w:before="60" w:after="60"/>
      </w:pPr>
      <w:r>
        <w:t xml:space="preserve"/>
      </w:r>
    </w:p>
    <w:p>
      <w:pPr>
        <w:spacing w:before="100" w:after="100" w:line="360"/>
        <w:jc w:val="both"/>
      </w:pPr>
      <w:r>
        <w:rPr>
          <w:rFonts w:ascii="Arial" w:cs="Arial" w:eastAsia="Arial" w:hAnsi="Arial"/>
          <w:b/>
          <w:bCs/>
          <w:sz w:val="24"/>
          <w:szCs w:val="24"/>
        </w:rPr>
        <w:t xml:space="preserve">SUPERVISOR'S DECLARATION</w:t>
      </w:r>
    </w:p>
    <w:p>
      <w:pPr>
        <w:spacing w:before="100" w:after="100" w:line="360"/>
        <w:jc w:val="both"/>
      </w:pPr>
      <w:r>
        <w:rPr>
          <w:rFonts w:ascii="Arial" w:cs="Arial" w:eastAsia="Arial" w:hAnsi="Arial"/>
          <w:sz w:val="24"/>
          <w:szCs w:val="24"/>
        </w:rPr>
        <w:t xml:space="preserve">I confirm that the work reported in this project was conducted by the candidate under my supervision and has been submitted with my approval as the University Supervisor.</w:t>
      </w:r>
    </w:p>
    <w:p>
      <w:pPr>
        <w:spacing w:before="60" w:after="60"/>
      </w:pPr>
      <w:r>
        <w:t xml:space="preserve"/>
      </w:r>
    </w:p>
    <w:p>
      <w:pPr>
        <w:spacing w:before="100" w:after="100" w:line="360"/>
        <w:jc w:val="both"/>
      </w:pPr>
      <w:r>
        <w:rPr>
          <w:rFonts w:ascii="Arial" w:cs="Arial" w:eastAsia="Arial" w:hAnsi="Arial"/>
          <w:sz w:val="24"/>
          <w:szCs w:val="24"/>
        </w:rPr>
        <w:t xml:space="preserve">Supervisor Name: MR KENNEDY ABWAO</w:t>
      </w:r>
    </w:p>
    <w:p>
      <w:pPr>
        <w:spacing w:before="100" w:after="100" w:line="360"/>
        <w:jc w:val="both"/>
      </w:pPr>
      <w:r>
        <w:rPr>
          <w:rFonts w:ascii="Arial" w:cs="Arial" w:eastAsia="Arial" w:hAnsi="Arial"/>
          <w:sz w:val="24"/>
          <w:szCs w:val="24"/>
        </w:rPr>
        <w:t xml:space="preserve">Designation: Lecturer, Department of Maths and Computer Science</w:t>
      </w:r>
    </w:p>
    <w:p>
      <w:pPr>
        <w:spacing w:before="100" w:after="100" w:line="360"/>
        <w:jc w:val="both"/>
      </w:pPr>
      <w:r>
        <w:rPr>
          <w:rFonts w:ascii="Arial" w:cs="Arial" w:eastAsia="Arial" w:hAnsi="Arial"/>
          <w:sz w:val="24"/>
          <w:szCs w:val="24"/>
        </w:rPr>
        <w:t xml:space="preserve">Signature: ................................................</w:t>
      </w:r>
    </w:p>
    <w:p>
      <w:pPr>
        <w:spacing w:before="100" w:after="100" w:line="360"/>
        <w:jc w:val="both"/>
      </w:pPr>
      <w:r>
        <w:rPr>
          <w:rFonts w:ascii="Arial" w:cs="Arial" w:eastAsia="Arial" w:hAnsi="Arial"/>
          <w:sz w:val="24"/>
          <w:szCs w:val="24"/>
        </w:rPr>
        <w:t xml:space="preserve">Date: ................................................</w:t>
      </w:r>
    </w:p>
    <w:p>
      <w:r>
        <w:br w:type="page"/>
      </w:r>
    </w:p>
    <w:p>
      <w:pPr>
        <w:pStyle w:val="Heading2"/>
        <w:spacing w:before="280" w:after="160"/>
      </w:pPr>
      <w:r>
        <w:rPr>
          <w:rFonts w:ascii="Arial" w:cs="Arial" w:eastAsia="Arial" w:hAnsi="Arial"/>
          <w:b/>
          <w:bCs/>
          <w:color w:val="2E75B6"/>
          <w:sz w:val="28"/>
          <w:szCs w:val="28"/>
        </w:rPr>
        <w:t xml:space="preserve">DEDICATION</w:t>
      </w:r>
    </w:p>
    <w:p>
      <w:pPr>
        <w:spacing w:before="100" w:after="100" w:line="360"/>
        <w:jc w:val="both"/>
      </w:pPr>
      <w:r>
        <w:rPr>
          <w:rFonts w:ascii="Arial" w:cs="Arial" w:eastAsia="Arial" w:hAnsi="Arial"/>
          <w:sz w:val="24"/>
          <w:szCs w:val="24"/>
        </w:rPr>
        <w:t xml:space="preserve">This project is dedicated to all the members of community savings groups across Kenya who work tirelessly to improve their financial well-being through collective savings and mutual support. Your commitment to community development and financial empowerment inspired this work.</w:t>
      </w:r>
    </w:p>
    <w:p>
      <w:pPr>
        <w:spacing w:before="100" w:after="100" w:line="360"/>
        <w:jc w:val="both"/>
      </w:pPr>
      <w:r>
        <w:rPr>
          <w:rFonts w:ascii="Arial" w:cs="Arial" w:eastAsia="Arial" w:hAnsi="Arial"/>
          <w:sz w:val="24"/>
          <w:szCs w:val="24"/>
        </w:rPr>
        <w:t xml:space="preserve">We also dedicate this project to our family, friends, and mentors whose unwavering support, encouragement, and guidance made this achievement possible. Your belief in our potential has been a constant source of motivation.</w:t>
      </w:r>
    </w:p>
    <w:p>
      <w:pPr>
        <w:spacing w:before="100" w:after="100" w:line="360"/>
        <w:jc w:val="both"/>
      </w:pPr>
      <w:r>
        <w:rPr>
          <w:rFonts w:ascii="Arial" w:cs="Arial" w:eastAsia="Arial" w:hAnsi="Arial"/>
          <w:sz w:val="24"/>
          <w:szCs w:val="24"/>
        </w:rPr>
        <w:t xml:space="preserve">May this system contribute to strengthening community-based financial institutions and promoting transparency and accountability in grassroots financial management.</w:t>
      </w:r>
    </w:p>
    <w:p>
      <w:r>
        <w:br w:type="page"/>
      </w:r>
    </w:p>
    <w:p>
      <w:pPr>
        <w:pStyle w:val="Heading2"/>
        <w:spacing w:before="280" w:after="160"/>
      </w:pPr>
      <w:r>
        <w:rPr>
          <w:rFonts w:ascii="Arial" w:cs="Arial" w:eastAsia="Arial" w:hAnsi="Arial"/>
          <w:b/>
          <w:bCs/>
          <w:color w:val="2E75B6"/>
          <w:sz w:val="28"/>
          <w:szCs w:val="28"/>
        </w:rPr>
        <w:t xml:space="preserve">ACKNOWLEDGMENT</w:t>
      </w:r>
    </w:p>
    <w:p>
      <w:pPr>
        <w:spacing w:before="100" w:after="100" w:line="360"/>
        <w:jc w:val="both"/>
      </w:pPr>
      <w:r>
        <w:rPr>
          <w:rFonts w:ascii="Arial" w:cs="Arial" w:eastAsia="Arial" w:hAnsi="Arial"/>
          <w:sz w:val="24"/>
          <w:szCs w:val="24"/>
        </w:rPr>
        <w:t xml:space="preserve">We would like to express our sincere gratitude to everyone who contributed to the successful completion of this project.</w:t>
      </w:r>
    </w:p>
    <w:p>
      <w:pPr>
        <w:spacing w:before="100" w:after="100" w:line="360"/>
        <w:jc w:val="both"/>
      </w:pPr>
      <w:r>
        <w:rPr>
          <w:rFonts w:ascii="Arial" w:cs="Arial" w:eastAsia="Arial" w:hAnsi="Arial"/>
          <w:sz w:val="24"/>
          <w:szCs w:val="24"/>
        </w:rPr>
        <w:t xml:space="preserve">First, we are deeply grateful to our supervisor, MR KENNEDY ABWAO, for their invaluable guidance, constructive feedback, and continuous support throughout the development of this project. Their expertise in software development and understanding of community finance enriched this work.</w:t>
      </w:r>
    </w:p>
    <w:p>
      <w:pPr>
        <w:spacing w:before="100" w:after="100" w:line="360"/>
        <w:jc w:val="both"/>
      </w:pPr>
      <w:r>
        <w:rPr>
          <w:rFonts w:ascii="Arial" w:cs="Arial" w:eastAsia="Arial" w:hAnsi="Arial"/>
          <w:sz w:val="24"/>
          <w:szCs w:val="24"/>
        </w:rPr>
        <w:t xml:space="preserve">We extend our appreciation to the Department of Maths and Computer Science at Maseno University for providing the necessary facilities, resources, and conducive learning environment that enabled us to undertake this project.</w:t>
      </w:r>
    </w:p>
    <w:p>
      <w:pPr>
        <w:spacing w:before="100" w:after="100" w:line="360"/>
        <w:jc w:val="both"/>
      </w:pPr>
      <w:r>
        <w:rPr>
          <w:rFonts w:ascii="Arial" w:cs="Arial" w:eastAsia="Arial" w:hAnsi="Arial"/>
          <w:sz w:val="24"/>
          <w:szCs w:val="24"/>
        </w:rPr>
        <w:t xml:space="preserve">We are thankful to the community savings groups who participated in the requirements gathering phase, sharing their experiences, challenges, and expectations. Their insights were instrumental in shaping the system's design and functionality.</w:t>
      </w:r>
    </w:p>
    <w:p>
      <w:pPr>
        <w:spacing w:before="100" w:after="100" w:line="360"/>
        <w:jc w:val="both"/>
      </w:pPr>
      <w:r>
        <w:rPr>
          <w:rFonts w:ascii="Arial" w:cs="Arial" w:eastAsia="Arial" w:hAnsi="Arial"/>
          <w:sz w:val="24"/>
          <w:szCs w:val="24"/>
        </w:rPr>
        <w:t xml:space="preserve">Finally, we thank the Almighty God for the gift of life, good health, wisdom, and strength to complete this project successfully.</w:t>
      </w:r>
    </w:p>
    <w:p>
      <w:r>
        <w:br w:type="page"/>
      </w:r>
    </w:p>
    <w:p>
      <w:pPr>
        <w:pStyle w:val="Heading2"/>
        <w:spacing w:before="280" w:after="160"/>
      </w:pPr>
      <w:r>
        <w:rPr>
          <w:rFonts w:ascii="Arial" w:cs="Arial" w:eastAsia="Arial" w:hAnsi="Arial"/>
          <w:b/>
          <w:bCs/>
          <w:color w:val="2E75B6"/>
          <w:sz w:val="28"/>
          <w:szCs w:val="28"/>
        </w:rPr>
        <w:t xml:space="preserve">ABSTRACT</w:t>
      </w:r>
    </w:p>
    <w:p>
      <w:pPr>
        <w:spacing w:before="100" w:after="100" w:line="360"/>
        <w:jc w:val="both"/>
      </w:pPr>
      <w:r>
        <w:rPr>
          <w:rFonts w:ascii="Arial" w:cs="Arial" w:eastAsia="Arial" w:hAnsi="Arial"/>
          <w:sz w:val="24"/>
          <w:szCs w:val="24"/>
        </w:rPr>
        <w:t xml:space="preserve">The Community Savings Group Digital Record-Keeping System is a web-based platform developed to address the challenges faced by informal savings and credit groups in Kenya regarding financial record management. Traditional manual record-keeping methods used by most community savings groups are prone to errors, data loss, manipulation, and lack of transparency, leading to disputes, mistrust, and inefficient operations.</w:t>
      </w:r>
    </w:p>
    <w:p>
      <w:pPr>
        <w:spacing w:before="100" w:after="100" w:line="360"/>
        <w:jc w:val="both"/>
      </w:pPr>
      <w:r>
        <w:rPr>
          <w:rFonts w:ascii="Arial" w:cs="Arial" w:eastAsia="Arial" w:hAnsi="Arial"/>
          <w:sz w:val="24"/>
          <w:szCs w:val="24"/>
        </w:rPr>
        <w:t xml:space="preserve">This project presents a comprehensive digital solution designed to enhance accountability, improve financial management, and promote transparency within community savings groups. The system provides core functionalities including secure member registration, contribution tracking, loan management, repayment monitoring, meeting records, and automated financial reporting.</w:t>
      </w:r>
    </w:p>
    <w:p>
      <w:pPr>
        <w:spacing w:before="100" w:after="100" w:line="360"/>
        <w:jc w:val="both"/>
      </w:pPr>
      <w:r>
        <w:rPr>
          <w:rFonts w:ascii="Arial" w:cs="Arial" w:eastAsia="Arial" w:hAnsi="Arial"/>
          <w:sz w:val="24"/>
          <w:szCs w:val="24"/>
        </w:rPr>
        <w:t xml:space="preserve">The primary objective of this project is to design and implement a user-friendly digital platform that enables community savings groups to record, monitor, and manage their financial activities accurately and securely. The system aims to minimise human error, reduce fraud opportunities, save time for group officials, and provide organised data that supports informed decision-making.</w:t>
      </w:r>
    </w:p>
    <w:p>
      <w:pPr>
        <w:spacing w:before="100" w:after="100" w:line="360"/>
        <w:jc w:val="both"/>
      </w:pPr>
      <w:r>
        <w:rPr>
          <w:rFonts w:ascii="Arial" w:cs="Arial" w:eastAsia="Arial" w:hAnsi="Arial"/>
          <w:sz w:val="24"/>
          <w:szCs w:val="24"/>
        </w:rPr>
        <w:t xml:space="preserve">The development methodology employed follows the Software Development Life Cycle (SDLC) approach, incorporating requirements analysis, system design, implementation, testing, and deployment phases. The system is built using modern web technologies including Laravel 10 (PHP) for backend development, SQLite/MySQL for database management, Blade templating with Tailwind CSS for frontend design, and JavaScript for interactive features.</w:t>
      </w:r>
    </w:p>
    <w:p>
      <w:pPr>
        <w:spacing w:before="100" w:after="100" w:line="360"/>
        <w:jc w:val="both"/>
      </w:pPr>
      <w:r>
        <w:rPr>
          <w:rFonts w:ascii="Arial" w:cs="Arial" w:eastAsia="Arial" w:hAnsi="Arial"/>
          <w:b/>
          <w:bCs/>
          <w:sz w:val="24"/>
          <w:szCs w:val="24"/>
        </w:rPr>
        <w:t xml:space="preserve">Key features of the system include:</w:t>
      </w:r>
    </w:p>
    <w:p>
      <w:pPr>
        <w:pStyle w:val="ListParagraph"/>
        <w:numPr>
          <w:ilvl w:val="0"/>
          <w:numId w:val="2"/>
        </w:numPr>
        <w:spacing w:before="60" w:after="60" w:line="320"/>
      </w:pPr>
      <w:r>
        <w:rPr>
          <w:rFonts w:ascii="Arial" w:cs="Arial" w:eastAsia="Arial" w:hAnsi="Arial"/>
          <w:sz w:val="24"/>
          <w:szCs w:val="24"/>
        </w:rPr>
        <w:t xml:space="preserve">Secure user authentication and role-based access control</w:t>
      </w:r>
    </w:p>
    <w:p>
      <w:pPr>
        <w:pStyle w:val="ListParagraph"/>
        <w:numPr>
          <w:ilvl w:val="0"/>
          <w:numId w:val="2"/>
        </w:numPr>
        <w:spacing w:before="60" w:after="60" w:line="320"/>
      </w:pPr>
      <w:r>
        <w:rPr>
          <w:rFonts w:ascii="Arial" w:cs="Arial" w:eastAsia="Arial" w:hAnsi="Arial"/>
          <w:sz w:val="24"/>
          <w:szCs w:val="24"/>
        </w:rPr>
        <w:t xml:space="preserve">Comprehensive member profile management</w:t>
      </w:r>
    </w:p>
    <w:p>
      <w:pPr>
        <w:pStyle w:val="ListParagraph"/>
        <w:numPr>
          <w:ilvl w:val="0"/>
          <w:numId w:val="2"/>
        </w:numPr>
        <w:spacing w:before="60" w:after="60" w:line="320"/>
      </w:pPr>
      <w:r>
        <w:rPr>
          <w:rFonts w:ascii="Arial" w:cs="Arial" w:eastAsia="Arial" w:hAnsi="Arial"/>
          <w:sz w:val="24"/>
          <w:szCs w:val="24"/>
        </w:rPr>
        <w:t xml:space="preserve">Real-time contribution tracking with automated calculations</w:t>
      </w:r>
    </w:p>
    <w:p>
      <w:pPr>
        <w:pStyle w:val="ListParagraph"/>
        <w:numPr>
          <w:ilvl w:val="0"/>
          <w:numId w:val="2"/>
        </w:numPr>
        <w:spacing w:before="60" w:after="60" w:line="320"/>
      </w:pPr>
      <w:r>
        <w:rPr>
          <w:rFonts w:ascii="Arial" w:cs="Arial" w:eastAsia="Arial" w:hAnsi="Arial"/>
          <w:sz w:val="24"/>
          <w:szCs w:val="24"/>
        </w:rPr>
        <w:t xml:space="preserve">Complete loan lifecycle management (application, approval, disbursement, repayment)</w:t>
      </w:r>
    </w:p>
    <w:p>
      <w:pPr>
        <w:pStyle w:val="ListParagraph"/>
        <w:numPr>
          <w:ilvl w:val="0"/>
          <w:numId w:val="2"/>
        </w:numPr>
        <w:spacing w:before="60" w:after="60" w:line="320"/>
      </w:pPr>
      <w:r>
        <w:rPr>
          <w:rFonts w:ascii="Arial" w:cs="Arial" w:eastAsia="Arial" w:hAnsi="Arial"/>
          <w:sz w:val="24"/>
          <w:szCs w:val="24"/>
        </w:rPr>
        <w:t xml:space="preserve">Automated interest calculations and defaulter identification</w:t>
      </w:r>
    </w:p>
    <w:p>
      <w:pPr>
        <w:pStyle w:val="ListParagraph"/>
        <w:numPr>
          <w:ilvl w:val="0"/>
          <w:numId w:val="2"/>
        </w:numPr>
        <w:spacing w:before="60" w:after="60" w:line="320"/>
      </w:pPr>
      <w:r>
        <w:rPr>
          <w:rFonts w:ascii="Arial" w:cs="Arial" w:eastAsia="Arial" w:hAnsi="Arial"/>
          <w:sz w:val="24"/>
          <w:szCs w:val="24"/>
        </w:rPr>
        <w:t xml:space="preserve">Meeting records and minutes management</w:t>
      </w:r>
    </w:p>
    <w:p>
      <w:pPr>
        <w:pStyle w:val="ListParagraph"/>
        <w:numPr>
          <w:ilvl w:val="0"/>
          <w:numId w:val="2"/>
        </w:numPr>
        <w:spacing w:before="60" w:after="60" w:line="320"/>
      </w:pPr>
      <w:r>
        <w:rPr>
          <w:rFonts w:ascii="Arial" w:cs="Arial" w:eastAsia="Arial" w:hAnsi="Arial"/>
          <w:sz w:val="24"/>
          <w:szCs w:val="24"/>
        </w:rPr>
        <w:t xml:space="preserve">Detailed financial reporting and analytics</w:t>
      </w:r>
    </w:p>
    <w:p>
      <w:pPr>
        <w:pStyle w:val="ListParagraph"/>
        <w:numPr>
          <w:ilvl w:val="0"/>
          <w:numId w:val="2"/>
        </w:numPr>
        <w:spacing w:before="60" w:after="60" w:line="320"/>
      </w:pPr>
      <w:r>
        <w:rPr>
          <w:rFonts w:ascii="Arial" w:cs="Arial" w:eastAsia="Arial" w:hAnsi="Arial"/>
          <w:sz w:val="24"/>
          <w:szCs w:val="24"/>
        </w:rPr>
        <w:t xml:space="preserve">Data backup and recovery mechanisms</w:t>
      </w:r>
    </w:p>
    <w:p>
      <w:pPr>
        <w:pStyle w:val="ListParagraph"/>
        <w:numPr>
          <w:ilvl w:val="0"/>
          <w:numId w:val="2"/>
        </w:numPr>
        <w:spacing w:before="60" w:after="60" w:line="320"/>
      </w:pPr>
      <w:r>
        <w:rPr>
          <w:rFonts w:ascii="Arial" w:cs="Arial" w:eastAsia="Arial" w:hAnsi="Arial"/>
          <w:sz w:val="24"/>
          <w:szCs w:val="24"/>
        </w:rPr>
        <w:t xml:space="preserve">User-friendly interface designed for users with minimal computer experience</w:t>
      </w:r>
    </w:p>
    <w:p>
      <w:pPr>
        <w:spacing w:before="60" w:after="60"/>
      </w:pPr>
      <w:r>
        <w:t xml:space="preserve"/>
      </w:r>
    </w:p>
    <w:p>
      <w:pPr>
        <w:spacing w:before="100" w:after="100" w:line="360"/>
        <w:jc w:val="both"/>
      </w:pPr>
      <w:r>
        <w:rPr>
          <w:rFonts w:ascii="Arial" w:cs="Arial" w:eastAsia="Arial" w:hAnsi="Arial"/>
          <w:sz w:val="24"/>
          <w:szCs w:val="24"/>
        </w:rPr>
        <w:t xml:space="preserve">The system was evaluated through usability testing with actual community savings group officials, demonstrating significant improvements in record accuracy, time efficiency, and user satisfaction compared to manual methods. The project contributes to the digitisation of community-based financial institutions and promotes financial inclusion through appropriate technology solutions.</w:t>
      </w:r>
    </w:p>
    <w:p>
      <w:pPr>
        <w:spacing w:before="100" w:after="100" w:line="360"/>
        <w:jc w:val="both"/>
      </w:pPr>
      <w:r>
        <w:rPr>
          <w:rFonts w:ascii="Arial" w:cs="Arial" w:eastAsia="Arial" w:hAnsi="Arial"/>
          <w:sz w:val="24"/>
          <w:szCs w:val="24"/>
        </w:rPr>
        <w:t xml:space="preserve">This documentation provides comprehensive coverage of the project including background research, problem analysis, system design, implementation details, testing procedures, and recommendations for future enhancements.</w:t>
      </w:r>
    </w:p>
    <w:p>
      <w:pPr>
        <w:spacing w:before="60" w:after="60"/>
      </w:pPr>
      <w:r>
        <w:t xml:space="preserve"/>
      </w:r>
    </w:p>
    <w:p>
      <w:pPr>
        <w:spacing w:before="100" w:after="100" w:line="360"/>
        <w:jc w:val="both"/>
      </w:pPr>
      <w:r>
        <w:rPr>
          <w:rFonts w:ascii="Arial" w:cs="Arial" w:eastAsia="Arial" w:hAnsi="Arial"/>
          <w:i/>
          <w:iCs/>
          <w:sz w:val="24"/>
          <w:szCs w:val="24"/>
        </w:rPr>
        <w:t xml:space="preserve">Keywords: Community Savings Groups, Digital Record-Keeping, Financial Management, Savings Groups, Web Application, Database Design, User Interface Design, Laravel, Rotating Savings and Credit Associations</w:t>
      </w:r>
    </w:p>
    <w:p>
      <w:r>
        <w:br w:type="page"/>
      </w:r>
    </w:p>
    <w:p>
      <w:pPr>
        <w:pStyle w:val="Heading2"/>
        <w:spacing w:before="280" w:after="160"/>
      </w:pPr>
      <w:r>
        <w:rPr>
          <w:rFonts w:ascii="Arial" w:cs="Arial" w:eastAsia="Arial" w:hAnsi="Arial"/>
          <w:b/>
          <w:bCs/>
          <w:color w:val="2E75B6"/>
          <w:sz w:val="28"/>
          <w:szCs w:val="28"/>
        </w:rPr>
        <w:t xml:space="preserve">DEFINITION OF TERMS</w:t>
      </w:r>
    </w:p>
    <w:p>
      <w:pPr>
        <w:spacing w:before="60" w:after="60"/>
      </w:pPr>
      <w:r>
        <w:t xml:space="preserve"/>
      </w:r>
    </w:p>
    <w:p>
      <w:pPr>
        <w:spacing w:before="80" w:after="80"/>
      </w:pPr>
      <w:r>
        <w:rPr>
          <w:rFonts w:ascii="Arial" w:cs="Arial" w:eastAsia="Arial" w:hAnsi="Arial"/>
          <w:b/>
          <w:bCs/>
          <w:sz w:val="24"/>
          <w:szCs w:val="24"/>
        </w:rPr>
        <w:t xml:space="preserve">Community Savings Group (CSG): </w:t>
      </w:r>
      <w:r>
        <w:rPr>
          <w:rFonts w:ascii="Arial" w:cs="Arial" w:eastAsia="Arial" w:hAnsi="Arial"/>
          <w:sz w:val="24"/>
          <w:szCs w:val="24"/>
        </w:rPr>
        <w:t xml:space="preserve">An informal savings and credit association in Kenya (locally known by the Swahili term 'chama') where members pool resources for mutual benefit, operating on principles of mutual trust, collective responsibility, and regular financial contributions.</w:t>
      </w:r>
    </w:p>
    <w:p>
      <w:pPr>
        <w:spacing w:before="80" w:after="80"/>
      </w:pPr>
      <w:r>
        <w:rPr>
          <w:rFonts w:ascii="Arial" w:cs="Arial" w:eastAsia="Arial" w:hAnsi="Arial"/>
          <w:b/>
          <w:bCs/>
          <w:sz w:val="24"/>
          <w:szCs w:val="24"/>
        </w:rPr>
        <w:t xml:space="preserve">Contribution: </w:t>
      </w:r>
      <w:r>
        <w:rPr>
          <w:rFonts w:ascii="Arial" w:cs="Arial" w:eastAsia="Arial" w:hAnsi="Arial"/>
          <w:sz w:val="24"/>
          <w:szCs w:val="24"/>
        </w:rPr>
        <w:t xml:space="preserve">Regular payment made by a member into the group's collective fund according to agreed schedules and amounts.</w:t>
      </w:r>
    </w:p>
    <w:p>
      <w:pPr>
        <w:spacing w:before="80" w:after="80"/>
      </w:pPr>
      <w:r>
        <w:rPr>
          <w:rFonts w:ascii="Arial" w:cs="Arial" w:eastAsia="Arial" w:hAnsi="Arial"/>
          <w:b/>
          <w:bCs/>
          <w:sz w:val="24"/>
          <w:szCs w:val="24"/>
        </w:rPr>
        <w:t xml:space="preserve">Defaulter: </w:t>
      </w:r>
      <w:r>
        <w:rPr>
          <w:rFonts w:ascii="Arial" w:cs="Arial" w:eastAsia="Arial" w:hAnsi="Arial"/>
          <w:sz w:val="24"/>
          <w:szCs w:val="24"/>
        </w:rPr>
        <w:t xml:space="preserve">A member who has failed to meet their financial obligations (contributions or loan repayments) according to the agreed terms.</w:t>
      </w:r>
    </w:p>
    <w:p>
      <w:pPr>
        <w:spacing w:before="80" w:after="80"/>
      </w:pPr>
      <w:r>
        <w:rPr>
          <w:rFonts w:ascii="Arial" w:cs="Arial" w:eastAsia="Arial" w:hAnsi="Arial"/>
          <w:b/>
          <w:bCs/>
          <w:sz w:val="24"/>
          <w:szCs w:val="24"/>
        </w:rPr>
        <w:t xml:space="preserve">Digitisation: </w:t>
      </w:r>
      <w:r>
        <w:rPr>
          <w:rFonts w:ascii="Arial" w:cs="Arial" w:eastAsia="Arial" w:hAnsi="Arial"/>
          <w:sz w:val="24"/>
          <w:szCs w:val="24"/>
        </w:rPr>
        <w:t xml:space="preserve">The process of converting manual, paper-based processes and records into digital format using computer systems.</w:t>
      </w:r>
    </w:p>
    <w:p>
      <w:pPr>
        <w:spacing w:before="80" w:after="80"/>
      </w:pPr>
      <w:r>
        <w:rPr>
          <w:rFonts w:ascii="Arial" w:cs="Arial" w:eastAsia="Arial" w:hAnsi="Arial"/>
          <w:b/>
          <w:bCs/>
          <w:sz w:val="24"/>
          <w:szCs w:val="24"/>
        </w:rPr>
        <w:t xml:space="preserve">Loan: </w:t>
      </w:r>
      <w:r>
        <w:rPr>
          <w:rFonts w:ascii="Arial" w:cs="Arial" w:eastAsia="Arial" w:hAnsi="Arial"/>
          <w:sz w:val="24"/>
          <w:szCs w:val="24"/>
        </w:rPr>
        <w:t xml:space="preserve">Money borrowed by a member from the group's pooled funds, to be repaid with interest according to agreed terms.</w:t>
      </w:r>
    </w:p>
    <w:p>
      <w:pPr>
        <w:spacing w:before="80" w:after="80"/>
      </w:pPr>
      <w:r>
        <w:rPr>
          <w:rFonts w:ascii="Arial" w:cs="Arial" w:eastAsia="Arial" w:hAnsi="Arial"/>
          <w:b/>
          <w:bCs/>
          <w:sz w:val="24"/>
          <w:szCs w:val="24"/>
        </w:rPr>
        <w:t xml:space="preserve">Manual Record-Keeping: </w:t>
      </w:r>
      <w:r>
        <w:rPr>
          <w:rFonts w:ascii="Arial" w:cs="Arial" w:eastAsia="Arial" w:hAnsi="Arial"/>
          <w:sz w:val="24"/>
          <w:szCs w:val="24"/>
        </w:rPr>
        <w:t xml:space="preserve">The traditional method of recording financial transactions using physical notebooks, ledgers, or papers.</w:t>
      </w:r>
    </w:p>
    <w:p>
      <w:pPr>
        <w:spacing w:before="80" w:after="80"/>
      </w:pPr>
      <w:r>
        <w:rPr>
          <w:rFonts w:ascii="Arial" w:cs="Arial" w:eastAsia="Arial" w:hAnsi="Arial"/>
          <w:b/>
          <w:bCs/>
          <w:sz w:val="24"/>
          <w:szCs w:val="24"/>
        </w:rPr>
        <w:t xml:space="preserve">Member: </w:t>
      </w:r>
      <w:r>
        <w:rPr>
          <w:rFonts w:ascii="Arial" w:cs="Arial" w:eastAsia="Arial" w:hAnsi="Arial"/>
          <w:sz w:val="24"/>
          <w:szCs w:val="24"/>
        </w:rPr>
        <w:t xml:space="preserve">An individual who has been registered and accepted into the community savings group and participates in its financial activities.</w:t>
      </w:r>
    </w:p>
    <w:p>
      <w:pPr>
        <w:spacing w:before="80" w:after="80"/>
      </w:pPr>
      <w:r>
        <w:rPr>
          <w:rFonts w:ascii="Arial" w:cs="Arial" w:eastAsia="Arial" w:hAnsi="Arial"/>
          <w:b/>
          <w:bCs/>
          <w:sz w:val="24"/>
          <w:szCs w:val="24"/>
        </w:rPr>
        <w:t xml:space="preserve">Merry-Go-Round: </w:t>
      </w:r>
      <w:r>
        <w:rPr>
          <w:rFonts w:ascii="Arial" w:cs="Arial" w:eastAsia="Arial" w:hAnsi="Arial"/>
          <w:sz w:val="24"/>
          <w:szCs w:val="24"/>
        </w:rPr>
        <w:t xml:space="preserve">A type of community savings group where contributions rotate among members, with each member receiving the total pool on their designated turn.</w:t>
      </w:r>
    </w:p>
    <w:p>
      <w:pPr>
        <w:spacing w:before="80" w:after="80"/>
      </w:pPr>
      <w:r>
        <w:rPr>
          <w:rFonts w:ascii="Arial" w:cs="Arial" w:eastAsia="Arial" w:hAnsi="Arial"/>
          <w:b/>
          <w:bCs/>
          <w:sz w:val="24"/>
          <w:szCs w:val="24"/>
        </w:rPr>
        <w:t xml:space="preserve">Repayment: </w:t>
      </w:r>
      <w:r>
        <w:rPr>
          <w:rFonts w:ascii="Arial" w:cs="Arial" w:eastAsia="Arial" w:hAnsi="Arial"/>
          <w:sz w:val="24"/>
          <w:szCs w:val="24"/>
        </w:rPr>
        <w:t xml:space="preserve">The act of paying back a loan according to the agreed schedule, including both principal and interest amounts.</w:t>
      </w:r>
    </w:p>
    <w:p>
      <w:pPr>
        <w:spacing w:before="80" w:after="80"/>
      </w:pPr>
      <w:r>
        <w:rPr>
          <w:rFonts w:ascii="Arial" w:cs="Arial" w:eastAsia="Arial" w:hAnsi="Arial"/>
          <w:b/>
          <w:bCs/>
          <w:sz w:val="24"/>
          <w:szCs w:val="24"/>
        </w:rPr>
        <w:t xml:space="preserve">ROSCA: </w:t>
      </w:r>
      <w:r>
        <w:rPr>
          <w:rFonts w:ascii="Arial" w:cs="Arial" w:eastAsia="Arial" w:hAnsi="Arial"/>
          <w:sz w:val="24"/>
          <w:szCs w:val="24"/>
        </w:rPr>
        <w:t xml:space="preserve">Rotating Savings and Credit Association; the academic term for informal savings groups where funds rotate among members.</w:t>
      </w:r>
    </w:p>
    <w:p>
      <w:pPr>
        <w:spacing w:before="80" w:after="80"/>
      </w:pPr>
      <w:r>
        <w:rPr>
          <w:rFonts w:ascii="Arial" w:cs="Arial" w:eastAsia="Arial" w:hAnsi="Arial"/>
          <w:b/>
          <w:bCs/>
          <w:sz w:val="24"/>
          <w:szCs w:val="24"/>
        </w:rPr>
        <w:t xml:space="preserve">SACCO: </w:t>
      </w:r>
      <w:r>
        <w:rPr>
          <w:rFonts w:ascii="Arial" w:cs="Arial" w:eastAsia="Arial" w:hAnsi="Arial"/>
          <w:sz w:val="24"/>
          <w:szCs w:val="24"/>
        </w:rPr>
        <w:t xml:space="preserve">Savings and Credit Cooperative; a more formal, regulated version of a community savings group registered under cooperative laws.</w:t>
      </w:r>
    </w:p>
    <w:p>
      <w:pPr>
        <w:spacing w:before="80" w:after="80"/>
      </w:pPr>
      <w:r>
        <w:rPr>
          <w:rFonts w:ascii="Arial" w:cs="Arial" w:eastAsia="Arial" w:hAnsi="Arial"/>
          <w:b/>
          <w:bCs/>
          <w:sz w:val="24"/>
          <w:szCs w:val="24"/>
        </w:rPr>
        <w:t xml:space="preserve">Table Banking: </w:t>
      </w:r>
      <w:r>
        <w:rPr>
          <w:rFonts w:ascii="Arial" w:cs="Arial" w:eastAsia="Arial" w:hAnsi="Arial"/>
          <w:sz w:val="24"/>
          <w:szCs w:val="24"/>
        </w:rPr>
        <w:t xml:space="preserve">A community savings group model where all financial transactions occur during meetings with money physically placed on a table for transparency.</w:t>
      </w:r>
    </w:p>
    <w:p>
      <w:pPr>
        <w:spacing w:before="80" w:after="80"/>
      </w:pPr>
      <w:r>
        <w:rPr>
          <w:rFonts w:ascii="Arial" w:cs="Arial" w:eastAsia="Arial" w:hAnsi="Arial"/>
          <w:b/>
          <w:bCs/>
          <w:sz w:val="24"/>
          <w:szCs w:val="24"/>
        </w:rPr>
        <w:t xml:space="preserve">Treasurer: </w:t>
      </w:r>
      <w:r>
        <w:rPr>
          <w:rFonts w:ascii="Arial" w:cs="Arial" w:eastAsia="Arial" w:hAnsi="Arial"/>
          <w:sz w:val="24"/>
          <w:szCs w:val="24"/>
        </w:rPr>
        <w:t xml:space="preserve">The elected official responsible for maintaining financial records, managing money, and generating reports for the community savings group.</w:t>
      </w:r>
    </w:p>
    <w:p>
      <w:pPr>
        <w:spacing w:before="80" w:after="80"/>
      </w:pPr>
      <w:r>
        <w:rPr>
          <w:rFonts w:ascii="Arial" w:cs="Arial" w:eastAsia="Arial" w:hAnsi="Arial"/>
          <w:b/>
          <w:bCs/>
          <w:sz w:val="24"/>
          <w:szCs w:val="24"/>
        </w:rPr>
        <w:t xml:space="preserve">User Interface: </w:t>
      </w:r>
      <w:r>
        <w:rPr>
          <w:rFonts w:ascii="Arial" w:cs="Arial" w:eastAsia="Arial" w:hAnsi="Arial"/>
          <w:sz w:val="24"/>
          <w:szCs w:val="24"/>
        </w:rPr>
        <w:t xml:space="preserve">The visual elements and interactive components through which users interact with the computer system.</w:t>
      </w:r>
    </w:p>
    <w:p>
      <w:pPr>
        <w:spacing w:before="80" w:after="80"/>
      </w:pPr>
      <w:r>
        <w:rPr>
          <w:rFonts w:ascii="Arial" w:cs="Arial" w:eastAsia="Arial" w:hAnsi="Arial"/>
          <w:b/>
          <w:bCs/>
          <w:sz w:val="24"/>
          <w:szCs w:val="24"/>
        </w:rPr>
        <w:t xml:space="preserve">Validation: </w:t>
      </w:r>
      <w:r>
        <w:rPr>
          <w:rFonts w:ascii="Arial" w:cs="Arial" w:eastAsia="Arial" w:hAnsi="Arial"/>
          <w:sz w:val="24"/>
          <w:szCs w:val="24"/>
        </w:rPr>
        <w:t xml:space="preserve">The process of checking data input to ensure it meets specified criteria and is correct before processing or storage.</w:t>
      </w:r>
    </w:p>
    <w:p>
      <w:pPr>
        <w:sectPr>
          <w:footerReference w:type="default" r:id="rId6"/>
          <w:pgSz w:w="12240" w:h="15840" w:orient="portrait"/>
          <w:pgMar w:top="1440" w:right="1440" w:bottom="1440" w:left="1440" w:header="708" w:footer="708" w:gutter="0"/>
          <w:pgNumType/>
          <w:docGrid w:linePitch="360"/>
        </w:sectPr>
      </w:pPr>
    </w:p>
    <w:p>
      <w:pPr>
        <w:pStyle w:val="Heading1"/>
        <w:pageBreakBefore/>
        <w:spacing w:before="0" w:after="240"/>
      </w:pPr>
      <w:r>
        <w:rPr>
          <w:rFonts w:ascii="Arial" w:cs="Arial" w:eastAsia="Arial" w:hAnsi="Arial"/>
          <w:b/>
          <w:bCs/>
          <w:color w:val="1F3864"/>
          <w:sz w:val="32"/>
          <w:szCs w:val="32"/>
        </w:rPr>
        <w:t xml:space="preserve">CHAPTER 1: INTRODUCTION</w:t>
      </w:r>
    </w:p>
    <w:p>
      <w:pPr>
        <w:pStyle w:val="Heading2"/>
        <w:spacing w:before="280" w:after="160"/>
      </w:pPr>
      <w:r>
        <w:rPr>
          <w:rFonts w:ascii="Arial" w:cs="Arial" w:eastAsia="Arial" w:hAnsi="Arial"/>
          <w:b/>
          <w:bCs/>
          <w:color w:val="2E75B6"/>
          <w:sz w:val="28"/>
          <w:szCs w:val="28"/>
        </w:rPr>
        <w:t xml:space="preserve">1.1 Background Introduction</w:t>
      </w:r>
    </w:p>
    <w:p>
      <w:pPr>
        <w:pStyle w:val="Heading3"/>
        <w:spacing w:before="200" w:after="120"/>
      </w:pPr>
      <w:r>
        <w:rPr>
          <w:rFonts w:ascii="Arial" w:cs="Arial" w:eastAsia="Arial" w:hAnsi="Arial"/>
          <w:b/>
          <w:bCs/>
          <w:color w:val="2E75B6"/>
          <w:sz w:val="26"/>
          <w:szCs w:val="26"/>
        </w:rPr>
        <w:t xml:space="preserve">1.1.1 Context of Community Savings Groups in Kenya</w:t>
      </w:r>
    </w:p>
    <w:p>
      <w:pPr>
        <w:spacing w:before="100" w:after="100" w:line="360"/>
        <w:jc w:val="both"/>
      </w:pPr>
      <w:r>
        <w:rPr>
          <w:rFonts w:ascii="Arial" w:cs="Arial" w:eastAsia="Arial" w:hAnsi="Arial"/>
          <w:sz w:val="24"/>
          <w:szCs w:val="24"/>
        </w:rPr>
        <w:t xml:space="preserve">Community Savings Groups (CSGs)—known locally by the Swahili term 'chama'—represent a fundamental pillar of Kenya's informal financial sector. These self-help groups, also known as merry-go-rounds or table banking groups, have existed for decades as community-based financial institutions that provide savings, credit, and social support services to their members. Community savings groups operate on principles of mutual trust, collective responsibility, and regular financial contributions, creating accessible financial services for populations often excluded from formal banking systems.</w:t>
      </w:r>
    </w:p>
    <w:p>
      <w:pPr>
        <w:spacing w:before="100" w:after="100" w:line="360"/>
        <w:jc w:val="both"/>
      </w:pPr>
      <w:r>
        <w:rPr>
          <w:rFonts w:ascii="Arial" w:cs="Arial" w:eastAsia="Arial" w:hAnsi="Arial"/>
          <w:sz w:val="24"/>
          <w:szCs w:val="24"/>
        </w:rPr>
        <w:t xml:space="preserve">The importance of CSGs in Kenya's socio-economic landscape cannot be overstated. Research indicates that 40–45% of Kenyan adults participate in at least one community savings group, with participation rates even higher among women and rural populations. These groups collectively manage billions of shillings annually, making them significant players in grassroots economic development and poverty alleviation efforts.</w:t>
      </w:r>
    </w:p>
    <w:p>
      <w:pPr>
        <w:pStyle w:val="Heading3"/>
        <w:spacing w:before="200" w:after="120"/>
      </w:pPr>
      <w:r>
        <w:rPr>
          <w:rFonts w:ascii="Arial" w:cs="Arial" w:eastAsia="Arial" w:hAnsi="Arial"/>
          <w:b/>
          <w:bCs/>
          <w:color w:val="2E75B6"/>
          <w:sz w:val="26"/>
          <w:szCs w:val="26"/>
        </w:rPr>
        <w:t xml:space="preserve">1.1.2 Traditional Community Savings Group Operations</w:t>
      </w:r>
    </w:p>
    <w:p>
      <w:pPr>
        <w:spacing w:before="100" w:after="100" w:line="360"/>
        <w:jc w:val="both"/>
      </w:pPr>
      <w:r>
        <w:rPr>
          <w:rFonts w:ascii="Arial" w:cs="Arial" w:eastAsia="Arial" w:hAnsi="Arial"/>
          <w:sz w:val="24"/>
          <w:szCs w:val="24"/>
        </w:rPr>
        <w:t xml:space="preserve">In traditional community savings group operations, members come together on regular schedules—weekly, bi-weekly, or monthly—to pool their financial resources. Each member commits to contributing a predetermined amount during these meetings. The accumulated funds serve multiple purposes: they may be distributed to members on a rotational basis (merry-go-round model), used to provide loans to members at agreed interest rates, invested in income-generating activities that benefit the entire group, or saved collectively for specific group objectives.</w:t>
      </w:r>
    </w:p>
    <w:p>
      <w:pPr>
        <w:spacing w:before="100" w:after="100" w:line="360"/>
        <w:jc w:val="both"/>
      </w:pPr>
      <w:r>
        <w:rPr>
          <w:rFonts w:ascii="Arial" w:cs="Arial" w:eastAsia="Arial" w:hAnsi="Arial"/>
          <w:sz w:val="24"/>
          <w:szCs w:val="24"/>
        </w:rPr>
        <w:t xml:space="preserve">Leadership within community savings groups typically consists of elected officials including a chairperson, secretary, treasurer, and committee members. The treasurer bears primary responsibility for maintaining financial records, collecting contributions, disbursing loans, and preparing financial reports. These officials serve voluntarily, often balancing group responsibilities with their personal employment and family commitments.</w:t>
      </w:r>
    </w:p>
    <w:p>
      <w:pPr>
        <w:pStyle w:val="Heading3"/>
        <w:spacing w:before="200" w:after="120"/>
      </w:pPr>
      <w:r>
        <w:rPr>
          <w:rFonts w:ascii="Arial" w:cs="Arial" w:eastAsia="Arial" w:hAnsi="Arial"/>
          <w:b/>
          <w:bCs/>
          <w:color w:val="2E75B6"/>
          <w:sz w:val="26"/>
          <w:szCs w:val="26"/>
        </w:rPr>
        <w:t xml:space="preserve">1.1.3 The Challenge of Manual Record-Keeping</w:t>
      </w:r>
    </w:p>
    <w:p>
      <w:pPr>
        <w:spacing w:before="100" w:after="100" w:line="360"/>
        <w:jc w:val="both"/>
      </w:pPr>
      <w:r>
        <w:rPr>
          <w:rFonts w:ascii="Arial" w:cs="Arial" w:eastAsia="Arial" w:hAnsi="Arial"/>
          <w:sz w:val="24"/>
          <w:szCs w:val="24"/>
        </w:rPr>
        <w:t xml:space="preserve">Despite their widespread importance and economic impact, the vast majority of community savings groups continue to rely on manual record-keeping methods. Treasurers typically use physical notebooks, ledgers, cash books, or even loose papers to document all financial transactions. This approach involves handwritten entries for member contributions, loan disbursements, repayments, fines, and meeting minutes.</w:t>
      </w:r>
    </w:p>
    <w:p>
      <w:pPr>
        <w:spacing w:before="100" w:after="100" w:line="360"/>
        <w:jc w:val="both"/>
      </w:pPr>
      <w:r>
        <w:rPr>
          <w:rFonts w:ascii="Arial" w:cs="Arial" w:eastAsia="Arial" w:hAnsi="Arial"/>
          <w:sz w:val="24"/>
          <w:szCs w:val="24"/>
        </w:rPr>
        <w:t xml:space="preserve">While manual systems have served community savings groups for generations, they present significant challenges in the modern context. The inherent limitations of paper-based records—vulnerability to errors, damage, loss, and manipulation—create operational difficulties that undermine the effectiveness and sustainability of these vital community institutions.</w:t>
      </w:r>
    </w:p>
    <w:p>
      <w:pPr>
        <w:pStyle w:val="Heading3"/>
        <w:spacing w:before="200" w:after="120"/>
      </w:pPr>
      <w:r>
        <w:rPr>
          <w:rFonts w:ascii="Arial" w:cs="Arial" w:eastAsia="Arial" w:hAnsi="Arial"/>
          <w:b/>
          <w:bCs/>
          <w:color w:val="2E75B6"/>
          <w:sz w:val="26"/>
          <w:szCs w:val="26"/>
        </w:rPr>
        <w:t xml:space="preserve">1.1.4 Emerging Technology Opportunities</w:t>
      </w:r>
    </w:p>
    <w:p>
      <w:pPr>
        <w:spacing w:before="100" w:after="100" w:line="360"/>
        <w:jc w:val="both"/>
      </w:pPr>
      <w:r>
        <w:rPr>
          <w:rFonts w:ascii="Arial" w:cs="Arial" w:eastAsia="Arial" w:hAnsi="Arial"/>
          <w:sz w:val="24"/>
          <w:szCs w:val="24"/>
        </w:rPr>
        <w:t xml:space="preserve">Kenya has emerged as a regional leader in digital financial services, with high mobile phone penetration, widespread adoption of mobile money platforms like M-Pesa, and improving internet connectivity even in rural areas. This technological infrastructure creates favourable conditions for introducing digital solutions to community-based financial organisations.</w:t>
      </w:r>
    </w:p>
    <w:p>
      <w:pPr>
        <w:spacing w:before="100" w:after="100" w:line="360"/>
        <w:jc w:val="both"/>
      </w:pPr>
      <w:r>
        <w:rPr>
          <w:rFonts w:ascii="Arial" w:cs="Arial" w:eastAsia="Arial" w:hAnsi="Arial"/>
          <w:sz w:val="24"/>
          <w:szCs w:val="24"/>
        </w:rPr>
        <w:t xml:space="preserve">The growing familiarity with technology among Kenyans presents an opportunity to modernise community savings group operations without imposing entirely foreign systems. Many CSG members already use mobile money for personal transactions, access banking services through their phones, and communicate via WhatsApp groups. This existing digital literacy provides a foundation upon which more sophisticated management systems can be built.</w:t>
      </w:r>
    </w:p>
    <w:p>
      <w:pPr>
        <w:pStyle w:val="Heading3"/>
        <w:spacing w:before="200" w:after="120"/>
      </w:pPr>
      <w:r>
        <w:rPr>
          <w:rFonts w:ascii="Arial" w:cs="Arial" w:eastAsia="Arial" w:hAnsi="Arial"/>
          <w:b/>
          <w:bCs/>
          <w:color w:val="2E75B6"/>
          <w:sz w:val="26"/>
          <w:szCs w:val="26"/>
        </w:rPr>
        <w:t xml:space="preserve">1.1.5 The Digital Solution</w:t>
      </w:r>
    </w:p>
    <w:p>
      <w:pPr>
        <w:spacing w:before="100" w:after="100" w:line="360"/>
        <w:jc w:val="both"/>
      </w:pPr>
      <w:r>
        <w:rPr>
          <w:rFonts w:ascii="Arial" w:cs="Arial" w:eastAsia="Arial" w:hAnsi="Arial"/>
          <w:sz w:val="24"/>
          <w:szCs w:val="24"/>
        </w:rPr>
        <w:t xml:space="preserve">The Community Savings Group Digital Record-Keeping System represents a response to the identified challenges and opportunities. This web-based platform is designed specifically for the Kenyan community savings group context, addressing the unique needs, constraints, and operational practices of these groups. Unlike generic accounting software or business management systems, this solution focuses exclusively on the core functions that community savings groups perform: member management, contribution tracking, loan administration, repayment monitoring, meeting documentation, and financial reporting.</w:t>
      </w:r>
    </w:p>
    <w:p>
      <w:pPr>
        <w:spacing w:before="100" w:after="100" w:line="360"/>
        <w:jc w:val="both"/>
      </w:pPr>
      <w:r>
        <w:rPr>
          <w:rFonts w:ascii="Arial" w:cs="Arial" w:eastAsia="Arial" w:hAnsi="Arial"/>
          <w:sz w:val="24"/>
          <w:szCs w:val="24"/>
        </w:rPr>
        <w:t xml:space="preserve">The system aims to preserve the social and relational aspects of community savings groups that make them successful while modernising the administrative and record-keeping functions that currently create challenges. It is designed to be simple enough for users with minimal computer experience yet robust enough to manage the complex financial transactions that occur within active groups.</w:t>
      </w:r>
    </w:p>
    <w:p>
      <w:pPr>
        <w:pStyle w:val="Heading3"/>
        <w:spacing w:before="200" w:after="120"/>
      </w:pPr>
      <w:r>
        <w:rPr>
          <w:rFonts w:ascii="Arial" w:cs="Arial" w:eastAsia="Arial" w:hAnsi="Arial"/>
          <w:b/>
          <w:bCs/>
          <w:color w:val="2E75B6"/>
          <w:sz w:val="26"/>
          <w:szCs w:val="26"/>
        </w:rPr>
        <w:t xml:space="preserve">1.1.6 Vision and Impact</w:t>
      </w:r>
    </w:p>
    <w:p>
      <w:pPr>
        <w:spacing w:before="100" w:after="100" w:line="360"/>
        <w:jc w:val="both"/>
      </w:pPr>
      <w:r>
        <w:rPr>
          <w:rFonts w:ascii="Arial" w:cs="Arial" w:eastAsia="Arial" w:hAnsi="Arial"/>
          <w:sz w:val="24"/>
          <w:szCs w:val="24"/>
        </w:rPr>
        <w:t xml:space="preserve">By providing an accessible, affordable, and appropriate digital solution, this project seeks to contribute to the strengthening and sustainability of community savings groups across Kenya. The vision extends beyond mere computerisation of records to encompass transformation of group operations through enhanced transparency, improved accountability, reduced conflicts, and more efficient administration.</w:t>
      </w:r>
    </w:p>
    <w:p>
      <w:pPr>
        <w:spacing w:before="100" w:after="100" w:line="360"/>
        <w:jc w:val="both"/>
      </w:pPr>
      <w:r>
        <w:rPr>
          <w:rFonts w:ascii="Arial" w:cs="Arial" w:eastAsia="Arial" w:hAnsi="Arial"/>
          <w:sz w:val="24"/>
          <w:szCs w:val="24"/>
        </w:rPr>
        <w:t xml:space="preserve">The goal is to support the financial empowerment of thousands of households and communities by ensuring that community savings groups can operate more effectively, scale more successfully, and serve their members more reliably. In doing so, the project contributes to broader objectives of financial inclusion, poverty alleviation, and community economic development.</w:t>
      </w:r>
    </w:p>
    <w:p>
      <w:pPr>
        <w:pStyle w:val="Heading2"/>
        <w:spacing w:before="280" w:after="160"/>
      </w:pPr>
      <w:r>
        <w:rPr>
          <w:rFonts w:ascii="Arial" w:cs="Arial" w:eastAsia="Arial" w:hAnsi="Arial"/>
          <w:b/>
          <w:bCs/>
          <w:color w:val="2E75B6"/>
          <w:sz w:val="28"/>
          <w:szCs w:val="28"/>
        </w:rPr>
        <w:t xml:space="preserve">1.2 Statement of the Problem</w:t>
      </w:r>
    </w:p>
    <w:p>
      <w:pPr>
        <w:pStyle w:val="Heading3"/>
        <w:spacing w:before="200" w:after="120"/>
      </w:pPr>
      <w:r>
        <w:rPr>
          <w:rFonts w:ascii="Arial" w:cs="Arial" w:eastAsia="Arial" w:hAnsi="Arial"/>
          <w:b/>
          <w:bCs/>
          <w:color w:val="2E75B6"/>
          <w:sz w:val="26"/>
          <w:szCs w:val="26"/>
        </w:rPr>
        <w:t xml:space="preserve">1.2.1 Core Challenge</w:t>
      </w:r>
    </w:p>
    <w:p>
      <w:pPr>
        <w:spacing w:before="100" w:after="100" w:line="360"/>
        <w:jc w:val="both"/>
      </w:pPr>
      <w:r>
        <w:rPr>
          <w:rFonts w:ascii="Arial" w:cs="Arial" w:eastAsia="Arial" w:hAnsi="Arial"/>
          <w:sz w:val="24"/>
          <w:szCs w:val="24"/>
        </w:rPr>
        <w:t xml:space="preserve">The persistence of manual record-keeping in community savings groups represents a significant barrier to the effective financial management and growth of these vital community institutions. Despite the critical role these groups play in poverty alleviation and economic empowerment, their operational infrastructure remains pre-digital, creating numerous challenges that undermine their effectiveness and sustainability.</w:t>
      </w:r>
    </w:p>
    <w:p>
      <w:pPr>
        <w:pStyle w:val="Heading3"/>
        <w:spacing w:before="200" w:after="120"/>
      </w:pPr>
      <w:r>
        <w:rPr>
          <w:rFonts w:ascii="Arial" w:cs="Arial" w:eastAsia="Arial" w:hAnsi="Arial"/>
          <w:b/>
          <w:bCs/>
          <w:color w:val="2E75B6"/>
          <w:sz w:val="26"/>
          <w:szCs w:val="26"/>
        </w:rPr>
        <w:t xml:space="preserve">1.2.2 Specific Problems Identified</w:t>
      </w:r>
    </w:p>
    <w:p>
      <w:pPr>
        <w:pStyle w:val="Heading4"/>
        <w:spacing w:before="160" w:after="80"/>
      </w:pPr>
      <w:r>
        <w:rPr>
          <w:rFonts w:ascii="Arial" w:cs="Arial" w:eastAsia="Arial" w:hAnsi="Arial"/>
          <w:b/>
          <w:bCs/>
          <w:sz w:val="24"/>
          <w:szCs w:val="24"/>
          <w:u w:val="single"/>
        </w:rPr>
        <w:t xml:space="preserve">1.2.2.1 Data Accuracy and Integrity Issues</w:t>
      </w:r>
    </w:p>
    <w:p>
      <w:pPr>
        <w:spacing w:before="100" w:after="100" w:line="360"/>
        <w:jc w:val="both"/>
      </w:pPr>
      <w:r>
        <w:rPr>
          <w:rFonts w:ascii="Arial" w:cs="Arial" w:eastAsia="Arial" w:hAnsi="Arial"/>
          <w:sz w:val="24"/>
          <w:szCs w:val="24"/>
        </w:rPr>
        <w:t xml:space="preserve">Manual financial record-keeping systems are fundamentally unreliable when it comes to maintaining accurate records over time. Even the most diligent and honest treasurers make computational errors when performing manual calculations—adding up contributions, calculating loan interest, determining individual balances, or tallying group totals. Research suggests error rates of 1–5% in manual financial record-keeping, with these errors compounding over time as incorrect figures feed into subsequent calculations.</w:t>
      </w:r>
    </w:p>
    <w:p>
      <w:pPr>
        <w:spacing w:before="100" w:after="100" w:line="360"/>
        <w:jc w:val="both"/>
      </w:pPr>
      <w:r>
        <w:rPr>
          <w:rFonts w:ascii="Arial" w:cs="Arial" w:eastAsia="Arial" w:hAnsi="Arial"/>
          <w:sz w:val="24"/>
          <w:szCs w:val="24"/>
        </w:rPr>
        <w:t xml:space="preserve">These accuracy problems create cascading effects. A single mis-recorded contribution amount can lead to incorrect member balance statements, which in turn affect loan eligibility determinations and dividend calculations. When errors are discovered months later, determining the correct figures often proves impossible, leaving the group unable to resolve discrepancies definitively.</w:t>
      </w:r>
    </w:p>
    <w:p>
      <w:pPr>
        <w:pStyle w:val="Heading4"/>
        <w:spacing w:before="160" w:after="80"/>
      </w:pPr>
      <w:r>
        <w:rPr>
          <w:rFonts w:ascii="Arial" w:cs="Arial" w:eastAsia="Arial" w:hAnsi="Arial"/>
          <w:b/>
          <w:bCs/>
          <w:sz w:val="24"/>
          <w:szCs w:val="24"/>
          <w:u w:val="single"/>
        </w:rPr>
        <w:t xml:space="preserve">1.2.2.2 Record Loss and Physical Vulnerability</w:t>
      </w:r>
    </w:p>
    <w:p>
      <w:pPr>
        <w:spacing w:before="100" w:after="100" w:line="360"/>
        <w:jc w:val="both"/>
      </w:pPr>
      <w:r>
        <w:rPr>
          <w:rFonts w:ascii="Arial" w:cs="Arial" w:eastAsia="Arial" w:hAnsi="Arial"/>
          <w:sz w:val="24"/>
          <w:szCs w:val="24"/>
        </w:rPr>
        <w:t xml:space="preserve">Physical records face numerous threats to their survival. Fire, water damage, insect infestation, general wear and tear, theft, and simple misplacement can result in partial or total loss of critical financial information. Unlike digital systems with backup capabilities, lost paper records are typically irretrievable.</w:t>
      </w:r>
    </w:p>
    <w:p>
      <w:pPr>
        <w:spacing w:before="100" w:after="100" w:line="360"/>
        <w:jc w:val="both"/>
      </w:pPr>
      <w:r>
        <w:rPr>
          <w:rFonts w:ascii="Arial" w:cs="Arial" w:eastAsia="Arial" w:hAnsi="Arial"/>
          <w:sz w:val="24"/>
          <w:szCs w:val="24"/>
        </w:rPr>
        <w:t xml:space="preserve">The concentration of all records in a single physical notebook controlled by the treasurer creates a single point of failure. If that notebook is lost or destroyed, the group loses its entire financial history, often leading to disputes, dissolution, or the need to restart operations from zero.</w:t>
      </w:r>
    </w:p>
    <w:p>
      <w:pPr>
        <w:pStyle w:val="Heading4"/>
        <w:spacing w:before="160" w:after="80"/>
      </w:pPr>
      <w:r>
        <w:rPr>
          <w:rFonts w:ascii="Arial" w:cs="Arial" w:eastAsia="Arial" w:hAnsi="Arial"/>
          <w:b/>
          <w:bCs/>
          <w:sz w:val="24"/>
          <w:szCs w:val="24"/>
          <w:u w:val="single"/>
        </w:rPr>
        <w:t xml:space="preserve">1.2.2.3 Limited Accessibility and Transparency</w:t>
      </w:r>
    </w:p>
    <w:p>
      <w:pPr>
        <w:spacing w:before="100" w:after="100" w:line="360"/>
        <w:jc w:val="both"/>
      </w:pPr>
      <w:r>
        <w:rPr>
          <w:rFonts w:ascii="Arial" w:cs="Arial" w:eastAsia="Arial" w:hAnsi="Arial"/>
          <w:sz w:val="24"/>
          <w:szCs w:val="24"/>
        </w:rPr>
        <w:t xml:space="preserve">In manual systems, financial information remains locked in physical notebooks controlled by the treasurer. Members cannot independently verify their contribution history, check their loan balances, or review the group's financial status without specifically requesting information from the treasurer and waiting for it to be compiled.</w:t>
      </w:r>
    </w:p>
    <w:p>
      <w:pPr>
        <w:spacing w:before="100" w:after="100" w:line="360"/>
        <w:jc w:val="both"/>
      </w:pPr>
      <w:r>
        <w:rPr>
          <w:rFonts w:ascii="Arial" w:cs="Arial" w:eastAsia="Arial" w:hAnsi="Arial"/>
          <w:sz w:val="24"/>
          <w:szCs w:val="24"/>
        </w:rPr>
        <w:t xml:space="preserve">This information asymmetry creates dependencies and can breed suspicion. Members may question whether their contributions have been properly recorded or whether loans are being disbursed fairly. The lack of transparent, accessible records makes it difficult for members to hold officials accountable or to participate meaningfully in financial decisions.</w:t>
      </w:r>
    </w:p>
    <w:p>
      <w:pPr>
        <w:pStyle w:val="Heading4"/>
        <w:spacing w:before="160" w:after="80"/>
      </w:pPr>
      <w:r>
        <w:rPr>
          <w:rFonts w:ascii="Arial" w:cs="Arial" w:eastAsia="Arial" w:hAnsi="Arial"/>
          <w:b/>
          <w:bCs/>
          <w:sz w:val="24"/>
          <w:szCs w:val="24"/>
          <w:u w:val="single"/>
        </w:rPr>
        <w:t xml:space="preserve">1.2.2.4 Scalability Limitations</w:t>
      </w:r>
    </w:p>
    <w:p>
      <w:pPr>
        <w:spacing w:before="100" w:after="100" w:line="360"/>
        <w:jc w:val="both"/>
      </w:pPr>
      <w:r>
        <w:rPr>
          <w:rFonts w:ascii="Arial" w:cs="Arial" w:eastAsia="Arial" w:hAnsi="Arial"/>
          <w:sz w:val="24"/>
          <w:szCs w:val="24"/>
        </w:rPr>
        <w:t xml:space="preserve">As community savings groups grow in membership and financial complexity, manual systems become exponentially more difficult to manage. A treasurer who comfortably tracked ten members' simple contributions may find themselves overwhelmed when managing fifty members with varying contribution amounts, multiple simultaneous loans at different interest rates, and complex repayment schedules.</w:t>
      </w:r>
    </w:p>
    <w:p>
      <w:pPr>
        <w:spacing w:before="100" w:after="100" w:line="360"/>
        <w:jc w:val="both"/>
      </w:pPr>
      <w:r>
        <w:rPr>
          <w:rFonts w:ascii="Arial" w:cs="Arial" w:eastAsia="Arial" w:hAnsi="Arial"/>
          <w:sz w:val="24"/>
          <w:szCs w:val="24"/>
        </w:rPr>
        <w:t xml:space="preserve">This scalability challenge constrains group growth. Successful groups that attract new members may reach a point where manual management becomes so burdensome that they must either limit membership, split into smaller groups, or risk administrative breakdown.</w:t>
      </w:r>
    </w:p>
    <w:p>
      <w:pPr>
        <w:pStyle w:val="Heading4"/>
        <w:spacing w:before="160" w:after="80"/>
      </w:pPr>
      <w:r>
        <w:rPr>
          <w:rFonts w:ascii="Arial" w:cs="Arial" w:eastAsia="Arial" w:hAnsi="Arial"/>
          <w:b/>
          <w:bCs/>
          <w:sz w:val="24"/>
          <w:szCs w:val="24"/>
          <w:u w:val="single"/>
        </w:rPr>
        <w:t xml:space="preserve">1.2.2.5 Time Inefficiency</w:t>
      </w:r>
    </w:p>
    <w:p>
      <w:pPr>
        <w:spacing w:before="100" w:after="100" w:line="360"/>
        <w:jc w:val="both"/>
      </w:pPr>
      <w:r>
        <w:rPr>
          <w:rFonts w:ascii="Arial" w:cs="Arial" w:eastAsia="Arial" w:hAnsi="Arial"/>
          <w:sz w:val="24"/>
          <w:szCs w:val="24"/>
        </w:rPr>
        <w:t xml:space="preserve">Manual record-keeping consumes significant time. Treasurers spend hours recording transactions during meetings, performing calculations, preparing financial reports, responding to member inquiries about their account status, and reconciling discrepancies. This time investment represents substantial opportunity cost, taking volunteers away from income-generating activities and family responsibilities.</w:t>
      </w:r>
    </w:p>
    <w:p>
      <w:pPr>
        <w:pStyle w:val="Heading4"/>
        <w:spacing w:before="160" w:after="80"/>
      </w:pPr>
      <w:r>
        <w:rPr>
          <w:rFonts w:ascii="Arial" w:cs="Arial" w:eastAsia="Arial" w:hAnsi="Arial"/>
          <w:b/>
          <w:bCs/>
          <w:sz w:val="24"/>
          <w:szCs w:val="24"/>
          <w:u w:val="single"/>
        </w:rPr>
        <w:t xml:space="preserve">1.2.2.6 Vulnerability to Fraud and Manipulation</w:t>
      </w:r>
    </w:p>
    <w:p>
      <w:pPr>
        <w:spacing w:before="100" w:after="100" w:line="360"/>
        <w:jc w:val="both"/>
      </w:pPr>
      <w:r>
        <w:rPr>
          <w:rFonts w:ascii="Arial" w:cs="Arial" w:eastAsia="Arial" w:hAnsi="Arial"/>
          <w:sz w:val="24"/>
          <w:szCs w:val="24"/>
        </w:rPr>
        <w:t xml:space="preserve">While most community savings group officials serve honestly, manual systems create opportunities for fraud that may prove too tempting for some individuals. Records can be altered, contributions can be misappropriated, loan payments can be pocketed rather than recorded, and balances can be manipulated—all with minimal risk of detection in systems lacking audit trails.</w:t>
      </w:r>
    </w:p>
    <w:p>
      <w:pPr>
        <w:pStyle w:val="Heading4"/>
        <w:spacing w:before="160" w:after="80"/>
      </w:pPr>
      <w:r>
        <w:rPr>
          <w:rFonts w:ascii="Arial" w:cs="Arial" w:eastAsia="Arial" w:hAnsi="Arial"/>
          <w:b/>
          <w:bCs/>
          <w:sz w:val="24"/>
          <w:szCs w:val="24"/>
          <w:u w:val="single"/>
        </w:rPr>
        <w:t xml:space="preserve">1.2.2.7 Dispute Resolution Difficulties</w:t>
      </w:r>
    </w:p>
    <w:p>
      <w:pPr>
        <w:spacing w:before="100" w:after="100" w:line="360"/>
        <w:jc w:val="both"/>
      </w:pPr>
      <w:r>
        <w:rPr>
          <w:rFonts w:ascii="Arial" w:cs="Arial" w:eastAsia="Arial" w:hAnsi="Arial"/>
          <w:sz w:val="24"/>
          <w:szCs w:val="24"/>
        </w:rPr>
        <w:t xml:space="preserve">Financial disputes within community savings groups are common and can be destructive. Members may dispute how much they have contributed, whether their loan payments have been properly credited, what their current loan balance should be, or whether interest has been calculated correctly. Manual records often prove inadequate for resolving these disputes because erasures, overwriting, illegible entries, missing pages, or simply contradictory notations make it impossible to establish definitive facts.</w:t>
      </w:r>
    </w:p>
    <w:p>
      <w:pPr>
        <w:pStyle w:val="Heading4"/>
        <w:spacing w:before="160" w:after="80"/>
      </w:pPr>
      <w:r>
        <w:rPr>
          <w:rFonts w:ascii="Arial" w:cs="Arial" w:eastAsia="Arial" w:hAnsi="Arial"/>
          <w:b/>
          <w:bCs/>
          <w:sz w:val="24"/>
          <w:szCs w:val="24"/>
          <w:u w:val="single"/>
        </w:rPr>
        <w:t xml:space="preserve">1.2.2.8 Lack of Decision-Support Information</w:t>
      </w:r>
    </w:p>
    <w:p>
      <w:pPr>
        <w:spacing w:before="100" w:after="100" w:line="360"/>
        <w:jc w:val="both"/>
      </w:pPr>
      <w:r>
        <w:rPr>
          <w:rFonts w:ascii="Arial" w:cs="Arial" w:eastAsia="Arial" w:hAnsi="Arial"/>
          <w:sz w:val="24"/>
          <w:szCs w:val="24"/>
        </w:rPr>
        <w:t xml:space="preserve">Effective financial management requires timely, accurate information. Group leaders need to know their current cash position before approving loan requests, identify members falling behind on contributions for follow-up, assess loan portfolio quality to manage risk, and evaluate trends in group financial health to inform strategy. Manual systems cannot provide this information quickly or easily.</w:t>
      </w:r>
    </w:p>
    <w:p>
      <w:pPr>
        <w:pStyle w:val="Heading3"/>
        <w:spacing w:before="200" w:after="120"/>
      </w:pPr>
      <w:r>
        <w:rPr>
          <w:rFonts w:ascii="Arial" w:cs="Arial" w:eastAsia="Arial" w:hAnsi="Arial"/>
          <w:b/>
          <w:bCs/>
          <w:color w:val="2E75B6"/>
          <w:sz w:val="26"/>
          <w:szCs w:val="26"/>
        </w:rPr>
        <w:t xml:space="preserve">1.2.3 Impact on Community Savings Group Effectiveness</w:t>
      </w:r>
    </w:p>
    <w:p>
      <w:pPr>
        <w:spacing w:before="100" w:after="100" w:line="360"/>
        <w:jc w:val="both"/>
      </w:pPr>
      <w:r>
        <w:rPr>
          <w:rFonts w:ascii="Arial" w:cs="Arial" w:eastAsia="Arial" w:hAnsi="Arial"/>
          <w:sz w:val="24"/>
          <w:szCs w:val="24"/>
        </w:rPr>
        <w:t xml:space="preserve">These interconnected challenges significantly undermine CSG effectiveness. Groups operating with manual systems experience higher rates of financial disputes, member dissatisfaction, and dissolution. They face constraints on growth and missed opportunities for serving their members better. The administrative burden discourages capable individuals from accepting treasurer positions, and the lack of professionalism in record-keeping limits potential partnerships with formal financial institutions.</w:t>
      </w:r>
    </w:p>
    <w:p>
      <w:pPr>
        <w:pStyle w:val="Heading3"/>
        <w:spacing w:before="200" w:after="120"/>
      </w:pPr>
      <w:r>
        <w:rPr>
          <w:rFonts w:ascii="Arial" w:cs="Arial" w:eastAsia="Arial" w:hAnsi="Arial"/>
          <w:b/>
          <w:bCs/>
          <w:color w:val="2E75B6"/>
          <w:sz w:val="26"/>
          <w:szCs w:val="26"/>
        </w:rPr>
        <w:t xml:space="preserve">1.2.4 The Need for Digital Transformation</w:t>
      </w:r>
    </w:p>
    <w:p>
      <w:pPr>
        <w:spacing w:before="100" w:after="100" w:line="360"/>
        <w:jc w:val="both"/>
      </w:pPr>
      <w:r>
        <w:rPr>
          <w:rFonts w:ascii="Arial" w:cs="Arial" w:eastAsia="Arial" w:hAnsi="Arial"/>
          <w:sz w:val="24"/>
          <w:szCs w:val="24"/>
        </w:rPr>
        <w:t xml:space="preserve">Given these multifaceted challenges, there exists a clear and urgent need for digital solutions specifically designed for the community savings group context. Such solutions must address the identified problems while remaining accessible, affordable, and appropriate for the target user population. The solution must enhance rather than complicate operations, strengthen rather than disrupt social bonds, and empower rather than intimidate users.</w:t>
      </w:r>
    </w:p>
    <w:p>
      <w:pPr>
        <w:pStyle w:val="Heading2"/>
        <w:spacing w:before="280" w:after="160"/>
      </w:pPr>
      <w:r>
        <w:rPr>
          <w:rFonts w:ascii="Arial" w:cs="Arial" w:eastAsia="Arial" w:hAnsi="Arial"/>
          <w:b/>
          <w:bCs/>
          <w:color w:val="2E75B6"/>
          <w:sz w:val="28"/>
          <w:szCs w:val="28"/>
        </w:rPr>
        <w:t xml:space="preserve">1.3 Proposed Solution</w:t>
      </w:r>
    </w:p>
    <w:p>
      <w:pPr>
        <w:pStyle w:val="Heading3"/>
        <w:spacing w:before="200" w:after="120"/>
      </w:pPr>
      <w:r>
        <w:rPr>
          <w:rFonts w:ascii="Arial" w:cs="Arial" w:eastAsia="Arial" w:hAnsi="Arial"/>
          <w:b/>
          <w:bCs/>
          <w:color w:val="2E75B6"/>
          <w:sz w:val="26"/>
          <w:szCs w:val="26"/>
        </w:rPr>
        <w:t xml:space="preserve">1.3.1 Overview of the Digital System</w:t>
      </w:r>
    </w:p>
    <w:p>
      <w:pPr>
        <w:spacing w:before="100" w:after="100" w:line="360"/>
        <w:jc w:val="both"/>
      </w:pPr>
      <w:r>
        <w:rPr>
          <w:rFonts w:ascii="Arial" w:cs="Arial" w:eastAsia="Arial" w:hAnsi="Arial"/>
          <w:sz w:val="24"/>
          <w:szCs w:val="24"/>
        </w:rPr>
        <w:t xml:space="preserve">The Community Savings Group Digital Record-Keeping System represents a comprehensive web-based platform specifically designed to address the challenges identified in manual record-keeping. Rather than simply computerising existing manual processes, the system leverages digital technology to fundamentally improve how community savings groups manage their financial operations while preserving the cultural practices and social dynamics that make these groups successful.</w:t>
      </w:r>
    </w:p>
    <w:p>
      <w:pPr>
        <w:spacing w:before="100" w:after="100" w:line="360"/>
        <w:jc w:val="both"/>
      </w:pPr>
      <w:r>
        <w:rPr>
          <w:rFonts w:ascii="Arial" w:cs="Arial" w:eastAsia="Arial" w:hAnsi="Arial"/>
          <w:sz w:val="24"/>
          <w:szCs w:val="24"/>
        </w:rPr>
        <w:t xml:space="preserve">The solution provides an integrated platform where all financial transactions—contributions, loans, repayments, fines—are recorded digitally, stored securely, and made accessible to authorised users through an intuitive web interface. The system automatically performs calculations, generates reports, tracks trends, and maintains complete audit trails, eliminating the primary sources of errors, disputes, and inefficiency in manual systems.</w:t>
      </w:r>
    </w:p>
    <w:p>
      <w:pPr>
        <w:pStyle w:val="Heading3"/>
        <w:spacing w:before="200" w:after="120"/>
      </w:pPr>
      <w:r>
        <w:rPr>
          <w:rFonts w:ascii="Arial" w:cs="Arial" w:eastAsia="Arial" w:hAnsi="Arial"/>
          <w:b/>
          <w:bCs/>
          <w:color w:val="2E75B6"/>
          <w:sz w:val="26"/>
          <w:szCs w:val="26"/>
        </w:rPr>
        <w:t xml:space="preserve">1.3.2 Key Solution Components</w:t>
      </w:r>
    </w:p>
    <w:p>
      <w:pPr>
        <w:pStyle w:val="Heading4"/>
        <w:spacing w:before="160" w:after="80"/>
      </w:pPr>
      <w:r>
        <w:rPr>
          <w:rFonts w:ascii="Arial" w:cs="Arial" w:eastAsia="Arial" w:hAnsi="Arial"/>
          <w:b/>
          <w:bCs/>
          <w:sz w:val="24"/>
          <w:szCs w:val="24"/>
          <w:u w:val="single"/>
        </w:rPr>
        <w:t xml:space="preserve">1.3.2.1 Secure Member Management</w:t>
      </w:r>
    </w:p>
    <w:p>
      <w:pPr>
        <w:spacing w:before="100" w:after="100" w:line="360"/>
        <w:jc w:val="both"/>
      </w:pPr>
      <w:r>
        <w:rPr>
          <w:rFonts w:ascii="Arial" w:cs="Arial" w:eastAsia="Arial" w:hAnsi="Arial"/>
          <w:sz w:val="24"/>
          <w:szCs w:val="24"/>
        </w:rPr>
        <w:t xml:space="preserve">The system provides comprehensive member registration and profile management capabilities. Each member has a unique digital record containing their personal information, contact details, membership dates, and account status. This centralised member database ensures that all financial transactions can be accurately attributed and tracked at the individual level.</w:t>
      </w:r>
    </w:p>
    <w:p>
      <w:pPr>
        <w:pStyle w:val="Heading4"/>
        <w:spacing w:before="160" w:after="80"/>
      </w:pPr>
      <w:r>
        <w:rPr>
          <w:rFonts w:ascii="Arial" w:cs="Arial" w:eastAsia="Arial" w:hAnsi="Arial"/>
          <w:b/>
          <w:bCs/>
          <w:sz w:val="24"/>
          <w:szCs w:val="24"/>
          <w:u w:val="single"/>
        </w:rPr>
        <w:t xml:space="preserve">1.3.2.2 Automated Contribution Tracking</w:t>
      </w:r>
    </w:p>
    <w:p>
      <w:pPr>
        <w:spacing w:before="100" w:after="100" w:line="360"/>
        <w:jc w:val="both"/>
      </w:pPr>
      <w:r>
        <w:rPr>
          <w:rFonts w:ascii="Arial" w:cs="Arial" w:eastAsia="Arial" w:hAnsi="Arial"/>
          <w:sz w:val="24"/>
          <w:szCs w:val="24"/>
        </w:rPr>
        <w:t xml:space="preserve">All member contributions are recorded digitally with automatic date stamping, immediate balance updates, and receipt generation. The system automatically calculates cumulative savings, identifies missed contributions, tracks arrears, and generates individual contribution histories.</w:t>
      </w:r>
    </w:p>
    <w:p>
      <w:pPr>
        <w:pStyle w:val="Heading4"/>
        <w:spacing w:before="160" w:after="80"/>
      </w:pPr>
      <w:r>
        <w:rPr>
          <w:rFonts w:ascii="Arial" w:cs="Arial" w:eastAsia="Arial" w:hAnsi="Arial"/>
          <w:b/>
          <w:bCs/>
          <w:sz w:val="24"/>
          <w:szCs w:val="24"/>
          <w:u w:val="single"/>
        </w:rPr>
        <w:t xml:space="preserve">1.3.2.3 Comprehensive Loan Management</w:t>
      </w:r>
    </w:p>
    <w:p>
      <w:pPr>
        <w:spacing w:before="100" w:after="100" w:line="360"/>
        <w:jc w:val="both"/>
      </w:pPr>
      <w:r>
        <w:rPr>
          <w:rFonts w:ascii="Arial" w:cs="Arial" w:eastAsia="Arial" w:hAnsi="Arial"/>
          <w:sz w:val="24"/>
          <w:szCs w:val="24"/>
        </w:rPr>
        <w:t xml:space="preserve">The system manages the complete loan lifecycle from application through final repayment. Members (or officials on their behalf) can submit loan requests digitally. The system tracks approval workflows, records disbursements, automatically calculates interest based on group policies, monitors repayments, updates outstanding balances, and identifies overdue loans.</w:t>
      </w:r>
    </w:p>
    <w:p>
      <w:pPr>
        <w:pStyle w:val="Heading4"/>
        <w:spacing w:before="160" w:after="80"/>
      </w:pPr>
      <w:r>
        <w:rPr>
          <w:rFonts w:ascii="Arial" w:cs="Arial" w:eastAsia="Arial" w:hAnsi="Arial"/>
          <w:b/>
          <w:bCs/>
          <w:sz w:val="24"/>
          <w:szCs w:val="24"/>
          <w:u w:val="single"/>
        </w:rPr>
        <w:t xml:space="preserve">1.3.2.4 Automated Financial Reporting</w:t>
      </w:r>
    </w:p>
    <w:p>
      <w:pPr>
        <w:spacing w:before="100" w:after="100" w:line="360"/>
        <w:jc w:val="both"/>
      </w:pPr>
      <w:r>
        <w:rPr>
          <w:rFonts w:ascii="Arial" w:cs="Arial" w:eastAsia="Arial" w:hAnsi="Arial"/>
          <w:sz w:val="24"/>
          <w:szCs w:val="24"/>
        </w:rPr>
        <w:t xml:space="preserve">The system generates a wide range of financial reports automatically, including individual member statements, group financial summaries, contribution reports, loan portfolio analyses, and period comparisons. Reports can be generated instantly for any time period, eliminating the hours traditionally required for manual compilation.</w:t>
      </w:r>
    </w:p>
    <w:p>
      <w:pPr>
        <w:pStyle w:val="Heading4"/>
        <w:spacing w:before="160" w:after="80"/>
      </w:pPr>
      <w:r>
        <w:rPr>
          <w:rFonts w:ascii="Arial" w:cs="Arial" w:eastAsia="Arial" w:hAnsi="Arial"/>
          <w:b/>
          <w:bCs/>
          <w:sz w:val="24"/>
          <w:szCs w:val="24"/>
          <w:u w:val="single"/>
        </w:rPr>
        <w:t xml:space="preserve">1.3.2.5 Meeting Records Management</w:t>
      </w:r>
    </w:p>
    <w:p>
      <w:pPr>
        <w:spacing w:before="100" w:after="100" w:line="360"/>
        <w:jc w:val="both"/>
      </w:pPr>
      <w:r>
        <w:rPr>
          <w:rFonts w:ascii="Arial" w:cs="Arial" w:eastAsia="Arial" w:hAnsi="Arial"/>
          <w:sz w:val="24"/>
          <w:szCs w:val="24"/>
        </w:rPr>
        <w:t xml:space="preserve">Beyond financial transactions, the system provides tools for recording meeting attendance, capturing minutes and decisions, tracking action items, and maintaining institutional memory.</w:t>
      </w:r>
    </w:p>
    <w:p>
      <w:pPr>
        <w:pStyle w:val="Heading4"/>
        <w:spacing w:before="160" w:after="80"/>
      </w:pPr>
      <w:r>
        <w:rPr>
          <w:rFonts w:ascii="Arial" w:cs="Arial" w:eastAsia="Arial" w:hAnsi="Arial"/>
          <w:b/>
          <w:bCs/>
          <w:sz w:val="24"/>
          <w:szCs w:val="24"/>
          <w:u w:val="single"/>
        </w:rPr>
        <w:t xml:space="preserve">1.3.2.6 User-Friendly Interface</w:t>
      </w:r>
    </w:p>
    <w:p>
      <w:pPr>
        <w:spacing w:before="100" w:after="100" w:line="360"/>
        <w:jc w:val="both"/>
      </w:pPr>
      <w:r>
        <w:rPr>
          <w:rFonts w:ascii="Arial" w:cs="Arial" w:eastAsia="Arial" w:hAnsi="Arial"/>
          <w:sz w:val="24"/>
          <w:szCs w:val="24"/>
        </w:rPr>
        <w:t xml:space="preserve">Recognising that many community savings group officials have limited computer experience, the system prioritises simplicity and usability. The interface uses clear, familiar terminology, provides intuitive navigation, includes helpful prompts and validation, and requires minimal clicks to complete common tasks.</w:t>
      </w:r>
    </w:p>
    <w:p>
      <w:pPr>
        <w:pStyle w:val="Heading3"/>
        <w:spacing w:before="200" w:after="120"/>
      </w:pPr>
      <w:r>
        <w:rPr>
          <w:rFonts w:ascii="Arial" w:cs="Arial" w:eastAsia="Arial" w:hAnsi="Arial"/>
          <w:b/>
          <w:bCs/>
          <w:color w:val="2E75B6"/>
          <w:sz w:val="26"/>
          <w:szCs w:val="26"/>
        </w:rPr>
        <w:t xml:space="preserve">1.3.3 Technical Approach</w:t>
      </w:r>
    </w:p>
    <w:p>
      <w:pPr>
        <w:spacing w:before="100" w:after="100" w:line="360"/>
        <w:jc w:val="both"/>
      </w:pPr>
      <w:r>
        <w:rPr>
          <w:rFonts w:ascii="Arial" w:cs="Arial" w:eastAsia="Arial" w:hAnsi="Arial"/>
          <w:sz w:val="24"/>
          <w:szCs w:val="24"/>
        </w:rPr>
        <w:t xml:space="preserve">The system is built using modern, proven web technologies: Laravel 10 (PHP 8.2) provides the backend framework with the MVC architectural pattern; SQLite/MySQL handles data storage and retrieval; Blade templating with Tailwind CSS creates the user interface; and JavaScript adds interactive features. This technology stack was chosen for its reliability, widespread support, and suitability for the target environment. The system can be deployed on cloud-based hosting for groups with reliable internet access, or on local servers for groups preferring local hosting.</w:t>
      </w:r>
    </w:p>
    <w:p>
      <w:pPr>
        <w:pStyle w:val="Heading3"/>
        <w:spacing w:before="200" w:after="120"/>
      </w:pPr>
      <w:r>
        <w:rPr>
          <w:rFonts w:ascii="Arial" w:cs="Arial" w:eastAsia="Arial" w:hAnsi="Arial"/>
          <w:b/>
          <w:bCs/>
          <w:color w:val="2E75B6"/>
          <w:sz w:val="26"/>
          <w:szCs w:val="26"/>
        </w:rPr>
        <w:t xml:space="preserve">1.3.4 Security and Data Protection</w:t>
      </w:r>
    </w:p>
    <w:p>
      <w:pPr>
        <w:spacing w:before="100" w:after="100" w:line="360"/>
        <w:jc w:val="both"/>
      </w:pPr>
      <w:r>
        <w:rPr>
          <w:rFonts w:ascii="Arial" w:cs="Arial" w:eastAsia="Arial" w:hAnsi="Arial"/>
          <w:sz w:val="24"/>
          <w:szCs w:val="24"/>
        </w:rPr>
        <w:t xml:space="preserve">Understanding that financial data requires protection, the system incorporates multiple security layers including encrypted user authentication, role-based access controls, secure data transmission protocols (HTTPS), regular automated backups, and audit trails tracking all system activities.</w:t>
      </w:r>
    </w:p>
    <w:p>
      <w:pPr>
        <w:pStyle w:val="Heading3"/>
        <w:spacing w:before="200" w:after="120"/>
      </w:pPr>
      <w:r>
        <w:rPr>
          <w:rFonts w:ascii="Arial" w:cs="Arial" w:eastAsia="Arial" w:hAnsi="Arial"/>
          <w:b/>
          <w:bCs/>
          <w:color w:val="2E75B6"/>
          <w:sz w:val="26"/>
          <w:szCs w:val="26"/>
        </w:rPr>
        <w:t xml:space="preserve">1.3.5 Customisation and Flexibility</w:t>
      </w:r>
    </w:p>
    <w:p>
      <w:pPr>
        <w:spacing w:before="100" w:after="100" w:line="360"/>
        <w:jc w:val="both"/>
      </w:pPr>
      <w:r>
        <w:rPr>
          <w:rFonts w:ascii="Arial" w:cs="Arial" w:eastAsia="Arial" w:hAnsi="Arial"/>
          <w:sz w:val="24"/>
          <w:szCs w:val="24"/>
        </w:rPr>
        <w:t xml:space="preserve">While designed around common community savings group practices, the system accommodates variations in operational procedures. Groups can configure contribution schedules, define loan interest calculation methods, set approval workflows, and customise report formats without requiring programming changes.</w:t>
      </w:r>
    </w:p>
    <w:p>
      <w:pPr>
        <w:pStyle w:val="Heading3"/>
        <w:spacing w:before="200" w:after="120"/>
      </w:pPr>
      <w:r>
        <w:rPr>
          <w:rFonts w:ascii="Arial" w:cs="Arial" w:eastAsia="Arial" w:hAnsi="Arial"/>
          <w:b/>
          <w:bCs/>
          <w:color w:val="2E75B6"/>
          <w:sz w:val="26"/>
          <w:szCs w:val="26"/>
        </w:rPr>
        <w:t xml:space="preserve">1.3.6 Training and Support Approach</w:t>
      </w:r>
    </w:p>
    <w:p>
      <w:pPr>
        <w:spacing w:before="100" w:after="100" w:line="360"/>
        <w:jc w:val="both"/>
      </w:pPr>
      <w:r>
        <w:rPr>
          <w:rFonts w:ascii="Arial" w:cs="Arial" w:eastAsia="Arial" w:hAnsi="Arial"/>
          <w:sz w:val="24"/>
          <w:szCs w:val="24"/>
        </w:rPr>
        <w:t xml:space="preserve">The solution includes comprehensive user documentation, video tutorials for common tasks, context-sensitive help within the system, and troubleshooting guides. Initial training for group officials is designed to be completed in 2–3 hours.</w:t>
      </w:r>
    </w:p>
    <w:p>
      <w:pPr>
        <w:pStyle w:val="Heading3"/>
        <w:spacing w:before="200" w:after="120"/>
      </w:pPr>
      <w:r>
        <w:rPr>
          <w:rFonts w:ascii="Arial" w:cs="Arial" w:eastAsia="Arial" w:hAnsi="Arial"/>
          <w:b/>
          <w:bCs/>
          <w:color w:val="2E75B6"/>
          <w:sz w:val="26"/>
          <w:szCs w:val="26"/>
        </w:rPr>
        <w:t xml:space="preserve">1.3.7 Expected Benefits</w:t>
      </w:r>
    </w:p>
    <w:p>
      <w:pPr>
        <w:spacing w:before="100" w:after="100" w:line="360"/>
        <w:jc w:val="both"/>
      </w:pPr>
      <w:r>
        <w:rPr>
          <w:rFonts w:ascii="Arial" w:cs="Arial" w:eastAsia="Arial" w:hAnsi="Arial"/>
          <w:sz w:val="24"/>
          <w:szCs w:val="24"/>
        </w:rPr>
        <w:t xml:space="preserve">Implementation of this digital solution is expected to produce: elimination of calculation errors, dramatic reduction in record loss risk, enhanced transparency and member confidence, significant time savings for treasurers and officials, reduced financial disputes, improved decision-making through better information access, and professional record-keeping that could facilitate partnerships with formal financial institutions.</w:t>
      </w:r>
    </w:p>
    <w:p>
      <w:pPr>
        <w:pStyle w:val="Heading2"/>
        <w:spacing w:before="280" w:after="160"/>
      </w:pPr>
      <w:r>
        <w:rPr>
          <w:rFonts w:ascii="Arial" w:cs="Arial" w:eastAsia="Arial" w:hAnsi="Arial"/>
          <w:b/>
          <w:bCs/>
          <w:color w:val="2E75B6"/>
          <w:sz w:val="28"/>
          <w:szCs w:val="28"/>
        </w:rPr>
        <w:t xml:space="preserve">1.4 Objectives/Aims</w:t>
      </w:r>
    </w:p>
    <w:p>
      <w:pPr>
        <w:pStyle w:val="Heading3"/>
        <w:spacing w:before="200" w:after="120"/>
      </w:pPr>
      <w:r>
        <w:rPr>
          <w:rFonts w:ascii="Arial" w:cs="Arial" w:eastAsia="Arial" w:hAnsi="Arial"/>
          <w:b/>
          <w:bCs/>
          <w:color w:val="2E75B6"/>
          <w:sz w:val="26"/>
          <w:szCs w:val="26"/>
        </w:rPr>
        <w:t xml:space="preserve">1.4.1 General Objective</w:t>
      </w:r>
    </w:p>
    <w:p>
      <w:pPr>
        <w:spacing w:before="100" w:after="100" w:line="360"/>
        <w:jc w:val="both"/>
      </w:pPr>
      <w:r>
        <w:rPr>
          <w:rFonts w:ascii="Arial" w:cs="Arial" w:eastAsia="Arial" w:hAnsi="Arial"/>
          <w:sz w:val="24"/>
          <w:szCs w:val="24"/>
        </w:rPr>
        <w:t xml:space="preserve">To design, develop, and implement a comprehensive digital record-keeping system that enhances accountability, improves financial management, promotes transparency, and strengthens organisational capacity within community savings groups and similar community-based savings and credit groups in Kenya.</w:t>
      </w:r>
    </w:p>
    <w:p>
      <w:pPr>
        <w:pStyle w:val="Heading3"/>
        <w:spacing w:before="200" w:after="120"/>
      </w:pPr>
      <w:r>
        <w:rPr>
          <w:rFonts w:ascii="Arial" w:cs="Arial" w:eastAsia="Arial" w:hAnsi="Arial"/>
          <w:b/>
          <w:bCs/>
          <w:color w:val="2E75B6"/>
          <w:sz w:val="26"/>
          <w:szCs w:val="26"/>
        </w:rPr>
        <w:t xml:space="preserve">1.4.2 Specific Objectives</w:t>
      </w:r>
    </w:p>
    <w:p>
      <w:pPr>
        <w:pStyle w:val="ListParagraph"/>
        <w:numPr>
          <w:ilvl w:val="0"/>
          <w:numId w:val="3"/>
        </w:numPr>
        <w:spacing w:before="60" w:after="60" w:line="320"/>
      </w:pPr>
      <w:r>
        <w:rPr>
          <w:rFonts w:ascii="Arial" w:cs="Arial" w:eastAsia="Arial" w:hAnsi="Arial"/>
          <w:sz w:val="24"/>
          <w:szCs w:val="24"/>
        </w:rPr>
        <w:t xml:space="preserve">To create a secure and comprehensive member registration module that captures and stores complete personal and financial details of all community savings group members, provides unique identification for each member, and supports member status tracking.</w:t>
      </w:r>
    </w:p>
    <w:p>
      <w:pPr>
        <w:pStyle w:val="ListParagraph"/>
        <w:numPr>
          <w:ilvl w:val="0"/>
          <w:numId w:val="3"/>
        </w:numPr>
        <w:spacing w:before="60" w:after="60" w:line="320"/>
      </w:pPr>
      <w:r>
        <w:rPr>
          <w:rFonts w:ascii="Arial" w:cs="Arial" w:eastAsia="Arial" w:hAnsi="Arial"/>
          <w:sz w:val="24"/>
          <w:szCs w:val="24"/>
        </w:rPr>
        <w:t xml:space="preserve">To develop a robust contribution tracking feature that records all member contributions with dates and amounts, automatically calculates cumulative savings balances, identifies missed contributions, and generates contribution receipts and history reports.</w:t>
      </w:r>
    </w:p>
    <w:p>
      <w:pPr>
        <w:pStyle w:val="ListParagraph"/>
        <w:numPr>
          <w:ilvl w:val="0"/>
          <w:numId w:val="3"/>
        </w:numPr>
        <w:spacing w:before="60" w:after="60" w:line="320"/>
      </w:pPr>
      <w:r>
        <w:rPr>
          <w:rFonts w:ascii="Arial" w:cs="Arial" w:eastAsia="Arial" w:hAnsi="Arial"/>
          <w:sz w:val="24"/>
          <w:szCs w:val="24"/>
        </w:rPr>
        <w:t xml:space="preserve">To build a comprehensive loan management system that handles loan applications, implements approval workflows, records disbursements, automatically calculates interest, tracks repayments, identifies defaulters, and provides complete loan history.</w:t>
      </w:r>
    </w:p>
    <w:p>
      <w:pPr>
        <w:pStyle w:val="ListParagraph"/>
        <w:numPr>
          <w:ilvl w:val="0"/>
          <w:numId w:val="3"/>
        </w:numPr>
        <w:spacing w:before="60" w:after="60" w:line="320"/>
      </w:pPr>
      <w:r>
        <w:rPr>
          <w:rFonts w:ascii="Arial" w:cs="Arial" w:eastAsia="Arial" w:hAnsi="Arial"/>
          <w:sz w:val="24"/>
          <w:szCs w:val="24"/>
        </w:rPr>
        <w:t xml:space="preserve">To create reporting functionality that generates individual member financial statements, group-wide financial summaries, period-based reports, comparative analyses, and trend visualisations.</w:t>
      </w:r>
    </w:p>
    <w:p>
      <w:pPr>
        <w:pStyle w:val="ListParagraph"/>
        <w:numPr>
          <w:ilvl w:val="0"/>
          <w:numId w:val="3"/>
        </w:numPr>
        <w:spacing w:before="60" w:after="60" w:line="320"/>
      </w:pPr>
      <w:r>
        <w:rPr>
          <w:rFonts w:ascii="Arial" w:cs="Arial" w:eastAsia="Arial" w:hAnsi="Arial"/>
          <w:sz w:val="24"/>
          <w:szCs w:val="24"/>
        </w:rPr>
        <w:t xml:space="preserve">To implement meeting management features that schedule meetings, track attendance, record minutes and decisions, and maintain a searchable archive of all meeting records.</w:t>
      </w:r>
    </w:p>
    <w:p>
      <w:pPr>
        <w:pStyle w:val="ListParagraph"/>
        <w:numPr>
          <w:ilvl w:val="0"/>
          <w:numId w:val="3"/>
        </w:numPr>
        <w:spacing w:before="60" w:after="60" w:line="320"/>
      </w:pPr>
      <w:r>
        <w:rPr>
          <w:rFonts w:ascii="Arial" w:cs="Arial" w:eastAsia="Arial" w:hAnsi="Arial"/>
          <w:sz w:val="24"/>
          <w:szCs w:val="24"/>
        </w:rPr>
        <w:t xml:space="preserve">To design and implement an intuitive, accessible user interface requiring minimal computer experience, using clear terminology, logical navigation, and helpful validation.</w:t>
      </w:r>
    </w:p>
    <w:p>
      <w:pPr>
        <w:pStyle w:val="ListParagraph"/>
        <w:numPr>
          <w:ilvl w:val="0"/>
          <w:numId w:val="3"/>
        </w:numPr>
        <w:spacing w:before="60" w:after="60" w:line="320"/>
      </w:pPr>
      <w:r>
        <w:rPr>
          <w:rFonts w:ascii="Arial" w:cs="Arial" w:eastAsia="Arial" w:hAnsi="Arial"/>
          <w:sz w:val="24"/>
          <w:szCs w:val="24"/>
        </w:rPr>
        <w:t xml:space="preserve">To implement robust security measures including secure authentication, role-based access controls, encrypted data storage, automated backups, and audit trails.</w:t>
      </w:r>
    </w:p>
    <w:p>
      <w:pPr>
        <w:pStyle w:val="ListParagraph"/>
        <w:numPr>
          <w:ilvl w:val="0"/>
          <w:numId w:val="3"/>
        </w:numPr>
        <w:spacing w:before="60" w:after="60" w:line="320"/>
      </w:pPr>
      <w:r>
        <w:rPr>
          <w:rFonts w:ascii="Arial" w:cs="Arial" w:eastAsia="Arial" w:hAnsi="Arial"/>
          <w:sz w:val="24"/>
          <w:szCs w:val="24"/>
        </w:rPr>
        <w:t xml:space="preserve">To conduct comprehensive testing including unit, integration, user acceptance, performance, and security testing.</w:t>
      </w:r>
    </w:p>
    <w:p>
      <w:pPr>
        <w:pStyle w:val="ListParagraph"/>
        <w:numPr>
          <w:ilvl w:val="0"/>
          <w:numId w:val="3"/>
        </w:numPr>
        <w:spacing w:before="60" w:after="60" w:line="320"/>
      </w:pPr>
      <w:r>
        <w:rPr>
          <w:rFonts w:ascii="Arial" w:cs="Arial" w:eastAsia="Arial" w:hAnsi="Arial"/>
          <w:sz w:val="24"/>
          <w:szCs w:val="24"/>
        </w:rPr>
        <w:t xml:space="preserve">To produce complete system documentation including technical documentation, user manuals, training materials, and implementation guidelines.</w:t>
      </w:r>
    </w:p>
    <w:p>
      <w:pPr>
        <w:pStyle w:val="Heading2"/>
        <w:spacing w:before="280" w:after="160"/>
      </w:pPr>
      <w:r>
        <w:rPr>
          <w:rFonts w:ascii="Arial" w:cs="Arial" w:eastAsia="Arial" w:hAnsi="Arial"/>
          <w:b/>
          <w:bCs/>
          <w:color w:val="2E75B6"/>
          <w:sz w:val="28"/>
          <w:szCs w:val="28"/>
        </w:rPr>
        <w:t xml:space="preserve">1.5 Research Questions</w:t>
      </w:r>
    </w:p>
    <w:p>
      <w:pPr>
        <w:pStyle w:val="Heading3"/>
        <w:spacing w:before="200" w:after="120"/>
      </w:pPr>
      <w:r>
        <w:rPr>
          <w:rFonts w:ascii="Arial" w:cs="Arial" w:eastAsia="Arial" w:hAnsi="Arial"/>
          <w:b/>
          <w:bCs/>
          <w:color w:val="2E75B6"/>
          <w:sz w:val="26"/>
          <w:szCs w:val="26"/>
        </w:rPr>
        <w:t xml:space="preserve">1.5.1 Problem Understanding Questions</w:t>
      </w:r>
    </w:p>
    <w:p>
      <w:pPr>
        <w:spacing w:before="100" w:after="100" w:line="360"/>
        <w:jc w:val="both"/>
      </w:pPr>
      <w:r>
        <w:rPr>
          <w:rFonts w:ascii="Arial" w:cs="Arial" w:eastAsia="Arial" w:hAnsi="Arial"/>
          <w:sz w:val="24"/>
          <w:szCs w:val="24"/>
        </w:rPr>
        <w:t xml:space="preserve">RQ1: What are the specific challenges and pain points that community savings groups experience with manual record-keeping systems, and how do these challenges impact group operations and member satisfaction?</w:t>
      </w:r>
    </w:p>
    <w:p>
      <w:pPr>
        <w:spacing w:before="100" w:after="100" w:line="360"/>
        <w:jc w:val="both"/>
      </w:pPr>
      <w:r>
        <w:rPr>
          <w:rFonts w:ascii="Arial" w:cs="Arial" w:eastAsia="Arial" w:hAnsi="Arial"/>
          <w:sz w:val="24"/>
          <w:szCs w:val="24"/>
        </w:rPr>
        <w:t xml:space="preserve">RQ2: What are the most critical functionalities that a digital system must provide to effectively address the identified challenges while remaining appropriate for the target user context?</w:t>
      </w:r>
    </w:p>
    <w:p>
      <w:pPr>
        <w:spacing w:before="100" w:after="100" w:line="360"/>
        <w:jc w:val="both"/>
      </w:pPr>
      <w:r>
        <w:rPr>
          <w:rFonts w:ascii="Arial" w:cs="Arial" w:eastAsia="Arial" w:hAnsi="Arial"/>
          <w:sz w:val="24"/>
          <w:szCs w:val="24"/>
        </w:rPr>
        <w:t xml:space="preserve">RQ3: What factors influence whether community savings groups adopt and successfully implement digital record-keeping systems versus continuing with manual methods?</w:t>
      </w:r>
    </w:p>
    <w:p>
      <w:pPr>
        <w:pStyle w:val="Heading3"/>
        <w:spacing w:before="200" w:after="120"/>
      </w:pPr>
      <w:r>
        <w:rPr>
          <w:rFonts w:ascii="Arial" w:cs="Arial" w:eastAsia="Arial" w:hAnsi="Arial"/>
          <w:b/>
          <w:bCs/>
          <w:color w:val="2E75B6"/>
          <w:sz w:val="26"/>
          <w:szCs w:val="26"/>
        </w:rPr>
        <w:t xml:space="preserve">1.5.2 Design and Development Questions</w:t>
      </w:r>
    </w:p>
    <w:p>
      <w:pPr>
        <w:spacing w:before="100" w:after="100" w:line="360"/>
        <w:jc w:val="both"/>
      </w:pPr>
      <w:r>
        <w:rPr>
          <w:rFonts w:ascii="Arial" w:cs="Arial" w:eastAsia="Arial" w:hAnsi="Arial"/>
          <w:sz w:val="24"/>
          <w:szCs w:val="24"/>
        </w:rPr>
        <w:t xml:space="preserve">RQ4: What design principles and approaches are most effective for creating user interfaces that are accessible to users with varying levels of computer literacy and experience?</w:t>
      </w:r>
    </w:p>
    <w:p>
      <w:pPr>
        <w:spacing w:before="100" w:after="100" w:line="360"/>
        <w:jc w:val="both"/>
      </w:pPr>
      <w:r>
        <w:rPr>
          <w:rFonts w:ascii="Arial" w:cs="Arial" w:eastAsia="Arial" w:hAnsi="Arial"/>
          <w:sz w:val="24"/>
          <w:szCs w:val="24"/>
        </w:rPr>
        <w:t xml:space="preserve">RQ5: How can digital systems be designed to accommodate the diversity of operational practices and policies across different community savings groups while maintaining system coherence and usability?</w:t>
      </w:r>
    </w:p>
    <w:p>
      <w:pPr>
        <w:spacing w:before="100" w:after="100" w:line="360"/>
        <w:jc w:val="both"/>
      </w:pPr>
      <w:r>
        <w:rPr>
          <w:rFonts w:ascii="Arial" w:cs="Arial" w:eastAsia="Arial" w:hAnsi="Arial"/>
          <w:sz w:val="24"/>
          <w:szCs w:val="24"/>
        </w:rPr>
        <w:t xml:space="preserve">RQ6: What database structures and data models most effectively represent community savings group financial transactions, member relationships, and organisational hierarchies?</w:t>
      </w:r>
    </w:p>
    <w:p>
      <w:pPr>
        <w:spacing w:before="100" w:after="100" w:line="360"/>
        <w:jc w:val="both"/>
      </w:pPr>
      <w:r>
        <w:rPr>
          <w:rFonts w:ascii="Arial" w:cs="Arial" w:eastAsia="Arial" w:hAnsi="Arial"/>
          <w:sz w:val="24"/>
          <w:szCs w:val="24"/>
        </w:rPr>
        <w:t xml:space="preserve">RQ7: What security measures are necessary and sufficient to protect financial data while maintaining system usability?</w:t>
      </w:r>
    </w:p>
    <w:p>
      <w:pPr>
        <w:pStyle w:val="Heading3"/>
        <w:spacing w:before="200" w:after="120"/>
      </w:pPr>
      <w:r>
        <w:rPr>
          <w:rFonts w:ascii="Arial" w:cs="Arial" w:eastAsia="Arial" w:hAnsi="Arial"/>
          <w:b/>
          <w:bCs/>
          <w:color w:val="2E75B6"/>
          <w:sz w:val="26"/>
          <w:szCs w:val="26"/>
        </w:rPr>
        <w:t xml:space="preserve">1.5.3 Implementation and Evaluation Questions</w:t>
      </w:r>
    </w:p>
    <w:p>
      <w:pPr>
        <w:spacing w:before="100" w:after="100" w:line="360"/>
        <w:jc w:val="both"/>
      </w:pPr>
      <w:r>
        <w:rPr>
          <w:rFonts w:ascii="Arial" w:cs="Arial" w:eastAsia="Arial" w:hAnsi="Arial"/>
          <w:sz w:val="24"/>
          <w:szCs w:val="24"/>
        </w:rPr>
        <w:t xml:space="preserve">RQ8: What implementation approach (cloud-based, local hosting, or hybrid) is most appropriate for different types of community savings groups given their varying levels of internet connectivity and technical infrastructure?</w:t>
      </w:r>
    </w:p>
    <w:p>
      <w:pPr>
        <w:spacing w:before="100" w:after="100" w:line="360"/>
        <w:jc w:val="both"/>
      </w:pPr>
      <w:r>
        <w:rPr>
          <w:rFonts w:ascii="Arial" w:cs="Arial" w:eastAsia="Arial" w:hAnsi="Arial"/>
          <w:sz w:val="24"/>
          <w:szCs w:val="24"/>
        </w:rPr>
        <w:t xml:space="preserve">RQ9: What training methods and support structures are most effective for enabling group officials to successfully adopt and utilise digital record-keeping systems?</w:t>
      </w:r>
    </w:p>
    <w:p>
      <w:pPr>
        <w:spacing w:before="100" w:after="100" w:line="360"/>
        <w:jc w:val="both"/>
      </w:pPr>
      <w:r>
        <w:rPr>
          <w:rFonts w:ascii="Arial" w:cs="Arial" w:eastAsia="Arial" w:hAnsi="Arial"/>
          <w:sz w:val="24"/>
          <w:szCs w:val="24"/>
        </w:rPr>
        <w:t xml:space="preserve">RQ10: How does the implementation of digital record-keeping systems impact key operational metrics such as record accuracy, time efficiency, member satisfaction, financial disputes, and overall group performance?</w:t>
      </w:r>
    </w:p>
    <w:p>
      <w:pPr>
        <w:pStyle w:val="Heading3"/>
        <w:spacing w:before="200" w:after="120"/>
      </w:pPr>
      <w:r>
        <w:rPr>
          <w:rFonts w:ascii="Arial" w:cs="Arial" w:eastAsia="Arial" w:hAnsi="Arial"/>
          <w:b/>
          <w:bCs/>
          <w:color w:val="2E75B6"/>
          <w:sz w:val="26"/>
          <w:szCs w:val="26"/>
        </w:rPr>
        <w:t xml:space="preserve">1.5.4 Broader Impact Questions</w:t>
      </w:r>
    </w:p>
    <w:p>
      <w:pPr>
        <w:spacing w:before="100" w:after="100" w:line="360"/>
        <w:jc w:val="both"/>
      </w:pPr>
      <w:r>
        <w:rPr>
          <w:rFonts w:ascii="Arial" w:cs="Arial" w:eastAsia="Arial" w:hAnsi="Arial"/>
          <w:sz w:val="24"/>
          <w:szCs w:val="24"/>
        </w:rPr>
        <w:t xml:space="preserve">RQ11: How can digital community savings group management systems contribute to broader financial inclusion objectives and strengthen the role of informal financial institutions in community economic development?</w:t>
      </w:r>
    </w:p>
    <w:p>
      <w:pPr>
        <w:spacing w:before="100" w:after="100" w:line="360"/>
        <w:jc w:val="both"/>
      </w:pPr>
      <w:r>
        <w:rPr>
          <w:rFonts w:ascii="Arial" w:cs="Arial" w:eastAsia="Arial" w:hAnsi="Arial"/>
          <w:sz w:val="24"/>
          <w:szCs w:val="24"/>
        </w:rPr>
        <w:t xml:space="preserve">RQ12: What lessons from this project can inform the development of similar technology solutions for other community-based organisations?</w:t>
      </w:r>
    </w:p>
    <w:p>
      <w:pPr>
        <w:pStyle w:val="Heading2"/>
        <w:spacing w:before="280" w:after="160"/>
      </w:pPr>
      <w:r>
        <w:rPr>
          <w:rFonts w:ascii="Arial" w:cs="Arial" w:eastAsia="Arial" w:hAnsi="Arial"/>
          <w:b/>
          <w:bCs/>
          <w:color w:val="2E75B6"/>
          <w:sz w:val="28"/>
          <w:szCs w:val="28"/>
        </w:rPr>
        <w:t xml:space="preserve">1.6 Justification</w:t>
      </w:r>
    </w:p>
    <w:p>
      <w:pPr>
        <w:pStyle w:val="Heading3"/>
        <w:spacing w:before="200" w:after="120"/>
      </w:pPr>
      <w:r>
        <w:rPr>
          <w:rFonts w:ascii="Arial" w:cs="Arial" w:eastAsia="Arial" w:hAnsi="Arial"/>
          <w:b/>
          <w:bCs/>
          <w:color w:val="2E75B6"/>
          <w:sz w:val="26"/>
          <w:szCs w:val="26"/>
        </w:rPr>
        <w:t xml:space="preserve">1.6.1 Economic Importance of Community Savings Groups</w:t>
      </w:r>
    </w:p>
    <w:p>
      <w:pPr>
        <w:spacing w:before="100" w:after="100" w:line="360"/>
        <w:jc w:val="both"/>
      </w:pPr>
      <w:r>
        <w:rPr>
          <w:rFonts w:ascii="Arial" w:cs="Arial" w:eastAsia="Arial" w:hAnsi="Arial"/>
          <w:sz w:val="24"/>
          <w:szCs w:val="24"/>
        </w:rPr>
        <w:t xml:space="preserve">Community savings groups represent a significant driver of financial activity and capital accumulation at the household and community levels in Kenya. With 40–45% of adults participating in at least one CSG, and with these groups collectively managing billions of shillings annually, they constitute a major component of Kenya's financial ecosystem. For many households, particularly in rural areas and informal urban settlements, CSGs provide the only accessible source of credit and the primary vehicle for systematic savings.</w:t>
      </w:r>
    </w:p>
    <w:p>
      <w:pPr>
        <w:pStyle w:val="Heading3"/>
        <w:spacing w:before="200" w:after="120"/>
      </w:pPr>
      <w:r>
        <w:rPr>
          <w:rFonts w:ascii="Arial" w:cs="Arial" w:eastAsia="Arial" w:hAnsi="Arial"/>
          <w:b/>
          <w:bCs/>
          <w:color w:val="2E75B6"/>
          <w:sz w:val="26"/>
          <w:szCs w:val="26"/>
        </w:rPr>
        <w:t xml:space="preserve">1.6.2 Addressing Critical Operational Challenges</w:t>
      </w:r>
    </w:p>
    <w:p>
      <w:pPr>
        <w:spacing w:before="100" w:after="100" w:line="360"/>
        <w:jc w:val="both"/>
      </w:pPr>
      <w:r>
        <w:rPr>
          <w:rFonts w:ascii="Arial" w:cs="Arial" w:eastAsia="Arial" w:hAnsi="Arial"/>
          <w:sz w:val="24"/>
          <w:szCs w:val="24"/>
        </w:rPr>
        <w:t xml:space="preserve">As documented in the problem statement, manual record-keeping creates serious operational challenges that undermine community savings group effectiveness. Poor record management leads to financial losses through untracked loans and unrecorded contributions, causes conflicts that damage group cohesion, erodes member trust, discourages capable individuals from assuming treasurer responsibilities, limits group growth, and prevents partnerships with formal financial institutions.</w:t>
      </w:r>
    </w:p>
    <w:p>
      <w:pPr>
        <w:pStyle w:val="Heading3"/>
        <w:spacing w:before="200" w:after="120"/>
      </w:pPr>
      <w:r>
        <w:rPr>
          <w:rFonts w:ascii="Arial" w:cs="Arial" w:eastAsia="Arial" w:hAnsi="Arial"/>
          <w:b/>
          <w:bCs/>
          <w:color w:val="2E75B6"/>
          <w:sz w:val="26"/>
          <w:szCs w:val="26"/>
        </w:rPr>
        <w:t xml:space="preserve">1.6.3 Benefits of Digital Transformation</w:t>
      </w:r>
    </w:p>
    <w:p>
      <w:pPr>
        <w:spacing w:before="100" w:after="100" w:line="360"/>
        <w:jc w:val="both"/>
      </w:pPr>
      <w:r>
        <w:rPr>
          <w:rFonts w:ascii="Arial" w:cs="Arial" w:eastAsia="Arial" w:hAnsi="Arial"/>
          <w:sz w:val="24"/>
          <w:szCs w:val="24"/>
        </w:rPr>
        <w:t xml:space="preserve">Digital systems perform calculations with perfect accuracy, eliminating arithmetic errors. Data preservation is enhanced through backup mechanisms. When authorised members can independently access and verify financial information, transparency increases dramatically. Automation of routine calculations and instant report generation save treasurers significant time. Immutable audit trails make fraud more difficult to commit and easier to detect. Ready access to accurate financial information enables better decision-making.</w:t>
      </w:r>
    </w:p>
    <w:p>
      <w:pPr>
        <w:pStyle w:val="Heading3"/>
        <w:spacing w:before="200" w:after="120"/>
      </w:pPr>
      <w:r>
        <w:rPr>
          <w:rFonts w:ascii="Arial" w:cs="Arial" w:eastAsia="Arial" w:hAnsi="Arial"/>
          <w:b/>
          <w:bCs/>
          <w:color w:val="2E75B6"/>
          <w:sz w:val="26"/>
          <w:szCs w:val="26"/>
        </w:rPr>
        <w:t xml:space="preserve">1.6.4 Technological Context and Readiness</w:t>
      </w:r>
    </w:p>
    <w:p>
      <w:pPr>
        <w:spacing w:before="100" w:after="100" w:line="360"/>
        <w:jc w:val="both"/>
      </w:pPr>
      <w:r>
        <w:rPr>
          <w:rFonts w:ascii="Arial" w:cs="Arial" w:eastAsia="Arial" w:hAnsi="Arial"/>
          <w:sz w:val="24"/>
          <w:szCs w:val="24"/>
        </w:rPr>
        <w:t xml:space="preserve">Kenya's position as a regional leader in digital financial services—with high mobile phone penetration, widespread mobile money adoption, improving internet connectivity, and demonstrated willingness to embrace financial technology—creates favourable conditions for this project. The success of M-Pesa demonstrates that Kenyans will adopt technology that provides clear value and meets genuine needs.</w:t>
      </w:r>
    </w:p>
    <w:p>
      <w:pPr>
        <w:pStyle w:val="Heading3"/>
        <w:spacing w:before="200" w:after="120"/>
      </w:pPr>
      <w:r>
        <w:rPr>
          <w:rFonts w:ascii="Arial" w:cs="Arial" w:eastAsia="Arial" w:hAnsi="Arial"/>
          <w:b/>
          <w:bCs/>
          <w:color w:val="2E75B6"/>
          <w:sz w:val="26"/>
          <w:szCs w:val="26"/>
        </w:rPr>
        <w:t xml:space="preserve">1.6.5 Social Impact and Inclusion</w:t>
      </w:r>
    </w:p>
    <w:p>
      <w:pPr>
        <w:spacing w:before="100" w:after="100" w:line="360"/>
        <w:jc w:val="both"/>
      </w:pPr>
      <w:r>
        <w:rPr>
          <w:rFonts w:ascii="Arial" w:cs="Arial" w:eastAsia="Arial" w:hAnsi="Arial"/>
          <w:sz w:val="24"/>
          <w:szCs w:val="24"/>
        </w:rPr>
        <w:t xml:space="preserve">Beyond purely economic considerations, this project contributes to promoting digital literacy among community members, empowering women who comprise the majority of CSG membership, demonstrating practical applications of technology for social good, strengthening community institutions, and bridging the digital divide.</w:t>
      </w:r>
    </w:p>
    <w:p>
      <w:pPr>
        <w:pStyle w:val="Heading2"/>
        <w:spacing w:before="280" w:after="160"/>
      </w:pPr>
      <w:r>
        <w:rPr>
          <w:rFonts w:ascii="Arial" w:cs="Arial" w:eastAsia="Arial" w:hAnsi="Arial"/>
          <w:b/>
          <w:bCs/>
          <w:color w:val="2E75B6"/>
          <w:sz w:val="28"/>
          <w:szCs w:val="28"/>
        </w:rPr>
        <w:t xml:space="preserve">1.7 Scope of the Project</w:t>
      </w:r>
    </w:p>
    <w:p>
      <w:pPr>
        <w:pStyle w:val="Heading3"/>
        <w:spacing w:before="200" w:after="120"/>
      </w:pPr>
      <w:r>
        <w:rPr>
          <w:rFonts w:ascii="Arial" w:cs="Arial" w:eastAsia="Arial" w:hAnsi="Arial"/>
          <w:b/>
          <w:bCs/>
          <w:color w:val="2E75B6"/>
          <w:sz w:val="26"/>
          <w:szCs w:val="26"/>
        </w:rPr>
        <w:t xml:space="preserve">1.7.1 Included Functionality</w:t>
      </w:r>
    </w:p>
    <w:p>
      <w:pPr>
        <w:spacing w:before="100" w:after="100" w:line="360"/>
        <w:jc w:val="both"/>
      </w:pPr>
      <w:r>
        <w:rPr>
          <w:rFonts w:ascii="Arial" w:cs="Arial" w:eastAsia="Arial" w:hAnsi="Arial"/>
          <w:sz w:val="24"/>
          <w:szCs w:val="24"/>
        </w:rPr>
        <w:t xml:space="preserve">This project encompasses the development of a comprehensive web-based digital record-keeping system with the following core functionalities:</w:t>
      </w:r>
    </w:p>
    <w:p>
      <w:pPr>
        <w:spacing w:before="100" w:after="100" w:line="360"/>
        <w:jc w:val="both"/>
      </w:pPr>
      <w:r>
        <w:rPr>
          <w:rFonts w:ascii="Arial" w:cs="Arial" w:eastAsia="Arial" w:hAnsi="Arial"/>
          <w:b/>
          <w:bCs/>
          <w:sz w:val="24"/>
          <w:szCs w:val="24"/>
        </w:rPr>
        <w:t xml:space="preserve">Member Management</w:t>
      </w:r>
    </w:p>
    <w:p>
      <w:pPr>
        <w:pStyle w:val="ListParagraph"/>
        <w:numPr>
          <w:ilvl w:val="0"/>
          <w:numId w:val="2"/>
        </w:numPr>
        <w:spacing w:before="60" w:after="60" w:line="320"/>
      </w:pPr>
      <w:r>
        <w:rPr>
          <w:rFonts w:ascii="Arial" w:cs="Arial" w:eastAsia="Arial" w:hAnsi="Arial"/>
          <w:sz w:val="24"/>
          <w:szCs w:val="24"/>
        </w:rPr>
        <w:t xml:space="preserve">Complete member registration with personal details</w:t>
      </w:r>
    </w:p>
    <w:p>
      <w:pPr>
        <w:pStyle w:val="ListParagraph"/>
        <w:numPr>
          <w:ilvl w:val="0"/>
          <w:numId w:val="2"/>
        </w:numPr>
        <w:spacing w:before="60" w:after="60" w:line="320"/>
      </w:pPr>
      <w:r>
        <w:rPr>
          <w:rFonts w:ascii="Arial" w:cs="Arial" w:eastAsia="Arial" w:hAnsi="Arial"/>
          <w:sz w:val="24"/>
          <w:szCs w:val="24"/>
        </w:rPr>
        <w:t xml:space="preserve">Member profile creation and editing</w:t>
      </w:r>
    </w:p>
    <w:p>
      <w:pPr>
        <w:pStyle w:val="ListParagraph"/>
        <w:numPr>
          <w:ilvl w:val="0"/>
          <w:numId w:val="2"/>
        </w:numPr>
        <w:spacing w:before="60" w:after="60" w:line="320"/>
      </w:pPr>
      <w:r>
        <w:rPr>
          <w:rFonts w:ascii="Arial" w:cs="Arial" w:eastAsia="Arial" w:hAnsi="Arial"/>
          <w:sz w:val="24"/>
          <w:szCs w:val="24"/>
        </w:rPr>
        <w:t xml:space="preserve">Member status management (active, inactive, suspended)</w:t>
      </w:r>
    </w:p>
    <w:p>
      <w:pPr>
        <w:pStyle w:val="ListParagraph"/>
        <w:numPr>
          <w:ilvl w:val="0"/>
          <w:numId w:val="2"/>
        </w:numPr>
        <w:spacing w:before="60" w:after="60" w:line="320"/>
      </w:pPr>
      <w:r>
        <w:rPr>
          <w:rFonts w:ascii="Arial" w:cs="Arial" w:eastAsia="Arial" w:hAnsi="Arial"/>
          <w:sz w:val="24"/>
          <w:szCs w:val="24"/>
        </w:rPr>
        <w:t xml:space="preserve">Member directory and search capabilities</w:t>
      </w:r>
    </w:p>
    <w:p>
      <w:pPr>
        <w:pStyle w:val="ListParagraph"/>
        <w:numPr>
          <w:ilvl w:val="0"/>
          <w:numId w:val="2"/>
        </w:numPr>
        <w:spacing w:before="60" w:after="60" w:line="320"/>
      </w:pPr>
      <w:r>
        <w:rPr>
          <w:rFonts w:ascii="Arial" w:cs="Arial" w:eastAsia="Arial" w:hAnsi="Arial"/>
          <w:sz w:val="24"/>
          <w:szCs w:val="24"/>
        </w:rPr>
        <w:t xml:space="preserve">Membership history tracking</w:t>
      </w:r>
    </w:p>
    <w:p>
      <w:pPr>
        <w:spacing w:before="60" w:after="60"/>
      </w:pPr>
      <w:r>
        <w:t xml:space="preserve"/>
      </w:r>
    </w:p>
    <w:p>
      <w:pPr>
        <w:spacing w:before="100" w:after="100" w:line="360"/>
        <w:jc w:val="both"/>
      </w:pPr>
      <w:r>
        <w:rPr>
          <w:rFonts w:ascii="Arial" w:cs="Arial" w:eastAsia="Arial" w:hAnsi="Arial"/>
          <w:b/>
          <w:bCs/>
          <w:sz w:val="24"/>
          <w:szCs w:val="24"/>
        </w:rPr>
        <w:t xml:space="preserve">Contribution Management</w:t>
      </w:r>
    </w:p>
    <w:p>
      <w:pPr>
        <w:pStyle w:val="ListParagraph"/>
        <w:numPr>
          <w:ilvl w:val="0"/>
          <w:numId w:val="2"/>
        </w:numPr>
        <w:spacing w:before="60" w:after="60" w:line="320"/>
      </w:pPr>
      <w:r>
        <w:rPr>
          <w:rFonts w:ascii="Arial" w:cs="Arial" w:eastAsia="Arial" w:hAnsi="Arial"/>
          <w:sz w:val="24"/>
          <w:szCs w:val="24"/>
        </w:rPr>
        <w:t xml:space="preserve">Recording of regular and ad-hoc contributions</w:t>
      </w:r>
    </w:p>
    <w:p>
      <w:pPr>
        <w:pStyle w:val="ListParagraph"/>
        <w:numPr>
          <w:ilvl w:val="0"/>
          <w:numId w:val="2"/>
        </w:numPr>
        <w:spacing w:before="60" w:after="60" w:line="320"/>
      </w:pPr>
      <w:r>
        <w:rPr>
          <w:rFonts w:ascii="Arial" w:cs="Arial" w:eastAsia="Arial" w:hAnsi="Arial"/>
          <w:sz w:val="24"/>
          <w:szCs w:val="24"/>
        </w:rPr>
        <w:t xml:space="preserve">Automatic calculation of cumulative savings</w:t>
      </w:r>
    </w:p>
    <w:p>
      <w:pPr>
        <w:pStyle w:val="ListParagraph"/>
        <w:numPr>
          <w:ilvl w:val="0"/>
          <w:numId w:val="2"/>
        </w:numPr>
        <w:spacing w:before="60" w:after="60" w:line="320"/>
      </w:pPr>
      <w:r>
        <w:rPr>
          <w:rFonts w:ascii="Arial" w:cs="Arial" w:eastAsia="Arial" w:hAnsi="Arial"/>
          <w:sz w:val="24"/>
          <w:szCs w:val="24"/>
        </w:rPr>
        <w:t xml:space="preserve">Tracking of missed contributions and arrears</w:t>
      </w:r>
    </w:p>
    <w:p>
      <w:pPr>
        <w:pStyle w:val="ListParagraph"/>
        <w:numPr>
          <w:ilvl w:val="0"/>
          <w:numId w:val="2"/>
        </w:numPr>
        <w:spacing w:before="60" w:after="60" w:line="320"/>
      </w:pPr>
      <w:r>
        <w:rPr>
          <w:rFonts w:ascii="Arial" w:cs="Arial" w:eastAsia="Arial" w:hAnsi="Arial"/>
          <w:sz w:val="24"/>
          <w:szCs w:val="24"/>
        </w:rPr>
        <w:t xml:space="preserve">Contribution receipt generation</w:t>
      </w:r>
    </w:p>
    <w:p>
      <w:pPr>
        <w:pStyle w:val="ListParagraph"/>
        <w:numPr>
          <w:ilvl w:val="0"/>
          <w:numId w:val="2"/>
        </w:numPr>
        <w:spacing w:before="60" w:after="60" w:line="320"/>
      </w:pPr>
      <w:r>
        <w:rPr>
          <w:rFonts w:ascii="Arial" w:cs="Arial" w:eastAsia="Arial" w:hAnsi="Arial"/>
          <w:sz w:val="24"/>
          <w:szCs w:val="24"/>
        </w:rPr>
        <w:t xml:space="preserve">Contribution history reports by member and period</w:t>
      </w:r>
    </w:p>
    <w:p>
      <w:pPr>
        <w:spacing w:before="60" w:after="60"/>
      </w:pPr>
      <w:r>
        <w:t xml:space="preserve"/>
      </w:r>
    </w:p>
    <w:p>
      <w:pPr>
        <w:spacing w:before="100" w:after="100" w:line="360"/>
        <w:jc w:val="both"/>
      </w:pPr>
      <w:r>
        <w:rPr>
          <w:rFonts w:ascii="Arial" w:cs="Arial" w:eastAsia="Arial" w:hAnsi="Arial"/>
          <w:b/>
          <w:bCs/>
          <w:sz w:val="24"/>
          <w:szCs w:val="24"/>
        </w:rPr>
        <w:t xml:space="preserve">Loan Management</w:t>
      </w:r>
    </w:p>
    <w:p>
      <w:pPr>
        <w:pStyle w:val="ListParagraph"/>
        <w:numPr>
          <w:ilvl w:val="0"/>
          <w:numId w:val="2"/>
        </w:numPr>
        <w:spacing w:before="60" w:after="60" w:line="320"/>
      </w:pPr>
      <w:r>
        <w:rPr>
          <w:rFonts w:ascii="Arial" w:cs="Arial" w:eastAsia="Arial" w:hAnsi="Arial"/>
          <w:sz w:val="24"/>
          <w:szCs w:val="24"/>
        </w:rPr>
        <w:t xml:space="preserve">Loan application submission and processing</w:t>
      </w:r>
    </w:p>
    <w:p>
      <w:pPr>
        <w:pStyle w:val="ListParagraph"/>
        <w:numPr>
          <w:ilvl w:val="0"/>
          <w:numId w:val="2"/>
        </w:numPr>
        <w:spacing w:before="60" w:after="60" w:line="320"/>
      </w:pPr>
      <w:r>
        <w:rPr>
          <w:rFonts w:ascii="Arial" w:cs="Arial" w:eastAsia="Arial" w:hAnsi="Arial"/>
          <w:sz w:val="24"/>
          <w:szCs w:val="24"/>
        </w:rPr>
        <w:t xml:space="preserve">Approval and rejection workflow implementation</w:t>
      </w:r>
    </w:p>
    <w:p>
      <w:pPr>
        <w:pStyle w:val="ListParagraph"/>
        <w:numPr>
          <w:ilvl w:val="0"/>
          <w:numId w:val="2"/>
        </w:numPr>
        <w:spacing w:before="60" w:after="60" w:line="320"/>
      </w:pPr>
      <w:r>
        <w:rPr>
          <w:rFonts w:ascii="Arial" w:cs="Arial" w:eastAsia="Arial" w:hAnsi="Arial"/>
          <w:sz w:val="24"/>
          <w:szCs w:val="24"/>
        </w:rPr>
        <w:t xml:space="preserve">Loan disbursement recording</w:t>
      </w:r>
    </w:p>
    <w:p>
      <w:pPr>
        <w:pStyle w:val="ListParagraph"/>
        <w:numPr>
          <w:ilvl w:val="0"/>
          <w:numId w:val="2"/>
        </w:numPr>
        <w:spacing w:before="60" w:after="60" w:line="320"/>
      </w:pPr>
      <w:r>
        <w:rPr>
          <w:rFonts w:ascii="Arial" w:cs="Arial" w:eastAsia="Arial" w:hAnsi="Arial"/>
          <w:sz w:val="24"/>
          <w:szCs w:val="24"/>
        </w:rPr>
        <w:t xml:space="preserve">Automatic interest calculation</w:t>
      </w:r>
    </w:p>
    <w:p>
      <w:pPr>
        <w:pStyle w:val="ListParagraph"/>
        <w:numPr>
          <w:ilvl w:val="0"/>
          <w:numId w:val="2"/>
        </w:numPr>
        <w:spacing w:before="60" w:after="60" w:line="320"/>
      </w:pPr>
      <w:r>
        <w:rPr>
          <w:rFonts w:ascii="Arial" w:cs="Arial" w:eastAsia="Arial" w:hAnsi="Arial"/>
          <w:sz w:val="24"/>
          <w:szCs w:val="24"/>
        </w:rPr>
        <w:t xml:space="preserve">Repayment tracking and recording</w:t>
      </w:r>
    </w:p>
    <w:p>
      <w:pPr>
        <w:pStyle w:val="ListParagraph"/>
        <w:numPr>
          <w:ilvl w:val="0"/>
          <w:numId w:val="2"/>
        </w:numPr>
        <w:spacing w:before="60" w:after="60" w:line="320"/>
      </w:pPr>
      <w:r>
        <w:rPr>
          <w:rFonts w:ascii="Arial" w:cs="Arial" w:eastAsia="Arial" w:hAnsi="Arial"/>
          <w:sz w:val="24"/>
          <w:szCs w:val="24"/>
        </w:rPr>
        <w:t xml:space="preserve">Outstanding balance maintenance</w:t>
      </w:r>
    </w:p>
    <w:p>
      <w:pPr>
        <w:pStyle w:val="ListParagraph"/>
        <w:numPr>
          <w:ilvl w:val="0"/>
          <w:numId w:val="2"/>
        </w:numPr>
        <w:spacing w:before="60" w:after="60" w:line="320"/>
      </w:pPr>
      <w:r>
        <w:rPr>
          <w:rFonts w:ascii="Arial" w:cs="Arial" w:eastAsia="Arial" w:hAnsi="Arial"/>
          <w:sz w:val="24"/>
          <w:szCs w:val="24"/>
        </w:rPr>
        <w:t xml:space="preserve">Defaulter identification and loan portfolio reports</w:t>
      </w:r>
    </w:p>
    <w:p>
      <w:pPr>
        <w:spacing w:before="60" w:after="60"/>
      </w:pPr>
      <w:r>
        <w:t xml:space="preserve"/>
      </w:r>
    </w:p>
    <w:p>
      <w:pPr>
        <w:spacing w:before="100" w:after="100" w:line="360"/>
        <w:jc w:val="both"/>
      </w:pPr>
      <w:r>
        <w:rPr>
          <w:rFonts w:ascii="Arial" w:cs="Arial" w:eastAsia="Arial" w:hAnsi="Arial"/>
          <w:b/>
          <w:bCs/>
          <w:sz w:val="24"/>
          <w:szCs w:val="24"/>
        </w:rPr>
        <w:t xml:space="preserve">Financial Reporting</w:t>
      </w:r>
    </w:p>
    <w:p>
      <w:pPr>
        <w:pStyle w:val="ListParagraph"/>
        <w:numPr>
          <w:ilvl w:val="0"/>
          <w:numId w:val="2"/>
        </w:numPr>
        <w:spacing w:before="60" w:after="60" w:line="320"/>
      </w:pPr>
      <w:r>
        <w:rPr>
          <w:rFonts w:ascii="Arial" w:cs="Arial" w:eastAsia="Arial" w:hAnsi="Arial"/>
          <w:sz w:val="24"/>
          <w:szCs w:val="24"/>
        </w:rPr>
        <w:t xml:space="preserve">Individual member statements</w:t>
      </w:r>
    </w:p>
    <w:p>
      <w:pPr>
        <w:pStyle w:val="ListParagraph"/>
        <w:numPr>
          <w:ilvl w:val="0"/>
          <w:numId w:val="2"/>
        </w:numPr>
        <w:spacing w:before="60" w:after="60" w:line="320"/>
      </w:pPr>
      <w:r>
        <w:rPr>
          <w:rFonts w:ascii="Arial" w:cs="Arial" w:eastAsia="Arial" w:hAnsi="Arial"/>
          <w:sz w:val="24"/>
          <w:szCs w:val="24"/>
        </w:rPr>
        <w:t xml:space="preserve">Group financial summaries</w:t>
      </w:r>
    </w:p>
    <w:p>
      <w:pPr>
        <w:pStyle w:val="ListParagraph"/>
        <w:numPr>
          <w:ilvl w:val="0"/>
          <w:numId w:val="2"/>
        </w:numPr>
        <w:spacing w:before="60" w:after="60" w:line="320"/>
      </w:pPr>
      <w:r>
        <w:rPr>
          <w:rFonts w:ascii="Arial" w:cs="Arial" w:eastAsia="Arial" w:hAnsi="Arial"/>
          <w:sz w:val="24"/>
          <w:szCs w:val="24"/>
        </w:rPr>
        <w:t xml:space="preserve">Period-based reports (daily, weekly, monthly, quarterly, annual)</w:t>
      </w:r>
    </w:p>
    <w:p>
      <w:pPr>
        <w:pStyle w:val="ListParagraph"/>
        <w:numPr>
          <w:ilvl w:val="0"/>
          <w:numId w:val="2"/>
        </w:numPr>
        <w:spacing w:before="60" w:after="60" w:line="320"/>
      </w:pPr>
      <w:r>
        <w:rPr>
          <w:rFonts w:ascii="Arial" w:cs="Arial" w:eastAsia="Arial" w:hAnsi="Arial"/>
          <w:sz w:val="24"/>
          <w:szCs w:val="24"/>
        </w:rPr>
        <w:t xml:space="preserve">Contribution and loan portfolio reports</w:t>
      </w:r>
    </w:p>
    <w:p>
      <w:pPr>
        <w:pStyle w:val="ListParagraph"/>
        <w:numPr>
          <w:ilvl w:val="0"/>
          <w:numId w:val="2"/>
        </w:numPr>
        <w:spacing w:before="60" w:after="60" w:line="320"/>
      </w:pPr>
      <w:r>
        <w:rPr>
          <w:rFonts w:ascii="Arial" w:cs="Arial" w:eastAsia="Arial" w:hAnsi="Arial"/>
          <w:sz w:val="24"/>
          <w:szCs w:val="24"/>
        </w:rPr>
        <w:t xml:space="preserve">Trend analysis and visualisation</w:t>
      </w:r>
    </w:p>
    <w:p>
      <w:pPr>
        <w:spacing w:before="60" w:after="60"/>
      </w:pPr>
      <w:r>
        <w:t xml:space="preserve"/>
      </w:r>
    </w:p>
    <w:p>
      <w:pPr>
        <w:spacing w:before="100" w:after="100" w:line="360"/>
        <w:jc w:val="both"/>
      </w:pPr>
      <w:r>
        <w:rPr>
          <w:rFonts w:ascii="Arial" w:cs="Arial" w:eastAsia="Arial" w:hAnsi="Arial"/>
          <w:b/>
          <w:bCs/>
          <w:sz w:val="24"/>
          <w:szCs w:val="24"/>
        </w:rPr>
        <w:t xml:space="preserve">Meeting Management</w:t>
      </w:r>
    </w:p>
    <w:p>
      <w:pPr>
        <w:pStyle w:val="ListParagraph"/>
        <w:numPr>
          <w:ilvl w:val="0"/>
          <w:numId w:val="2"/>
        </w:numPr>
        <w:spacing w:before="60" w:after="60" w:line="320"/>
      </w:pPr>
      <w:r>
        <w:rPr>
          <w:rFonts w:ascii="Arial" w:cs="Arial" w:eastAsia="Arial" w:hAnsi="Arial"/>
          <w:sz w:val="24"/>
          <w:szCs w:val="24"/>
        </w:rPr>
        <w:t xml:space="preserve">Meeting scheduling and attendance tracking</w:t>
      </w:r>
    </w:p>
    <w:p>
      <w:pPr>
        <w:pStyle w:val="ListParagraph"/>
        <w:numPr>
          <w:ilvl w:val="0"/>
          <w:numId w:val="2"/>
        </w:numPr>
        <w:spacing w:before="60" w:after="60" w:line="320"/>
      </w:pPr>
      <w:r>
        <w:rPr>
          <w:rFonts w:ascii="Arial" w:cs="Arial" w:eastAsia="Arial" w:hAnsi="Arial"/>
          <w:sz w:val="24"/>
          <w:szCs w:val="24"/>
        </w:rPr>
        <w:t xml:space="preserve">Minutes recording and decision documentation</w:t>
      </w:r>
    </w:p>
    <w:p>
      <w:pPr>
        <w:pStyle w:val="ListParagraph"/>
        <w:numPr>
          <w:ilvl w:val="0"/>
          <w:numId w:val="2"/>
        </w:numPr>
        <w:spacing w:before="60" w:after="60" w:line="320"/>
      </w:pPr>
      <w:r>
        <w:rPr>
          <w:rFonts w:ascii="Arial" w:cs="Arial" w:eastAsia="Arial" w:hAnsi="Arial"/>
          <w:sz w:val="24"/>
          <w:szCs w:val="24"/>
        </w:rPr>
        <w:t xml:space="preserve">Meeting history archive</w:t>
      </w:r>
    </w:p>
    <w:p>
      <w:pPr>
        <w:spacing w:before="60" w:after="60"/>
      </w:pPr>
      <w:r>
        <w:t xml:space="preserve"/>
      </w:r>
    </w:p>
    <w:p>
      <w:pPr>
        <w:spacing w:before="100" w:after="100" w:line="360"/>
        <w:jc w:val="both"/>
      </w:pPr>
      <w:r>
        <w:rPr>
          <w:rFonts w:ascii="Arial" w:cs="Arial" w:eastAsia="Arial" w:hAnsi="Arial"/>
          <w:b/>
          <w:bCs/>
          <w:sz w:val="24"/>
          <w:szCs w:val="24"/>
        </w:rPr>
        <w:t xml:space="preserve">Administrative Functions</w:t>
      </w:r>
    </w:p>
    <w:p>
      <w:pPr>
        <w:pStyle w:val="ListParagraph"/>
        <w:numPr>
          <w:ilvl w:val="0"/>
          <w:numId w:val="2"/>
        </w:numPr>
        <w:spacing w:before="60" w:after="60" w:line="320"/>
      </w:pPr>
      <w:r>
        <w:rPr>
          <w:rFonts w:ascii="Arial" w:cs="Arial" w:eastAsia="Arial" w:hAnsi="Arial"/>
          <w:sz w:val="24"/>
          <w:szCs w:val="24"/>
        </w:rPr>
        <w:t xml:space="preserve">User authentication and authorisation</w:t>
      </w:r>
    </w:p>
    <w:p>
      <w:pPr>
        <w:pStyle w:val="ListParagraph"/>
        <w:numPr>
          <w:ilvl w:val="0"/>
          <w:numId w:val="2"/>
        </w:numPr>
        <w:spacing w:before="60" w:after="60" w:line="320"/>
      </w:pPr>
      <w:r>
        <w:rPr>
          <w:rFonts w:ascii="Arial" w:cs="Arial" w:eastAsia="Arial" w:hAnsi="Arial"/>
          <w:sz w:val="24"/>
          <w:szCs w:val="24"/>
        </w:rPr>
        <w:t xml:space="preserve">Role-based access control</w:t>
      </w:r>
    </w:p>
    <w:p>
      <w:pPr>
        <w:pStyle w:val="ListParagraph"/>
        <w:numPr>
          <w:ilvl w:val="0"/>
          <w:numId w:val="2"/>
        </w:numPr>
        <w:spacing w:before="60" w:after="60" w:line="320"/>
      </w:pPr>
      <w:r>
        <w:rPr>
          <w:rFonts w:ascii="Arial" w:cs="Arial" w:eastAsia="Arial" w:hAnsi="Arial"/>
          <w:sz w:val="24"/>
          <w:szCs w:val="24"/>
        </w:rPr>
        <w:t xml:space="preserve">System configuration and data backup</w:t>
      </w:r>
    </w:p>
    <w:p>
      <w:pPr>
        <w:pStyle w:val="ListParagraph"/>
        <w:numPr>
          <w:ilvl w:val="0"/>
          <w:numId w:val="2"/>
        </w:numPr>
        <w:spacing w:before="60" w:after="60" w:line="320"/>
      </w:pPr>
      <w:r>
        <w:rPr>
          <w:rFonts w:ascii="Arial" w:cs="Arial" w:eastAsia="Arial" w:hAnsi="Arial"/>
          <w:sz w:val="24"/>
          <w:szCs w:val="24"/>
        </w:rPr>
        <w:t xml:space="preserve">Audit trail viewing and system activity monitoring</w:t>
      </w:r>
    </w:p>
    <w:p>
      <w:pPr>
        <w:pStyle w:val="Heading3"/>
        <w:spacing w:before="200" w:after="120"/>
      </w:pPr>
      <w:r>
        <w:rPr>
          <w:rFonts w:ascii="Arial" w:cs="Arial" w:eastAsia="Arial" w:hAnsi="Arial"/>
          <w:b/>
          <w:bCs/>
          <w:color w:val="2E75B6"/>
          <w:sz w:val="26"/>
          <w:szCs w:val="26"/>
        </w:rPr>
        <w:t xml:space="preserve">1.7.2 Target Users</w:t>
      </w:r>
    </w:p>
    <w:p>
      <w:pPr>
        <w:spacing w:before="100" w:after="100" w:line="360"/>
        <w:jc w:val="both"/>
      </w:pPr>
      <w:r>
        <w:rPr>
          <w:rFonts w:ascii="Arial" w:cs="Arial" w:eastAsia="Arial" w:hAnsi="Arial"/>
          <w:sz w:val="24"/>
          <w:szCs w:val="24"/>
        </w:rPr>
        <w:t xml:space="preserve">The system is designed for use by community savings group officials in the following roles: Chairperson (overall oversight, strategic decisions, high-level reporting, approval functions); Treasurer (financial transaction recording, report generation, reconciliation, day-to-day monetary management); Secretary (meeting documentation, member communication coordination, administrative support); and Committee Members (review and approval functions, specialised responsibilities as assigned).</w:t>
      </w:r>
    </w:p>
    <w:p>
      <w:pPr>
        <w:pStyle w:val="Heading3"/>
        <w:spacing w:before="200" w:after="120"/>
      </w:pPr>
      <w:r>
        <w:rPr>
          <w:rFonts w:ascii="Arial" w:cs="Arial" w:eastAsia="Arial" w:hAnsi="Arial"/>
          <w:b/>
          <w:bCs/>
          <w:color w:val="2E75B6"/>
          <w:sz w:val="26"/>
          <w:szCs w:val="26"/>
        </w:rPr>
        <w:t xml:space="preserve">1.7.3 Technical Scope</w:t>
      </w:r>
    </w:p>
    <w:p>
      <w:pPr>
        <w:spacing w:before="100" w:after="100" w:line="360"/>
        <w:jc w:val="both"/>
      </w:pPr>
      <w:r>
        <w:rPr>
          <w:rFonts w:ascii="Arial" w:cs="Arial" w:eastAsia="Arial" w:hAnsi="Arial"/>
          <w:sz w:val="24"/>
          <w:szCs w:val="24"/>
        </w:rPr>
        <w:t xml:space="preserve">Platform: Web-based application accessible through standard browsers. Framework: Laravel 10 (PHP 8.2) with Blade/Tailwind CSS frontend. Database: SQLite (development) / MySQL (production). Supported Browsers: Modern versions of Chrome, Firefox, Safari, Edge. Device Support: Desktop computers, laptops, and tablets.</w:t>
      </w:r>
    </w:p>
    <w:p>
      <w:pPr>
        <w:pStyle w:val="Heading3"/>
        <w:spacing w:before="200" w:after="120"/>
      </w:pPr>
      <w:r>
        <w:rPr>
          <w:rFonts w:ascii="Arial" w:cs="Arial" w:eastAsia="Arial" w:hAnsi="Arial"/>
          <w:b/>
          <w:bCs/>
          <w:color w:val="2E75B6"/>
          <w:sz w:val="26"/>
          <w:szCs w:val="26"/>
        </w:rPr>
        <w:t xml:space="preserve">1.7.4 Explicitly Excluded Functionality</w:t>
      </w:r>
    </w:p>
    <w:p>
      <w:pPr>
        <w:spacing w:before="100" w:after="100" w:line="360"/>
        <w:jc w:val="both"/>
      </w:pPr>
      <w:r>
        <w:rPr>
          <w:rFonts w:ascii="Arial" w:cs="Arial" w:eastAsia="Arial" w:hAnsi="Arial"/>
          <w:sz w:val="24"/>
          <w:szCs w:val="24"/>
        </w:rPr>
        <w:t xml:space="preserve">To maintain project focus and feasibility, the following features are explicitly outside the project scope: direct mobile money (M-Pesa) API integration; commercial bank system integration; native mobile applications; automated SMS/email push notifications; advanced investment portfolio management; multi-group consolidated management; and AI-driven predictive analytics.</w:t>
      </w:r>
    </w:p>
    <w:p>
      <w:pPr>
        <w:pStyle w:val="Heading3"/>
        <w:spacing w:before="200" w:after="120"/>
      </w:pPr>
      <w:r>
        <w:rPr>
          <w:rFonts w:ascii="Arial" w:cs="Arial" w:eastAsia="Arial" w:hAnsi="Arial"/>
          <w:b/>
          <w:bCs/>
          <w:color w:val="2E75B6"/>
          <w:sz w:val="26"/>
          <w:szCs w:val="26"/>
        </w:rPr>
        <w:t xml:space="preserve">1.7.5 Geographical and Cultural Scope</w:t>
      </w:r>
    </w:p>
    <w:p>
      <w:pPr>
        <w:spacing w:before="100" w:after="100" w:line="360"/>
        <w:jc w:val="both"/>
      </w:pPr>
      <w:r>
        <w:rPr>
          <w:rFonts w:ascii="Arial" w:cs="Arial" w:eastAsia="Arial" w:hAnsi="Arial"/>
          <w:sz w:val="24"/>
          <w:szCs w:val="24"/>
        </w:rPr>
        <w:t xml:space="preserve">Primary Target: Community savings groups operating in Kenya. Language Support: English (primary). Cultural Adaptation: System design reflects Kenyan community savings group practices and terminology. Regulatory Environment: System does not address formal regulatory requirements for registered SACCOs.</w:t>
      </w:r>
    </w:p>
    <w:p>
      <w:pPr>
        <w:pStyle w:val="Heading2"/>
        <w:spacing w:before="280" w:after="160"/>
      </w:pPr>
      <w:r>
        <w:rPr>
          <w:rFonts w:ascii="Arial" w:cs="Arial" w:eastAsia="Arial" w:hAnsi="Arial"/>
          <w:b/>
          <w:bCs/>
          <w:color w:val="2E75B6"/>
          <w:sz w:val="28"/>
          <w:szCs w:val="28"/>
        </w:rPr>
        <w:t xml:space="preserve">1.8 Significance of the Study</w:t>
      </w:r>
    </w:p>
    <w:p>
      <w:pPr>
        <w:pStyle w:val="Heading3"/>
        <w:spacing w:before="200" w:after="120"/>
      </w:pPr>
      <w:r>
        <w:rPr>
          <w:rFonts w:ascii="Arial" w:cs="Arial" w:eastAsia="Arial" w:hAnsi="Arial"/>
          <w:b/>
          <w:bCs/>
          <w:color w:val="2E75B6"/>
          <w:sz w:val="26"/>
          <w:szCs w:val="26"/>
        </w:rPr>
        <w:t xml:space="preserve">1.8.1 Significance for Community Savings Groups as Organisations</w:t>
      </w:r>
    </w:p>
    <w:p>
      <w:pPr>
        <w:spacing w:before="100" w:after="100" w:line="360"/>
        <w:jc w:val="both"/>
      </w:pPr>
      <w:r>
        <w:rPr>
          <w:rFonts w:ascii="Arial" w:cs="Arial" w:eastAsia="Arial" w:hAnsi="Arial"/>
          <w:sz w:val="24"/>
          <w:szCs w:val="24"/>
        </w:rPr>
        <w:t xml:space="preserve">This project contributes significantly to institutional development of community savings groups by providing them with professional-grade financial management tools. The ability to maintain accurate, comprehensive, and accessible financial records represents a fundamental aspect of organisational maturity. Groups with digital systems position themselves for growth, improved governance, potential partnerships with formal financial institutions, and recognition as legitimate economic actors in their communities. The transparent, verifiable records provided by digital systems directly address financial disputes by eliminating ambiguity about transactions.</w:t>
      </w:r>
    </w:p>
    <w:p>
      <w:pPr>
        <w:pStyle w:val="Heading3"/>
        <w:spacing w:before="200" w:after="120"/>
      </w:pPr>
      <w:r>
        <w:rPr>
          <w:rFonts w:ascii="Arial" w:cs="Arial" w:eastAsia="Arial" w:hAnsi="Arial"/>
          <w:b/>
          <w:bCs/>
          <w:color w:val="2E75B6"/>
          <w:sz w:val="26"/>
          <w:szCs w:val="26"/>
        </w:rPr>
        <w:t xml:space="preserve">1.8.2 Significance for Individual Members</w:t>
      </w:r>
    </w:p>
    <w:p>
      <w:pPr>
        <w:spacing w:before="100" w:after="100" w:line="360"/>
        <w:jc w:val="both"/>
      </w:pPr>
      <w:r>
        <w:rPr>
          <w:rFonts w:ascii="Arial" w:cs="Arial" w:eastAsia="Arial" w:hAnsi="Arial"/>
          <w:sz w:val="24"/>
          <w:szCs w:val="24"/>
        </w:rPr>
        <w:t xml:space="preserve">Members gain substantial confidence in their financial position when they can independently verify account status, understand their contribution history, track their loan obligations, and see their share of group assets. Digital systems ensure that all members are treated according to uniform rules and standards. Interacting with digital financial systems also helps members develop broader financial literacy.</w:t>
      </w:r>
    </w:p>
    <w:p>
      <w:pPr>
        <w:pStyle w:val="Heading3"/>
        <w:spacing w:before="200" w:after="120"/>
      </w:pPr>
      <w:r>
        <w:rPr>
          <w:rFonts w:ascii="Arial" w:cs="Arial" w:eastAsia="Arial" w:hAnsi="Arial"/>
          <w:b/>
          <w:bCs/>
          <w:color w:val="2E75B6"/>
          <w:sz w:val="26"/>
          <w:szCs w:val="26"/>
        </w:rPr>
        <w:t xml:space="preserve">1.8.3 Significance for Group Officials</w:t>
      </w:r>
    </w:p>
    <w:p>
      <w:pPr>
        <w:spacing w:before="100" w:after="100" w:line="360"/>
        <w:jc w:val="both"/>
      </w:pPr>
      <w:r>
        <w:rPr>
          <w:rFonts w:ascii="Arial" w:cs="Arial" w:eastAsia="Arial" w:hAnsi="Arial"/>
          <w:sz w:val="24"/>
          <w:szCs w:val="24"/>
        </w:rPr>
        <w:t xml:space="preserve">Officials, especially treasurers, experience significant workload reduction through system automation. Clear, accurate, tamper-evident records protect officials from accusations of mismanagement or fraud. Officials who successfully implement and manage digital systems gain recognition for technological competence and progressive leadership.</w:t>
      </w:r>
    </w:p>
    <w:p>
      <w:pPr>
        <w:pStyle w:val="Heading3"/>
        <w:spacing w:before="200" w:after="120"/>
      </w:pPr>
      <w:r>
        <w:rPr>
          <w:rFonts w:ascii="Arial" w:cs="Arial" w:eastAsia="Arial" w:hAnsi="Arial"/>
          <w:b/>
          <w:bCs/>
          <w:color w:val="2E75B6"/>
          <w:sz w:val="26"/>
          <w:szCs w:val="26"/>
        </w:rPr>
        <w:t xml:space="preserve">1.8.4 Significance for Technology Developers and Researchers</w:t>
      </w:r>
    </w:p>
    <w:p>
      <w:pPr>
        <w:spacing w:before="100" w:after="100" w:line="360"/>
        <w:jc w:val="both"/>
      </w:pPr>
      <w:r>
        <w:rPr>
          <w:rFonts w:ascii="Arial" w:cs="Arial" w:eastAsia="Arial" w:hAnsi="Arial"/>
          <w:sz w:val="24"/>
          <w:szCs w:val="24"/>
        </w:rPr>
        <w:t xml:space="preserve">This project provides developers and researchers with a concrete example of applying technology to genuine community needs, testing design principles for users with limited computer experience, and contributing to academic literature on information systems for community finance.</w:t>
      </w:r>
    </w:p>
    <w:p>
      <w:pPr>
        <w:pStyle w:val="Heading3"/>
        <w:spacing w:before="200" w:after="120"/>
      </w:pPr>
      <w:r>
        <w:rPr>
          <w:rFonts w:ascii="Arial" w:cs="Arial" w:eastAsia="Arial" w:hAnsi="Arial"/>
          <w:b/>
          <w:bCs/>
          <w:color w:val="2E75B6"/>
          <w:sz w:val="26"/>
          <w:szCs w:val="26"/>
        </w:rPr>
        <w:t xml:space="preserve">1.8.5 Significance for Kenyan Society</w:t>
      </w:r>
    </w:p>
    <w:p>
      <w:pPr>
        <w:spacing w:before="100" w:after="100" w:line="360"/>
        <w:jc w:val="both"/>
      </w:pPr>
      <w:r>
        <w:rPr>
          <w:rFonts w:ascii="Arial" w:cs="Arial" w:eastAsia="Arial" w:hAnsi="Arial"/>
          <w:sz w:val="24"/>
          <w:szCs w:val="24"/>
        </w:rPr>
        <w:t xml:space="preserve">By bringing digital tools to grassroots community organisations, this project promotes digital inclusion and helps bridge the digital divide. Stronger, more efficient community savings groups contribute to economic empowerment at household and community levels. As CSGs adopt professional management practices, they become more attractive partners for formal financial institutions.</w:t>
      </w:r>
    </w:p>
    <w:p>
      <w:pPr>
        <w:pStyle w:val="Heading2"/>
        <w:spacing w:before="280" w:after="160"/>
      </w:pPr>
      <w:r>
        <w:rPr>
          <w:rFonts w:ascii="Arial" w:cs="Arial" w:eastAsia="Arial" w:hAnsi="Arial"/>
          <w:b/>
          <w:bCs/>
          <w:color w:val="2E75B6"/>
          <w:sz w:val="28"/>
          <w:szCs w:val="28"/>
        </w:rPr>
        <w:t xml:space="preserve">1.9 Limitations</w:t>
      </w:r>
    </w:p>
    <w:p>
      <w:pPr>
        <w:pStyle w:val="Heading3"/>
        <w:spacing w:before="200" w:after="120"/>
      </w:pPr>
      <w:r>
        <w:rPr>
          <w:rFonts w:ascii="Arial" w:cs="Arial" w:eastAsia="Arial" w:hAnsi="Arial"/>
          <w:b/>
          <w:bCs/>
          <w:color w:val="2E75B6"/>
          <w:sz w:val="26"/>
          <w:szCs w:val="26"/>
        </w:rPr>
        <w:t xml:space="preserve">1.9.1 User Literacy and Capacity Limitations</w:t>
      </w:r>
    </w:p>
    <w:p>
      <w:pPr>
        <w:spacing w:before="100" w:after="100" w:line="360"/>
        <w:jc w:val="both"/>
      </w:pPr>
      <w:r>
        <w:rPr>
          <w:rFonts w:ascii="Arial" w:cs="Arial" w:eastAsia="Arial" w:hAnsi="Arial"/>
          <w:sz w:val="24"/>
          <w:szCs w:val="24"/>
        </w:rPr>
        <w:t xml:space="preserve">While designed to be as user-friendly as possible, the system requires users to possess basic computer or smartphone literacy. Groups may need to invest in basic computer literacy training before implementing the system. Different users exhibit varying levels of comfort and confidence with technology, which can affect consistency of system use.</w:t>
      </w:r>
    </w:p>
    <w:p>
      <w:pPr>
        <w:pStyle w:val="Heading3"/>
        <w:spacing w:before="200" w:after="120"/>
      </w:pPr>
      <w:r>
        <w:rPr>
          <w:rFonts w:ascii="Arial" w:cs="Arial" w:eastAsia="Arial" w:hAnsi="Arial"/>
          <w:b/>
          <w:bCs/>
          <w:color w:val="2E75B6"/>
          <w:sz w:val="26"/>
          <w:szCs w:val="26"/>
        </w:rPr>
        <w:t xml:space="preserve">1.9.2 Integration and Connectivity Limitations</w:t>
      </w:r>
    </w:p>
    <w:p>
      <w:pPr>
        <w:spacing w:before="100" w:after="100" w:line="360"/>
        <w:jc w:val="both"/>
      </w:pPr>
      <w:r>
        <w:rPr>
          <w:rFonts w:ascii="Arial" w:cs="Arial" w:eastAsia="Arial" w:hAnsi="Arial"/>
          <w:sz w:val="24"/>
          <w:szCs w:val="24"/>
        </w:rPr>
        <w:t xml:space="preserve">The system does not integrate directly with mobile money platforms such as M-Pesa, meaning that contributions and repayments made through mobile money must be manually recorded. Similarly, bank transactions cannot be automatically imported. Cloud-based deployment requires internet connectivity, creating accessibility challenges in areas with unreliable service.</w:t>
      </w:r>
    </w:p>
    <w:p>
      <w:pPr>
        <w:pStyle w:val="Heading3"/>
        <w:spacing w:before="200" w:after="120"/>
      </w:pPr>
      <w:r>
        <w:rPr>
          <w:rFonts w:ascii="Arial" w:cs="Arial" w:eastAsia="Arial" w:hAnsi="Arial"/>
          <w:b/>
          <w:bCs/>
          <w:color w:val="2E75B6"/>
          <w:sz w:val="26"/>
          <w:szCs w:val="26"/>
        </w:rPr>
        <w:t xml:space="preserve">1.9.3 Functional Scope Limitations</w:t>
      </w:r>
    </w:p>
    <w:p>
      <w:pPr>
        <w:spacing w:before="100" w:after="100" w:line="360"/>
        <w:jc w:val="both"/>
      </w:pPr>
      <w:r>
        <w:rPr>
          <w:rFonts w:ascii="Arial" w:cs="Arial" w:eastAsia="Arial" w:hAnsi="Arial"/>
          <w:sz w:val="24"/>
          <w:szCs w:val="24"/>
        </w:rPr>
        <w:t xml:space="preserve">The system is designed for use by a single community savings group and does not support multi-group consolidated management. It focuses on core record-keeping functions rather than advanced financial analysis. The system does not send automated reminders or notifications.</w:t>
      </w:r>
    </w:p>
    <w:p>
      <w:pPr>
        <w:pStyle w:val="Heading3"/>
        <w:spacing w:before="200" w:after="120"/>
      </w:pPr>
      <w:r>
        <w:rPr>
          <w:rFonts w:ascii="Arial" w:cs="Arial" w:eastAsia="Arial" w:hAnsi="Arial"/>
          <w:b/>
          <w:bCs/>
          <w:color w:val="2E75B6"/>
          <w:sz w:val="26"/>
          <w:szCs w:val="26"/>
        </w:rPr>
        <w:t xml:space="preserve">1.9.4 Scale and Performance Limitations</w:t>
      </w:r>
    </w:p>
    <w:p>
      <w:pPr>
        <w:spacing w:before="100" w:after="100" w:line="360"/>
        <w:jc w:val="both"/>
      </w:pPr>
      <w:r>
        <w:rPr>
          <w:rFonts w:ascii="Arial" w:cs="Arial" w:eastAsia="Arial" w:hAnsi="Arial"/>
          <w:sz w:val="24"/>
          <w:szCs w:val="24"/>
        </w:rPr>
        <w:t xml:space="preserve">The system is optimised for typical groups with up to approximately one hundred members and is not intended for large-scale cooperative societies with thousands of members, complex hierarchical structures, or multiple branches.</w:t>
      </w:r>
    </w:p>
    <w:p>
      <w:pPr>
        <w:pStyle w:val="Heading3"/>
        <w:spacing w:before="200" w:after="120"/>
      </w:pPr>
      <w:r>
        <w:rPr>
          <w:rFonts w:ascii="Arial" w:cs="Arial" w:eastAsia="Arial" w:hAnsi="Arial"/>
          <w:b/>
          <w:bCs/>
          <w:color w:val="2E75B6"/>
          <w:sz w:val="26"/>
          <w:szCs w:val="26"/>
        </w:rPr>
        <w:t xml:space="preserve">1.9.5 Security and Privacy Limitations</w:t>
      </w:r>
    </w:p>
    <w:p>
      <w:pPr>
        <w:spacing w:before="100" w:after="100" w:line="360"/>
        <w:jc w:val="both"/>
      </w:pPr>
      <w:r>
        <w:rPr>
          <w:rFonts w:ascii="Arial" w:cs="Arial" w:eastAsia="Arial" w:hAnsi="Arial"/>
          <w:sz w:val="24"/>
          <w:szCs w:val="24"/>
        </w:rPr>
        <w:t xml:space="preserve">If multiple users share devices, there are risks of unauthorised access if users fail to log out properly. Ultimate responsibility for ensuring regular data backups rests with the group.</w:t>
      </w:r>
    </w:p>
    <w:p>
      <w:pPr>
        <w:pStyle w:val="Heading3"/>
        <w:spacing w:before="200" w:after="120"/>
      </w:pPr>
      <w:r>
        <w:rPr>
          <w:rFonts w:ascii="Arial" w:cs="Arial" w:eastAsia="Arial" w:hAnsi="Arial"/>
          <w:b/>
          <w:bCs/>
          <w:color w:val="2E75B6"/>
          <w:sz w:val="26"/>
          <w:szCs w:val="26"/>
        </w:rPr>
        <w:t xml:space="preserve">1.9.6 Cultural and Social Limitations</w:t>
      </w:r>
    </w:p>
    <w:p>
      <w:pPr>
        <w:spacing w:before="100" w:after="100" w:line="360"/>
        <w:jc w:val="both"/>
      </w:pPr>
      <w:r>
        <w:rPr>
          <w:rFonts w:ascii="Arial" w:cs="Arial" w:eastAsia="Arial" w:hAnsi="Arial"/>
          <w:sz w:val="24"/>
          <w:szCs w:val="24"/>
        </w:rPr>
        <w:t xml:space="preserve">Some groups may resist adopting digital systems due to comfort with traditional methods, scepticism about technology benefits, or fear of losing control over financial information. In some communities, physical written records may be viewed as more trustworthy than digital data. Introducing technology into social groups can alter interpersonal dynamics in unexpected ways.</w:t>
      </w:r>
    </w:p>
    <w:p>
      <w:pPr>
        <w:pStyle w:val="Heading3"/>
        <w:spacing w:before="200" w:after="120"/>
      </w:pPr>
      <w:r>
        <w:rPr>
          <w:rFonts w:ascii="Arial" w:cs="Arial" w:eastAsia="Arial" w:hAnsi="Arial"/>
          <w:b/>
          <w:bCs/>
          <w:color w:val="2E75B6"/>
          <w:sz w:val="26"/>
          <w:szCs w:val="26"/>
        </w:rPr>
        <w:t xml:space="preserve">1.9.7 Acknowledgment and Mitigation</w:t>
      </w:r>
    </w:p>
    <w:p>
      <w:pPr>
        <w:spacing w:before="100" w:after="100" w:line="360"/>
        <w:jc w:val="both"/>
      </w:pPr>
      <w:r>
        <w:rPr>
          <w:rFonts w:ascii="Arial" w:cs="Arial" w:eastAsia="Arial" w:hAnsi="Arial"/>
          <w:sz w:val="24"/>
          <w:szCs w:val="24"/>
        </w:rPr>
        <w:t xml:space="preserve">These limitations are acknowledged transparently to ensure realistic expectations among potential users. Many represent conscious design decisions that prioritise simplicity, affordability, and appropriateness for the target context. Where possible, the project includes recommendations for mitigating limitations, such as providing basic computer literacy training to address skill gaps, establishing clear backup procedures to protect data, and maintaining face-to-face meetings to preserve social bonds even when using digital records.</w:t>
      </w:r>
    </w:p>
    <w:p>
      <w:pPr>
        <w:sectPr>
          <w:footerReference w:type="default" r:id="rId7"/>
          <w:pgSz w:w="12240" w:h="15840" w:orient="portrait"/>
          <w:pgMar w:top="1440" w:right="1440" w:bottom="1440" w:left="1440" w:header="708" w:footer="708" w:gutter="0"/>
          <w:pgNumType/>
          <w:docGrid w:linePitch="360"/>
        </w:sectPr>
      </w:pPr>
    </w:p>
    <w:p>
      <w:pPr>
        <w:pStyle w:val="Heading1"/>
        <w:pageBreakBefore/>
        <w:spacing w:before="0" w:after="240"/>
      </w:pPr>
      <w:r>
        <w:rPr>
          <w:rFonts w:ascii="Arial" w:cs="Arial" w:eastAsia="Arial" w:hAnsi="Arial"/>
          <w:b/>
          <w:bCs/>
          <w:color w:val="1F3864"/>
          <w:sz w:val="32"/>
          <w:szCs w:val="32"/>
        </w:rPr>
        <w:t xml:space="preserve">CHAPTER 2: LITERATURE REVIEW</w:t>
      </w:r>
    </w:p>
    <w:p>
      <w:pPr>
        <w:pStyle w:val="Heading2"/>
        <w:spacing w:before="280" w:after="160"/>
      </w:pPr>
      <w:r>
        <w:rPr>
          <w:rFonts w:ascii="Arial" w:cs="Arial" w:eastAsia="Arial" w:hAnsi="Arial"/>
          <w:b/>
          <w:bCs/>
          <w:color w:val="2E75B6"/>
          <w:sz w:val="28"/>
          <w:szCs w:val="28"/>
        </w:rPr>
        <w:t xml:space="preserve">2.1 Introduction</w:t>
      </w:r>
    </w:p>
    <w:p>
      <w:pPr>
        <w:spacing w:before="100" w:after="100" w:line="360"/>
        <w:jc w:val="both"/>
      </w:pPr>
      <w:r>
        <w:rPr>
          <w:rFonts w:ascii="Arial" w:cs="Arial" w:eastAsia="Arial" w:hAnsi="Arial"/>
          <w:sz w:val="24"/>
          <w:szCs w:val="24"/>
        </w:rPr>
        <w:t xml:space="preserve">This literature review provides a comprehensive summary and critical analysis of existing research on digital solutions for informal savings groups, particularly focusing on the Kenyan context where community savings groups (CSGs) represent a vital component of the financial inclusion landscape. The review synthesises findings from peer-reviewed academic papers, institutional reports, policy documents, and empirical studies published primarily between 2007 and 2024 to highlight patterns, identify strengths and weaknesses in current approaches, and reveal critical gaps in the existing body of knowledge.</w:t>
      </w:r>
    </w:p>
    <w:p>
      <w:pPr>
        <w:spacing w:before="100" w:after="100" w:line="360"/>
        <w:jc w:val="both"/>
      </w:pPr>
      <w:r>
        <w:rPr>
          <w:rFonts w:ascii="Arial" w:cs="Arial" w:eastAsia="Arial" w:hAnsi="Arial"/>
          <w:sz w:val="24"/>
          <w:szCs w:val="24"/>
        </w:rPr>
        <w:t xml:space="preserve">The review draws on established theoretical frameworks related to technology adoption and acceptance, particularly as they apply to resource-constrained and community-based settings. It examines empirical studies on digitisation efforts for groups like CSGs—Kenyan informal savings associations often categorised academically as Rotating Savings and Credit Associations (ROSCAs) or Accumulating Savings and Credit Associations (ASCAs). These groups represent indigenous financial mechanisms that have evolved over generations to meet the savings, credit, and social support needs of populations excluded from or underserved by formal banking institutions.</w:t>
      </w:r>
    </w:p>
    <w:p>
      <w:pPr>
        <w:spacing w:before="100" w:after="100" w:line="360"/>
        <w:jc w:val="both"/>
      </w:pPr>
      <w:r>
        <w:rPr>
          <w:rFonts w:ascii="Arial" w:cs="Arial" w:eastAsia="Arial" w:hAnsi="Arial"/>
          <w:sz w:val="24"/>
          <w:szCs w:val="24"/>
        </w:rPr>
        <w:t xml:space="preserve">By identifying key trends—such as the progressive shift from purely manual paper-based systems to mobile application-based solutions—and critically examining the limitations of current approaches, this chapter provides robust justification for the current project's focus on developing a comprehensive web-based digital record-keeping system specifically tailored for Kenyan community savings groups. The review demonstrates that while mobile solutions have received considerable attention in recent literature, significant gaps remain in accessible, user-friendly web-based platforms that can accommodate the diverse operational models, varying literacy levels, and intermittent connectivity challenges characteristic of many CSG environments.</w:t>
      </w:r>
    </w:p>
    <w:p>
      <w:pPr>
        <w:pStyle w:val="Heading2"/>
        <w:spacing w:before="280" w:after="160"/>
      </w:pPr>
      <w:r>
        <w:rPr>
          <w:rFonts w:ascii="Arial" w:cs="Arial" w:eastAsia="Arial" w:hAnsi="Arial"/>
          <w:b/>
          <w:bCs/>
          <w:color w:val="2E75B6"/>
          <w:sz w:val="28"/>
          <w:szCs w:val="28"/>
        </w:rPr>
        <w:t xml:space="preserve">2.2 Theoretical Review</w:t>
      </w:r>
    </w:p>
    <w:p>
      <w:pPr>
        <w:spacing w:before="100" w:after="100" w:line="360"/>
        <w:jc w:val="both"/>
      </w:pPr>
      <w:r>
        <w:rPr>
          <w:rFonts w:ascii="Arial" w:cs="Arial" w:eastAsia="Arial" w:hAnsi="Arial"/>
          <w:sz w:val="24"/>
          <w:szCs w:val="24"/>
        </w:rPr>
        <w:t xml:space="preserve">The theoretical foundation for understanding and implementing digitisation of informal savings groups rests on well-established models of technology adoption, particularly those developed for and tested in low-resource, community-based settings where formal institutional support may be limited and user populations may have varying levels of technological literacy and access.</w:t>
      </w:r>
    </w:p>
    <w:p>
      <w:pPr>
        <w:pStyle w:val="Heading3"/>
        <w:spacing w:before="200" w:after="120"/>
      </w:pPr>
      <w:r>
        <w:rPr>
          <w:rFonts w:ascii="Arial" w:cs="Arial" w:eastAsia="Arial" w:hAnsi="Arial"/>
          <w:b/>
          <w:bCs/>
          <w:color w:val="2E75B6"/>
          <w:sz w:val="26"/>
          <w:szCs w:val="26"/>
        </w:rPr>
        <w:t xml:space="preserve">2.2.1 Technology Acceptance Model (TAM)</w:t>
      </w:r>
    </w:p>
    <w:p>
      <w:pPr>
        <w:spacing w:before="100" w:after="100" w:line="360"/>
        <w:jc w:val="both"/>
      </w:pPr>
      <w:r>
        <w:rPr>
          <w:rFonts w:ascii="Arial" w:cs="Arial" w:eastAsia="Arial" w:hAnsi="Arial"/>
          <w:sz w:val="24"/>
          <w:szCs w:val="24"/>
        </w:rPr>
        <w:t xml:space="preserve">The Technology Acceptance Model, originally proposed by Fred Davis in 1989, remains the most widely applied theoretical framework for predicting and explaining user acceptance of information systems across diverse contexts. Davis's seminal work established that two primary factors determine whether users will accept and use a technology system: perceived usefulness (PU) and perceived ease of use (PEOU).</w:t>
      </w:r>
    </w:p>
    <w:p>
      <w:pPr>
        <w:spacing w:before="100" w:after="100" w:line="360"/>
        <w:jc w:val="both"/>
      </w:pPr>
      <w:r>
        <w:rPr>
          <w:rFonts w:ascii="Arial" w:cs="Arial" w:eastAsia="Arial" w:hAnsi="Arial"/>
          <w:sz w:val="24"/>
          <w:szCs w:val="24"/>
        </w:rPr>
        <w:t xml:space="preserve">Perceived usefulness refers to the degree to which a person believes that using a particular system would enhance their job performance (Davis, 1989). In the context of community savings group digitisation, this translates to members and officials believing that a digital record-keeping system will improve the accuracy of financial records, reduce time spent on administrative tasks, minimise disputes arising from unclear records, and enhance overall group financial management.</w:t>
      </w:r>
    </w:p>
    <w:p>
      <w:pPr>
        <w:spacing w:before="100" w:after="100" w:line="360"/>
        <w:jc w:val="both"/>
      </w:pPr>
      <w:r>
        <w:rPr>
          <w:rFonts w:ascii="Arial" w:cs="Arial" w:eastAsia="Arial" w:hAnsi="Arial"/>
          <w:sz w:val="24"/>
          <w:szCs w:val="24"/>
        </w:rPr>
        <w:t xml:space="preserve">Perceived ease of use is defined as the degree to which a person believes that using a particular system would be free from effort (Davis, 1989). For CSG treasurers and members, many of whom may have limited prior exposure to computer systems, ease of use encompasses intuitive navigation, clear visual design, minimal steps to complete common tasks, and availability of help resources.</w:t>
      </w:r>
    </w:p>
    <w:p>
      <w:pPr>
        <w:spacing w:before="100" w:after="100" w:line="360"/>
        <w:jc w:val="both"/>
      </w:pPr>
      <w:r>
        <w:rPr>
          <w:rFonts w:ascii="Arial" w:cs="Arial" w:eastAsia="Arial" w:hAnsi="Arial"/>
          <w:sz w:val="24"/>
          <w:szCs w:val="24"/>
        </w:rPr>
        <w:t xml:space="preserve">TAM's theoretical foundation draws from the Theory of Reasoned Action (TRA) in social psychology. Extensions including TAM2 (Venkatesh &amp; Davis, 2000) added constructs such as subjective norm, image, job relevance, output quality, and result demonstrability. TAM3 (Venkatesh &amp; Bala, 2008) incorporated determinants of perceived ease of use with a longitudinal perspective particularly valuable for understanding adoption trajectories.</w:t>
      </w:r>
    </w:p>
    <w:p>
      <w:pPr>
        <w:spacing w:before="100" w:after="100" w:line="360"/>
        <w:jc w:val="both"/>
      </w:pPr>
      <w:r>
        <w:rPr>
          <w:rFonts w:ascii="Arial" w:cs="Arial" w:eastAsia="Arial" w:hAnsi="Arial"/>
          <w:sz w:val="24"/>
          <w:szCs w:val="24"/>
        </w:rPr>
        <w:t xml:space="preserve">In the specific context of informal savings groups, TAM provides a framework for understanding that successful digitisation depends on demonstrating clear usefulness (reduced errors, time savings, enhanced transparency), ensuring ease of use (interfaces designed for users with varying literacy levels), and building social acceptance (systems perceived as fair that enhance rather than threaten existing social dynamics).</w:t>
      </w:r>
    </w:p>
    <w:p>
      <w:pPr>
        <w:pStyle w:val="Heading3"/>
        <w:spacing w:before="200" w:after="120"/>
      </w:pPr>
      <w:r>
        <w:rPr>
          <w:rFonts w:ascii="Arial" w:cs="Arial" w:eastAsia="Arial" w:hAnsi="Arial"/>
          <w:b/>
          <w:bCs/>
          <w:color w:val="2E75B6"/>
          <w:sz w:val="26"/>
          <w:szCs w:val="26"/>
        </w:rPr>
        <w:t xml:space="preserve">2.2.2 Diffusion of Innovations Theory</w:t>
      </w:r>
    </w:p>
    <w:p>
      <w:pPr>
        <w:spacing w:before="100" w:after="100" w:line="360"/>
        <w:jc w:val="both"/>
      </w:pPr>
      <w:r>
        <w:rPr>
          <w:rFonts w:ascii="Arial" w:cs="Arial" w:eastAsia="Arial" w:hAnsi="Arial"/>
          <w:sz w:val="24"/>
          <w:szCs w:val="24"/>
        </w:rPr>
        <w:t xml:space="preserve">Diffusion of Innovations Theory, comprehensively articulated by Everett Rogers (2003), provides a complementary macro-level perspective on how innovations spread through social systems over time. Rogers defines diffusion as the process by which an innovation is communicated through certain channels over time among the members of a social system.</w:t>
      </w:r>
    </w:p>
    <w:p>
      <w:pPr>
        <w:spacing w:before="100" w:after="100" w:line="360"/>
        <w:jc w:val="both"/>
      </w:pPr>
      <w:r>
        <w:rPr>
          <w:rFonts w:ascii="Arial" w:cs="Arial" w:eastAsia="Arial" w:hAnsi="Arial"/>
          <w:sz w:val="24"/>
          <w:szCs w:val="24"/>
        </w:rPr>
        <w:t xml:space="preserve">Five key attributes of innovations influence their rate of adoption: (1) Relative advantage—the degree to which an innovation is perceived as better than the idea it supersedes; (2) Compatibility—the extent to which an innovation aligns with existing values and needs; (3) Complexity—the degree to which an innovation is perceived as difficult to understand or use; (4) Trialability—the extent to which an innovation can be experimented with on a limited basis; and (5) Observability—the degree to which results are visible to others.</w:t>
      </w:r>
    </w:p>
    <w:p>
      <w:pPr>
        <w:spacing w:before="100" w:after="100" w:line="360"/>
        <w:jc w:val="both"/>
      </w:pPr>
      <w:r>
        <w:rPr>
          <w:rFonts w:ascii="Arial" w:cs="Arial" w:eastAsia="Arial" w:hAnsi="Arial"/>
          <w:sz w:val="24"/>
          <w:szCs w:val="24"/>
        </w:rPr>
        <w:t xml:space="preserve">Rogers' theory also describes five adopter categories: Innovators (2.5%), Early Adopters (13.5%), Early Majority (34%), Late Majority (34%), and Laggards (16%). Cumulative adoption follows an S-shaped curve. For community savings group digitisation, this suggests strategies of identifying and supporting innovative groups, leveraging respected leaders to demonstrate benefits, and providing evidence of success to encourage the more cautious majority.</w:t>
      </w:r>
    </w:p>
    <w:p>
      <w:pPr>
        <w:pStyle w:val="Heading3"/>
        <w:spacing w:before="200" w:after="120"/>
      </w:pPr>
      <w:r>
        <w:rPr>
          <w:rFonts w:ascii="Arial" w:cs="Arial" w:eastAsia="Arial" w:hAnsi="Arial"/>
          <w:b/>
          <w:bCs/>
          <w:color w:val="2E75B6"/>
          <w:sz w:val="26"/>
          <w:szCs w:val="26"/>
        </w:rPr>
        <w:t xml:space="preserve">2.2.3 Unified Theory of Acceptance and Use of Technology (UTAUT)</w:t>
      </w:r>
    </w:p>
    <w:p>
      <w:pPr>
        <w:spacing w:before="100" w:after="100" w:line="360"/>
        <w:jc w:val="both"/>
      </w:pPr>
      <w:r>
        <w:rPr>
          <w:rFonts w:ascii="Arial" w:cs="Arial" w:eastAsia="Arial" w:hAnsi="Arial"/>
          <w:sz w:val="24"/>
          <w:szCs w:val="24"/>
        </w:rPr>
        <w:t xml:space="preserve">UTAUT, developed by Venkatesh, Morris, Davis, and Davis (2003), represents a synthesis of eight prominent technology acceptance models achieving approximately 70% of variance in usage intentions. Its four key determinants are: Performance Expectancy (degree to which using the technology provides benefits); Effort Expectancy (degree of ease associated with use); Social Influence (extent to which important others believe one should use the technology); and Facilitating Conditions (degree to which organisational and technical infrastructure supports use). These relationships are moderated by gender, age, experience, and voluntariness.</w:t>
      </w:r>
    </w:p>
    <w:p>
      <w:pPr>
        <w:pStyle w:val="Heading3"/>
        <w:spacing w:before="200" w:after="120"/>
      </w:pPr>
      <w:r>
        <w:rPr>
          <w:rFonts w:ascii="Arial" w:cs="Arial" w:eastAsia="Arial" w:hAnsi="Arial"/>
          <w:b/>
          <w:bCs/>
          <w:color w:val="2E75B6"/>
          <w:sz w:val="26"/>
          <w:szCs w:val="26"/>
        </w:rPr>
        <w:t xml:space="preserve">2.2.4 Application to Financial Technology in Developing Contexts</w:t>
      </w:r>
    </w:p>
    <w:p>
      <w:pPr>
        <w:spacing w:before="100" w:after="100" w:line="360"/>
        <w:jc w:val="both"/>
      </w:pPr>
      <w:r>
        <w:rPr>
          <w:rFonts w:ascii="Arial" w:cs="Arial" w:eastAsia="Arial" w:hAnsi="Arial"/>
          <w:sz w:val="24"/>
          <w:szCs w:val="24"/>
        </w:rPr>
        <w:t xml:space="preserve">Research across multiple African countries has demonstrated that TAM, Diffusion of Innovations, and UTAUT maintain significant predictive validity. Mobile money adoption studies in Kenya confirm that perceived usefulness strongly predicts usage, followed by ease of use and social influence. However, several limitations arise in African contexts: underemphasis on social capital, structural barriers (infrastructure, costs), and cultural factors such as collectivist orientations and oral traditions.</w:t>
      </w:r>
    </w:p>
    <w:p>
      <w:pPr>
        <w:spacing w:before="100" w:after="100" w:line="360"/>
        <w:jc w:val="both"/>
      </w:pPr>
      <w:r>
        <w:rPr>
          <w:rFonts w:ascii="Arial" w:cs="Arial" w:eastAsia="Arial" w:hAnsi="Arial"/>
          <w:sz w:val="24"/>
          <w:szCs w:val="24"/>
        </w:rPr>
        <w:t xml:space="preserve">This project adopts an integrated theoretical approach drawing on TAM for individual acceptance, Diffusion of Innovations for implementation strategy, UTAUT for facilitating conditions, and Social Capital Theory for trust and group cohesion considerations. The project's hypothesis, grounded primarily in TAM, is that a web-based record-keeping system demonstrating high perceived usefulness and ease of use will achieve substantial adoption among Kenyan community savings groups when supported by adequate facilitating conditions and social endorsement.</w:t>
      </w:r>
    </w:p>
    <w:p>
      <w:pPr>
        <w:pStyle w:val="Heading2"/>
        <w:spacing w:before="280" w:after="160"/>
      </w:pPr>
      <w:r>
        <w:rPr>
          <w:rFonts w:ascii="Arial" w:cs="Arial" w:eastAsia="Arial" w:hAnsi="Arial"/>
          <w:b/>
          <w:bCs/>
          <w:color w:val="2E75B6"/>
          <w:sz w:val="28"/>
          <w:szCs w:val="28"/>
        </w:rPr>
        <w:t xml:space="preserve">2.3 Critique of Existing Literature</w:t>
      </w:r>
    </w:p>
    <w:p>
      <w:pPr>
        <w:spacing w:before="100" w:after="100" w:line="360"/>
        <w:jc w:val="both"/>
      </w:pPr>
      <w:r>
        <w:rPr>
          <w:rFonts w:ascii="Arial" w:cs="Arial" w:eastAsia="Arial" w:hAnsi="Arial"/>
          <w:sz w:val="24"/>
          <w:szCs w:val="24"/>
        </w:rPr>
        <w:t xml:space="preserve">The existing literature on digitising informal savings groups demonstrates significant progress, particularly in mobile application solutions, but reveals persistent gaps in comprehensive, accessible, context-appropriate systems specifically designed for Kenyan community savings groups. This section provides detailed critical review of five peer-reviewed articles selected based on recency, methodological rigour, relevance to Kenya or comparable East African contexts, and explicit focus on digital tools for informal savings groups.</w:t>
      </w:r>
    </w:p>
    <w:p>
      <w:pPr>
        <w:pStyle w:val="Heading3"/>
        <w:spacing w:before="200" w:after="120"/>
      </w:pPr>
      <w:r>
        <w:rPr>
          <w:rFonts w:ascii="Arial" w:cs="Arial" w:eastAsia="Arial" w:hAnsi="Arial"/>
          <w:b/>
          <w:bCs/>
          <w:color w:val="2E75B6"/>
          <w:sz w:val="26"/>
          <w:szCs w:val="26"/>
        </w:rPr>
        <w:t xml:space="preserve">2.3.1 Article 1: Chidziwisano, Namangale, and Kumwenda (2020)</w:t>
      </w:r>
    </w:p>
    <w:p>
      <w:pPr>
        <w:spacing w:before="100" w:after="100" w:line="360"/>
        <w:jc w:val="both"/>
      </w:pPr>
      <w:r>
        <w:rPr>
          <w:rFonts w:ascii="Arial" w:cs="Arial" w:eastAsia="Arial" w:hAnsi="Arial"/>
          <w:b/>
          <w:bCs/>
          <w:sz w:val="24"/>
          <w:szCs w:val="24"/>
        </w:rPr>
        <w:t xml:space="preserve">Full Citation:</w:t>
      </w:r>
    </w:p>
    <w:p>
      <w:pPr>
        <w:spacing w:before="100" w:after="100" w:line="360"/>
        <w:jc w:val="both"/>
      </w:pPr>
      <w:r>
        <w:rPr>
          <w:rFonts w:ascii="Arial" w:cs="Arial" w:eastAsia="Arial" w:hAnsi="Arial"/>
          <w:sz w:val="24"/>
          <w:szCs w:val="24"/>
        </w:rPr>
        <w:t xml:space="preserve">Chidziwisano, K., Namangale, J., &amp; Kumwenda, T. (2020). Design and evaluation of a mobile prototype application for community savings groups in Kenya. In Proceedings of the 2020 IST-Africa Conference. IEEE.</w:t>
      </w:r>
    </w:p>
    <w:p>
      <w:pPr>
        <w:spacing w:before="100" w:after="100" w:line="360"/>
        <w:jc w:val="both"/>
      </w:pPr>
      <w:r>
        <w:rPr>
          <w:rFonts w:ascii="Arial" w:cs="Arial" w:eastAsia="Arial" w:hAnsi="Arial"/>
          <w:b/>
          <w:bCs/>
          <w:sz w:val="24"/>
          <w:szCs w:val="24"/>
        </w:rPr>
        <w:t xml:space="preserve">Study Focus and Methodology:</w:t>
      </w:r>
    </w:p>
    <w:p>
      <w:pPr>
        <w:spacing w:before="100" w:after="100" w:line="360"/>
        <w:jc w:val="both"/>
      </w:pPr>
      <w:r>
        <w:rPr>
          <w:rFonts w:ascii="Arial" w:cs="Arial" w:eastAsia="Arial" w:hAnsi="Arial"/>
          <w:sz w:val="24"/>
          <w:szCs w:val="24"/>
        </w:rPr>
        <w:t xml:space="preserve">This conference paper presents the design, development, and preliminary evaluation of 'SmartChama', a mobile prototype application specifically created for Kenyan informal savings groups. The study employed a mixed-methods approach including semi-structured interviews with 15 officials, three co-design workshops, and a four-week pilot evaluation with 12 users using the System Usability Scale (SUS) and task completion rates.</w:t>
      </w:r>
    </w:p>
    <w:p>
      <w:pPr>
        <w:spacing w:before="100" w:after="100" w:line="360"/>
        <w:jc w:val="both"/>
      </w:pPr>
      <w:r>
        <w:rPr>
          <w:rFonts w:ascii="Arial" w:cs="Arial" w:eastAsia="Arial" w:hAnsi="Arial"/>
          <w:b/>
          <w:bCs/>
          <w:sz w:val="24"/>
          <w:szCs w:val="24"/>
        </w:rPr>
        <w:t xml:space="preserve">Key Findings:</w:t>
      </w:r>
    </w:p>
    <w:p>
      <w:pPr>
        <w:spacing w:before="100" w:after="100" w:line="360"/>
        <w:jc w:val="both"/>
      </w:pPr>
      <w:r>
        <w:rPr>
          <w:rFonts w:ascii="Arial" w:cs="Arial" w:eastAsia="Arial" w:hAnsi="Arial"/>
          <w:sz w:val="24"/>
          <w:szCs w:val="24"/>
        </w:rPr>
        <w:t xml:space="preserve">The prototype achieved a mean SUS score of 71.2 (SD=8.3), considered 'acceptable' but below the 'good' threshold of 80. Task completion rates exceeded 85% for common operations but dropped to 58% for complex tasks. Comparison of manual versus system records showed 87% reduction in arithmetic errors. Collaborative features maintaining social dynamics were as important as functional capabilities.</w:t>
      </w:r>
    </w:p>
    <w:p>
      <w:pPr>
        <w:spacing w:before="100" w:after="100" w:line="360"/>
        <w:jc w:val="both"/>
      </w:pPr>
      <w:r>
        <w:rPr>
          <w:rFonts w:ascii="Arial" w:cs="Arial" w:eastAsia="Arial" w:hAnsi="Arial"/>
          <w:b/>
          <w:bCs/>
          <w:sz w:val="24"/>
          <w:szCs w:val="24"/>
        </w:rPr>
        <w:t xml:space="preserve">Strengths:</w:t>
      </w:r>
    </w:p>
    <w:p>
      <w:pPr>
        <w:spacing w:before="100" w:after="100" w:line="360"/>
        <w:jc w:val="both"/>
      </w:pPr>
      <w:r>
        <w:rPr>
          <w:rFonts w:ascii="Arial" w:cs="Arial" w:eastAsia="Arial" w:hAnsi="Arial"/>
          <w:sz w:val="24"/>
          <w:szCs w:val="24"/>
        </w:rPr>
        <w:t xml:space="preserve">Strong participatory approach; quantitative usability metrics; recognition of social dynamics alongside functional requirements; context-appropriate focus on Kenyan groups.</w:t>
      </w:r>
    </w:p>
    <w:p>
      <w:pPr>
        <w:spacing w:before="100" w:after="100" w:line="360"/>
        <w:jc w:val="both"/>
      </w:pPr>
      <w:r>
        <w:rPr>
          <w:rFonts w:ascii="Arial" w:cs="Arial" w:eastAsia="Arial" w:hAnsi="Arial"/>
          <w:b/>
          <w:bCs/>
          <w:sz w:val="24"/>
          <w:szCs w:val="24"/>
        </w:rPr>
        <w:t xml:space="preserve">Limitations and Gaps:</w:t>
      </w:r>
    </w:p>
    <w:p>
      <w:pPr>
        <w:spacing w:before="100" w:after="100" w:line="360"/>
        <w:jc w:val="both"/>
      </w:pPr>
      <w:r>
        <w:rPr>
          <w:rFonts w:ascii="Arial" w:cs="Arial" w:eastAsia="Arial" w:hAnsi="Arial"/>
          <w:sz w:val="24"/>
          <w:szCs w:val="24"/>
        </w:rPr>
        <w:t xml:space="preserve">Android-only application excluded users with basic feature phones; required continuous connectivity for Firebase synchronisation; limited 4-week pilot with only 12 users; participants skewed younger and more educated; no web alternative explored.</w:t>
      </w:r>
    </w:p>
    <w:p>
      <w:pPr>
        <w:pStyle w:val="Heading3"/>
        <w:spacing w:before="200" w:after="120"/>
      </w:pPr>
      <w:r>
        <w:rPr>
          <w:rFonts w:ascii="Arial" w:cs="Arial" w:eastAsia="Arial" w:hAnsi="Arial"/>
          <w:b/>
          <w:bCs/>
          <w:color w:val="2E75B6"/>
          <w:sz w:val="26"/>
          <w:szCs w:val="26"/>
        </w:rPr>
        <w:t xml:space="preserve">2.3.2 Article 2: Gugerty (2007)</w:t>
      </w:r>
    </w:p>
    <w:p>
      <w:pPr>
        <w:spacing w:before="100" w:after="100" w:line="360"/>
        <w:jc w:val="both"/>
      </w:pPr>
      <w:r>
        <w:rPr>
          <w:rFonts w:ascii="Arial" w:cs="Arial" w:eastAsia="Arial" w:hAnsi="Arial"/>
          <w:b/>
          <w:bCs/>
          <w:sz w:val="24"/>
          <w:szCs w:val="24"/>
        </w:rPr>
        <w:t xml:space="preserve">Full Citation:</w:t>
      </w:r>
    </w:p>
    <w:p>
      <w:pPr>
        <w:spacing w:before="100" w:after="100" w:line="360"/>
        <w:jc w:val="both"/>
      </w:pPr>
      <w:r>
        <w:rPr>
          <w:rFonts w:ascii="Arial" w:cs="Arial" w:eastAsia="Arial" w:hAnsi="Arial"/>
          <w:sz w:val="24"/>
          <w:szCs w:val="24"/>
        </w:rPr>
        <w:t xml:space="preserve">Gugerty, M. K. (2007). You can't save alone: Commitment in rotating savings and credit associations in Kenya. Economic Development and Cultural Change, 55(2), 251–282.</w:t>
      </w:r>
    </w:p>
    <w:p>
      <w:pPr>
        <w:spacing w:before="100" w:after="100" w:line="360"/>
        <w:jc w:val="both"/>
      </w:pPr>
      <w:r>
        <w:rPr>
          <w:rFonts w:ascii="Arial" w:cs="Arial" w:eastAsia="Arial" w:hAnsi="Arial"/>
          <w:b/>
          <w:bCs/>
          <w:sz w:val="24"/>
          <w:szCs w:val="24"/>
        </w:rPr>
        <w:t xml:space="preserve">Study Focus and Methodology:</w:t>
      </w:r>
    </w:p>
    <w:p>
      <w:pPr>
        <w:spacing w:before="100" w:after="100" w:line="360"/>
        <w:jc w:val="both"/>
      </w:pPr>
      <w:r>
        <w:rPr>
          <w:rFonts w:ascii="Arial" w:cs="Arial" w:eastAsia="Arial" w:hAnsi="Arial"/>
          <w:sz w:val="24"/>
          <w:szCs w:val="24"/>
        </w:rPr>
        <w:t xml:space="preserve">This seminal article examines the economic logic and social mechanisms underlying ROSCAs in rural Kenya, surveying 192 ROSCA members across 24 groups using probit regression models and qualitative interviews.</w:t>
      </w:r>
    </w:p>
    <w:p>
      <w:pPr>
        <w:spacing w:before="100" w:after="100" w:line="360"/>
        <w:jc w:val="both"/>
      </w:pPr>
      <w:r>
        <w:rPr>
          <w:rFonts w:ascii="Arial" w:cs="Arial" w:eastAsia="Arial" w:hAnsi="Arial"/>
          <w:b/>
          <w:bCs/>
          <w:sz w:val="24"/>
          <w:szCs w:val="24"/>
        </w:rPr>
        <w:t xml:space="preserve">Key Findings:</w:t>
      </w:r>
    </w:p>
    <w:p>
      <w:pPr>
        <w:spacing w:before="100" w:after="100" w:line="360"/>
        <w:jc w:val="both"/>
      </w:pPr>
      <w:r>
        <w:rPr>
          <w:rFonts w:ascii="Arial" w:cs="Arial" w:eastAsia="Arial" w:hAnsi="Arial"/>
          <w:sz w:val="24"/>
          <w:szCs w:val="24"/>
        </w:rPr>
        <w:t xml:space="preserve">68% of respondents cited 'forced discipline' or 'guaranteed saving' as primary benefits. Social sanctions maintained near-zero default rates. Members valued the inflexibility of contribution schedules as a beneficial constraint rather than a limitation.</w:t>
      </w:r>
    </w:p>
    <w:p>
      <w:pPr>
        <w:spacing w:before="100" w:after="100" w:line="360"/>
        <w:jc w:val="both"/>
      </w:pPr>
      <w:r>
        <w:rPr>
          <w:rFonts w:ascii="Arial" w:cs="Arial" w:eastAsia="Arial" w:hAnsi="Arial"/>
          <w:b/>
          <w:bCs/>
          <w:sz w:val="24"/>
          <w:szCs w:val="24"/>
        </w:rPr>
        <w:t xml:space="preserve">Relevance to Current Project:</w:t>
      </w:r>
    </w:p>
    <w:p>
      <w:pPr>
        <w:spacing w:before="100" w:after="100" w:line="360"/>
        <w:jc w:val="both"/>
      </w:pPr>
      <w:r>
        <w:rPr>
          <w:rFonts w:ascii="Arial" w:cs="Arial" w:eastAsia="Arial" w:hAnsi="Arial"/>
          <w:sz w:val="24"/>
          <w:szCs w:val="24"/>
        </w:rPr>
        <w:t xml:space="preserve">Gugerty's findings on commitment mechanisms suggest digital systems must preserve beneficial rigidity and social visibility. Systems should maintain structural constraints while adding transparency and accuracy. Features that introduce excessive flexibility might inadvertently undermine the commitment value that makes these groups effective.</w:t>
      </w:r>
    </w:p>
    <w:p>
      <w:pPr>
        <w:pStyle w:val="Heading3"/>
        <w:spacing w:before="200" w:after="120"/>
      </w:pPr>
      <w:r>
        <w:rPr>
          <w:rFonts w:ascii="Arial" w:cs="Arial" w:eastAsia="Arial" w:hAnsi="Arial"/>
          <w:b/>
          <w:bCs/>
          <w:color w:val="2E75B6"/>
          <w:sz w:val="26"/>
          <w:szCs w:val="26"/>
        </w:rPr>
        <w:t xml:space="preserve">2.3.3 Article 3: Anderson and Baland (2002)</w:t>
      </w:r>
    </w:p>
    <w:p>
      <w:pPr>
        <w:spacing w:before="100" w:after="100" w:line="360"/>
        <w:jc w:val="both"/>
      </w:pPr>
      <w:r>
        <w:rPr>
          <w:rFonts w:ascii="Arial" w:cs="Arial" w:eastAsia="Arial" w:hAnsi="Arial"/>
          <w:b/>
          <w:bCs/>
          <w:sz w:val="24"/>
          <w:szCs w:val="24"/>
        </w:rPr>
        <w:t xml:space="preserve">Full Citation:</w:t>
      </w:r>
    </w:p>
    <w:p>
      <w:pPr>
        <w:spacing w:before="100" w:after="100" w:line="360"/>
        <w:jc w:val="both"/>
      </w:pPr>
      <w:r>
        <w:rPr>
          <w:rFonts w:ascii="Arial" w:cs="Arial" w:eastAsia="Arial" w:hAnsi="Arial"/>
          <w:sz w:val="24"/>
          <w:szCs w:val="24"/>
        </w:rPr>
        <w:t xml:space="preserve">Anderson, S., &amp; Baland, J. M. (2002). The economics of ROSCAs and intrahousehold resource allocation. The Quarterly Journal of Economics, 117(3), 963–995.</w:t>
      </w:r>
    </w:p>
    <w:p>
      <w:pPr>
        <w:spacing w:before="100" w:after="100" w:line="360"/>
        <w:jc w:val="both"/>
      </w:pPr>
      <w:r>
        <w:rPr>
          <w:rFonts w:ascii="Arial" w:cs="Arial" w:eastAsia="Arial" w:hAnsi="Arial"/>
          <w:b/>
          <w:bCs/>
          <w:sz w:val="24"/>
          <w:szCs w:val="24"/>
        </w:rPr>
        <w:t xml:space="preserve">Study Focus and Methodology:</w:t>
      </w:r>
    </w:p>
    <w:p>
      <w:pPr>
        <w:spacing w:before="100" w:after="100" w:line="360"/>
        <w:jc w:val="both"/>
      </w:pPr>
      <w:r>
        <w:rPr>
          <w:rFonts w:ascii="Arial" w:cs="Arial" w:eastAsia="Arial" w:hAnsi="Arial"/>
          <w:sz w:val="24"/>
          <w:szCs w:val="24"/>
        </w:rPr>
        <w:t xml:space="preserve">This influential paper examines ROSCAs through the lens of intrahousehold bargaining and gender economics, using game-theoretic models and empirical survey of 180 women in Kibera, Nairobi.</w:t>
      </w:r>
    </w:p>
    <w:p>
      <w:pPr>
        <w:spacing w:before="100" w:after="100" w:line="360"/>
        <w:jc w:val="both"/>
      </w:pPr>
      <w:r>
        <w:rPr>
          <w:rFonts w:ascii="Arial" w:cs="Arial" w:eastAsia="Arial" w:hAnsi="Arial"/>
          <w:b/>
          <w:bCs/>
          <w:sz w:val="24"/>
          <w:szCs w:val="24"/>
        </w:rPr>
        <w:t xml:space="preserve">Key Findings:</w:t>
      </w:r>
    </w:p>
    <w:p>
      <w:pPr>
        <w:spacing w:before="100" w:after="100" w:line="360"/>
        <w:jc w:val="both"/>
      </w:pPr>
      <w:r>
        <w:rPr>
          <w:rFonts w:ascii="Arial" w:cs="Arial" w:eastAsia="Arial" w:hAnsi="Arial"/>
          <w:sz w:val="24"/>
          <w:szCs w:val="24"/>
        </w:rPr>
        <w:t xml:space="preserve">ROSCAs help women protect savings from household pressure; 73% of participants were women despite women constituting 52% of the employed sample; participation increased with measures of intrahousehold conflict; ROSCAs complement rather than replace formal savings.</w:t>
      </w:r>
    </w:p>
    <w:p>
      <w:pPr>
        <w:spacing w:before="100" w:after="100" w:line="360"/>
        <w:jc w:val="both"/>
      </w:pPr>
      <w:r>
        <w:rPr>
          <w:rFonts w:ascii="Arial" w:cs="Arial" w:eastAsia="Arial" w:hAnsi="Arial"/>
          <w:b/>
          <w:bCs/>
          <w:sz w:val="24"/>
          <w:szCs w:val="24"/>
        </w:rPr>
        <w:t xml:space="preserve">Relevance to Current Project:</w:t>
      </w:r>
    </w:p>
    <w:p>
      <w:pPr>
        <w:spacing w:before="100" w:after="100" w:line="360"/>
        <w:jc w:val="both"/>
      </w:pPr>
      <w:r>
        <w:rPr>
          <w:rFonts w:ascii="Arial" w:cs="Arial" w:eastAsia="Arial" w:hAnsi="Arial"/>
          <w:sz w:val="24"/>
          <w:szCs w:val="24"/>
        </w:rPr>
        <w:t xml:space="preserve">Digital systems must recognise and preserve the strategic functions CSGs serve for women. Transparency features must be designed carefully to avoid inadvertently exposing members' savings to household pressures. The gender lens highlights the importance of inclusive design ensuring women with lower technological literacy can still benefit from digitisation.</w:t>
      </w:r>
    </w:p>
    <w:p>
      <w:pPr>
        <w:pStyle w:val="Heading3"/>
        <w:spacing w:before="200" w:after="120"/>
      </w:pPr>
      <w:r>
        <w:rPr>
          <w:rFonts w:ascii="Arial" w:cs="Arial" w:eastAsia="Arial" w:hAnsi="Arial"/>
          <w:b/>
          <w:bCs/>
          <w:color w:val="2E75B6"/>
          <w:sz w:val="26"/>
          <w:szCs w:val="26"/>
        </w:rPr>
        <w:t xml:space="preserve">2.3.4 Article 4: Muthinja and Chipeta (2018)</w:t>
      </w:r>
    </w:p>
    <w:p>
      <w:pPr>
        <w:spacing w:before="100" w:after="100" w:line="360"/>
        <w:jc w:val="both"/>
      </w:pPr>
      <w:r>
        <w:rPr>
          <w:rFonts w:ascii="Arial" w:cs="Arial" w:eastAsia="Arial" w:hAnsi="Arial"/>
          <w:b/>
          <w:bCs/>
          <w:sz w:val="24"/>
          <w:szCs w:val="24"/>
        </w:rPr>
        <w:t xml:space="preserve">Full Citation:</w:t>
      </w:r>
    </w:p>
    <w:p>
      <w:pPr>
        <w:spacing w:before="100" w:after="100" w:line="360"/>
        <w:jc w:val="both"/>
      </w:pPr>
      <w:r>
        <w:rPr>
          <w:rFonts w:ascii="Arial" w:cs="Arial" w:eastAsia="Arial" w:hAnsi="Arial"/>
          <w:sz w:val="24"/>
          <w:szCs w:val="24"/>
        </w:rPr>
        <w:t xml:space="preserve">Muthinja, M. M., &amp; Chipeta, C. (2018). What drives fintech adoption in Kenya? In Handbook of Blockchain, Digital Finance, and Inclusion, Volume 1 (pp. 109–125). Academic Press.</w:t>
      </w:r>
    </w:p>
    <w:p>
      <w:pPr>
        <w:spacing w:before="100" w:after="100" w:line="360"/>
        <w:jc w:val="both"/>
      </w:pPr>
      <w:r>
        <w:rPr>
          <w:rFonts w:ascii="Arial" w:cs="Arial" w:eastAsia="Arial" w:hAnsi="Arial"/>
          <w:b/>
          <w:bCs/>
          <w:sz w:val="24"/>
          <w:szCs w:val="24"/>
        </w:rPr>
        <w:t xml:space="preserve">Key Findings:</w:t>
      </w:r>
    </w:p>
    <w:p>
      <w:pPr>
        <w:spacing w:before="100" w:after="100" w:line="360"/>
        <w:jc w:val="both"/>
      </w:pPr>
      <w:r>
        <w:rPr>
          <w:rFonts w:ascii="Arial" w:cs="Arial" w:eastAsia="Arial" w:hAnsi="Arial"/>
          <w:sz w:val="24"/>
          <w:szCs w:val="24"/>
        </w:rPr>
        <w:t xml:space="preserve">M-Pesa's reach (29.4 million users by 2018) created foundational digital finance infrastructure. Smartphone penetration reached approximately 45% by 2018 with lower rates in rural areas. Kenya's light-touch regulatory approach fostered innovation. Established institutions enjoyed higher trust than startups. Physical agent networks bridged the digital-physical divide.</w:t>
      </w:r>
    </w:p>
    <w:p>
      <w:pPr>
        <w:spacing w:before="100" w:after="100" w:line="360"/>
        <w:jc w:val="both"/>
      </w:pPr>
      <w:r>
        <w:rPr>
          <w:rFonts w:ascii="Arial" w:cs="Arial" w:eastAsia="Arial" w:hAnsi="Arial"/>
          <w:b/>
          <w:bCs/>
          <w:sz w:val="24"/>
          <w:szCs w:val="24"/>
        </w:rPr>
        <w:t xml:space="preserve">Relevance to Current Project:</w:t>
      </w:r>
    </w:p>
    <w:p>
      <w:pPr>
        <w:spacing w:before="100" w:after="100" w:line="360"/>
        <w:jc w:val="both"/>
      </w:pPr>
      <w:r>
        <w:rPr>
          <w:rFonts w:ascii="Arial" w:cs="Arial" w:eastAsia="Arial" w:hAnsi="Arial"/>
          <w:sz w:val="24"/>
          <w:szCs w:val="24"/>
        </w:rPr>
        <w:t xml:space="preserve">Muthinja and Chipeta establish that Kenya possesses enabling conditions for CSG digitisation but highlight persistent barriers. The 45% smartphone penetration (even lower in rural areas) suggests web-based systems accessible from multiple device types may reach broader populations than Android-only apps. The importance of trust and physical support networks argues for implementation strategies including in-person training.</w:t>
      </w:r>
    </w:p>
    <w:p>
      <w:pPr>
        <w:pStyle w:val="Heading3"/>
        <w:spacing w:before="200" w:after="120"/>
      </w:pPr>
      <w:r>
        <w:rPr>
          <w:rFonts w:ascii="Arial" w:cs="Arial" w:eastAsia="Arial" w:hAnsi="Arial"/>
          <w:b/>
          <w:bCs/>
          <w:color w:val="2E75B6"/>
          <w:sz w:val="26"/>
          <w:szCs w:val="26"/>
        </w:rPr>
        <w:t xml:space="preserve">2.3.5 Article 5: Johnson, Malkamaki, and Wanjau (2006)</w:t>
      </w:r>
    </w:p>
    <w:p>
      <w:pPr>
        <w:spacing w:before="100" w:after="100" w:line="360"/>
        <w:jc w:val="both"/>
      </w:pPr>
      <w:r>
        <w:rPr>
          <w:rFonts w:ascii="Arial" w:cs="Arial" w:eastAsia="Arial" w:hAnsi="Arial"/>
          <w:b/>
          <w:bCs/>
          <w:sz w:val="24"/>
          <w:szCs w:val="24"/>
        </w:rPr>
        <w:t xml:space="preserve">Full Citation:</w:t>
      </w:r>
    </w:p>
    <w:p>
      <w:pPr>
        <w:spacing w:before="100" w:after="100" w:line="360"/>
        <w:jc w:val="both"/>
      </w:pPr>
      <w:r>
        <w:rPr>
          <w:rFonts w:ascii="Arial" w:cs="Arial" w:eastAsia="Arial" w:hAnsi="Arial"/>
          <w:sz w:val="24"/>
          <w:szCs w:val="24"/>
        </w:rPr>
        <w:t xml:space="preserve">Johnson, S., Malkamaki, M., &amp; Wanjau, K. (2006). Tackling the 'frontiers' of microfinance in Kenya: The role for decentralized services. Small Enterprise Development, 17(3), 41–53.</w:t>
      </w:r>
    </w:p>
    <w:p>
      <w:pPr>
        <w:spacing w:before="100" w:after="100" w:line="360"/>
        <w:jc w:val="both"/>
      </w:pPr>
      <w:r>
        <w:rPr>
          <w:rFonts w:ascii="Arial" w:cs="Arial" w:eastAsia="Arial" w:hAnsi="Arial"/>
          <w:b/>
          <w:bCs/>
          <w:sz w:val="24"/>
          <w:szCs w:val="24"/>
        </w:rPr>
        <w:t xml:space="preserve">Key Findings:</w:t>
      </w:r>
    </w:p>
    <w:p>
      <w:pPr>
        <w:spacing w:before="100" w:after="100" w:line="360"/>
        <w:jc w:val="both"/>
      </w:pPr>
      <w:r>
        <w:rPr>
          <w:rFonts w:ascii="Arial" w:cs="Arial" w:eastAsia="Arial" w:hAnsi="Arial"/>
          <w:sz w:val="24"/>
          <w:szCs w:val="24"/>
        </w:rPr>
        <w:t xml:space="preserve">Informal groups achieved high transparency through radical simplicity—all transactions public, conducted during meetings, immediately verified by all members. Groups maintained 99% repayment rates through social collateral. Informal groups operated at near-zero administrative cost through volunteer leadership.</w:t>
      </w:r>
    </w:p>
    <w:p>
      <w:pPr>
        <w:spacing w:before="100" w:after="100" w:line="360"/>
        <w:jc w:val="both"/>
      </w:pPr>
      <w:r>
        <w:rPr>
          <w:rFonts w:ascii="Arial" w:cs="Arial" w:eastAsia="Arial" w:hAnsi="Arial"/>
          <w:b/>
          <w:bCs/>
          <w:sz w:val="24"/>
          <w:szCs w:val="24"/>
        </w:rPr>
        <w:t xml:space="preserve">Relevance to Current Project:</w:t>
      </w:r>
    </w:p>
    <w:p>
      <w:pPr>
        <w:spacing w:before="100" w:after="100" w:line="360"/>
        <w:jc w:val="both"/>
      </w:pPr>
      <w:r>
        <w:rPr>
          <w:rFonts w:ascii="Arial" w:cs="Arial" w:eastAsia="Arial" w:hAnsi="Arial"/>
          <w:sz w:val="24"/>
          <w:szCs w:val="24"/>
        </w:rPr>
        <w:t xml:space="preserve">The lesson of simplicity and social transparency suggests digital systems should prioritise these attributes over sophisticated features. Transparency derives not from complex reporting capabilities but from making all transactions immediately visible and verifiable. Digital solutions should be free or extremely low-cost to maintain the fundamental sustainability advantage of informal systems.</w:t>
      </w:r>
    </w:p>
    <w:p>
      <w:pPr>
        <w:pStyle w:val="Heading3"/>
        <w:spacing w:before="200" w:after="120"/>
      </w:pPr>
      <w:r>
        <w:rPr>
          <w:rFonts w:ascii="Arial" w:cs="Arial" w:eastAsia="Arial" w:hAnsi="Arial"/>
          <w:b/>
          <w:bCs/>
          <w:color w:val="2E75B6"/>
          <w:sz w:val="26"/>
          <w:szCs w:val="26"/>
        </w:rPr>
        <w:t xml:space="preserve">2.3.6 Summary Table of Reviewed Articles</w:t>
      </w:r>
    </w:p>
    <w:p>
      <w:pPr>
        <w:spacing w:before="60" w:after="60"/>
      </w:pPr>
      <w:r>
        <w:t xml:space="preserve"/>
      </w:r>
    </w:p>
    <w:p>
      <w:pPr>
        <w:spacing w:before="80" w:after="80"/>
        <w:jc w:val="center"/>
      </w:pPr>
      <w:r>
        <w:rPr>
          <w:rFonts w:ascii="Arial" w:cs="Arial" w:eastAsia="Arial" w:hAnsi="Arial"/>
          <w:b/>
          <w:bCs/>
          <w:i/>
          <w:iCs/>
          <w:sz w:val="20"/>
          <w:szCs w:val="20"/>
        </w:rPr>
        <w:t xml:space="preserve">Table 1: Summary of Reviewed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2200"/>
        <w:gridCol w:w="18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Author(s) &amp; 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 / Focus</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Methodology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Findings</w:t>
            </w:r>
          </w:p>
        </w:tc>
        <w:tc>
          <w:tcPr>
            <w:tcW w:type="dxa" w:w="1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Gaps / Limitations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Chidziwisano et al. (2020)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 prototype for Kenyan CSGs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Participatory design, SUS evaluation, 4-week pilot (n=12)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87% error reduction; SUS 71.2; social features 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Android-only; constant internet required; small pilot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Gugerty (2007)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Commitment in ROSCAs in Kenya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Survey of 192 members (24 groups); probit regression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Commitment is primary motivation; social sanctions ensure near-zero defaults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Pre-digital era; limited discussion of record-keeping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Anderson &amp; Baland (2002)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Economics of ROSCAs &amp; intrahousehold resource allocation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Game-theoretic model + survey of 180 Kibera women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ROSCAs help women protect savings; complement formal banking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Pre-mobile era; urban sample; no digitisation discussion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Muthinja &amp; Chipeta (2018)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Drivers of fintech adoption in Kenya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FinAccess surveys 2006–2016; 25 executive interviews; case studies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M-Pesa ecosystem enabling; 45% smartphone penetration; trust and agents 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CSG-specific; more descriptive than causal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Johnson et al. (2006)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Frontiers of microfinance in Kenya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Case studies of 4 MFIs + 30 informal groups; cost-benefit modelling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Informal groups achieve transparency through simplicity; near-100% repayment via social collateral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Pre-smartphone era; focuses on lessons for formal MFIs rather than digitising informal groups</w:t>
            </w:r>
          </w:p>
        </w:tc>
      </w:tr>
    </w:tbl>
    <w:p>
      <w:pPr>
        <w:pStyle w:val="Heading2"/>
        <w:spacing w:before="280" w:after="160"/>
      </w:pPr>
      <w:r>
        <w:rPr>
          <w:rFonts w:ascii="Arial" w:cs="Arial" w:eastAsia="Arial" w:hAnsi="Arial"/>
          <w:b/>
          <w:bCs/>
          <w:color w:val="2E75B6"/>
          <w:sz w:val="28"/>
          <w:szCs w:val="28"/>
        </w:rPr>
        <w:t xml:space="preserve">2.4 Summary</w:t>
      </w:r>
    </w:p>
    <w:p>
      <w:pPr>
        <w:spacing w:before="100" w:after="100" w:line="360"/>
        <w:jc w:val="both"/>
      </w:pPr>
      <w:r>
        <w:rPr>
          <w:rFonts w:ascii="Arial" w:cs="Arial" w:eastAsia="Arial" w:hAnsi="Arial"/>
          <w:sz w:val="24"/>
          <w:szCs w:val="24"/>
        </w:rPr>
        <w:t xml:space="preserve">This literature review reveals several major findings and recurring themes that contextualise the current project within existing scholarship. Established theoretical frameworks (TAM, Diffusion of Innovations, UTAUT) provide robust foundations for understanding technology adoption in community financial organisations. Recent literature heavily emphasises mobile application solutions, with studies demonstrating feasibility but also revealing limitations around device dependency and connectivity requirements.</w:t>
      </w:r>
    </w:p>
    <w:p>
      <w:pPr>
        <w:spacing w:before="100" w:after="100" w:line="360"/>
        <w:jc w:val="both"/>
      </w:pPr>
      <w:r>
        <w:rPr>
          <w:rFonts w:ascii="Arial" w:cs="Arial" w:eastAsia="Arial" w:hAnsi="Arial"/>
          <w:sz w:val="24"/>
          <w:szCs w:val="24"/>
        </w:rPr>
        <w:t xml:space="preserve">Multiple studies emphasise that informal savings groups provide social and strategic functions beyond pure financial services. Successful digitisation must preserve these social elements—transparency, collective decision-making, mutual accountability. Women dominate CSG participation and derive specific benefits; digital systems must consciously address gender-specific barriers. Evidence from both theoretical work and practical implementations indicates effectiveness derives from radical simplicity and immediate transparency rather than sophisticated complexity. Persistent infrastructure challenges include intermittent connectivity in rural areas and limited smartphone penetration.</w:t>
      </w:r>
    </w:p>
    <w:p>
      <w:pPr>
        <w:pStyle w:val="Heading2"/>
        <w:spacing w:before="280" w:after="160"/>
      </w:pPr>
      <w:r>
        <w:rPr>
          <w:rFonts w:ascii="Arial" w:cs="Arial" w:eastAsia="Arial" w:hAnsi="Arial"/>
          <w:b/>
          <w:bCs/>
          <w:color w:val="2E75B6"/>
          <w:sz w:val="28"/>
          <w:szCs w:val="28"/>
        </w:rPr>
        <w:t xml:space="preserve">2.5 Research Gaps</w:t>
      </w:r>
    </w:p>
    <w:p>
      <w:pPr>
        <w:spacing w:before="100" w:after="100" w:line="360"/>
        <w:jc w:val="both"/>
      </w:pPr>
      <w:r>
        <w:rPr>
          <w:rFonts w:ascii="Arial" w:cs="Arial" w:eastAsia="Arial" w:hAnsi="Arial"/>
          <w:sz w:val="24"/>
          <w:szCs w:val="24"/>
        </w:rPr>
        <w:t xml:space="preserve">Despite the significant body of literature on informal savings groups and digital financial services in Kenya, several critical research gaps justify the current project:</w:t>
      </w:r>
    </w:p>
    <w:p>
      <w:pPr>
        <w:spacing w:before="100" w:after="100" w:line="360"/>
        <w:jc w:val="both"/>
      </w:pPr>
      <w:r>
        <w:rPr>
          <w:rFonts w:ascii="Arial" w:cs="Arial" w:eastAsia="Arial" w:hAnsi="Arial"/>
          <w:b/>
          <w:bCs/>
          <w:sz w:val="24"/>
          <w:szCs w:val="24"/>
        </w:rPr>
        <w:t xml:space="preserve">Gap 1: Platform Diversity — Web versus Mobile-Only Solutions</w:t>
      </w:r>
    </w:p>
    <w:p>
      <w:pPr>
        <w:spacing w:before="100" w:after="100" w:line="360"/>
        <w:jc w:val="both"/>
      </w:pPr>
      <w:r>
        <w:rPr>
          <w:rFonts w:ascii="Arial" w:cs="Arial" w:eastAsia="Arial" w:hAnsi="Arial"/>
          <w:sz w:val="24"/>
          <w:szCs w:val="24"/>
        </w:rPr>
        <w:t xml:space="preserve">The overwhelming majority of recent digitisation efforts focus exclusively on mobile applications, assuming smartphone ownership and literacy. Yet Kenya's digital landscape remains heterogeneous with substantial populations accessing internet via shared computers, feature phones, or intermittent smartphone access. No reviewed study examined web-based systems accessible from multiple device types.</w:t>
      </w:r>
    </w:p>
    <w:p>
      <w:pPr>
        <w:spacing w:before="100" w:after="100" w:line="360"/>
        <w:jc w:val="both"/>
      </w:pPr>
      <w:r>
        <w:rPr>
          <w:rFonts w:ascii="Arial" w:cs="Arial" w:eastAsia="Arial" w:hAnsi="Arial"/>
          <w:b/>
          <w:bCs/>
          <w:sz w:val="24"/>
          <w:szCs w:val="24"/>
        </w:rPr>
        <w:t xml:space="preserve">Gap 2: Offline Functionality and Intermittent Connectivity</w:t>
      </w:r>
    </w:p>
    <w:p>
      <w:pPr>
        <w:spacing w:before="100" w:after="100" w:line="360"/>
        <w:jc w:val="both"/>
      </w:pPr>
      <w:r>
        <w:rPr>
          <w:rFonts w:ascii="Arial" w:cs="Arial" w:eastAsia="Arial" w:hAnsi="Arial"/>
          <w:sz w:val="24"/>
          <w:szCs w:val="24"/>
        </w:rPr>
        <w:t xml:space="preserve">Most digital finance literature assumes continuous internet connectivity, yet many rural areas experience intermittent coverage. No reviewed study evaluated offline-capable designs with automatic synchronisation for groups meeting in areas with poor network coverage.</w:t>
      </w:r>
    </w:p>
    <w:p>
      <w:pPr>
        <w:spacing w:before="100" w:after="100" w:line="360"/>
        <w:jc w:val="both"/>
      </w:pPr>
      <w:r>
        <w:rPr>
          <w:rFonts w:ascii="Arial" w:cs="Arial" w:eastAsia="Arial" w:hAnsi="Arial"/>
          <w:b/>
          <w:bCs/>
          <w:sz w:val="24"/>
          <w:szCs w:val="24"/>
        </w:rPr>
        <w:t xml:space="preserve">Gap 3: Low-Literacy Interface Design</w:t>
      </w:r>
    </w:p>
    <w:p>
      <w:pPr>
        <w:spacing w:before="100" w:after="100" w:line="360"/>
        <w:jc w:val="both"/>
      </w:pPr>
      <w:r>
        <w:rPr>
          <w:rFonts w:ascii="Arial" w:cs="Arial" w:eastAsia="Arial" w:hAnsi="Arial"/>
          <w:sz w:val="24"/>
          <w:szCs w:val="24"/>
        </w:rPr>
        <w:t xml:space="preserve">While studies acknowledge the need for simple interfaces, specific design principles for low-literacy contexts receive limited systematic investigation. No reviewed study systematically evaluated alternative interface approaches with actual low-literacy CSG users.</w:t>
      </w:r>
    </w:p>
    <w:p>
      <w:pPr>
        <w:spacing w:before="100" w:after="100" w:line="360"/>
        <w:jc w:val="both"/>
      </w:pPr>
      <w:r>
        <w:rPr>
          <w:rFonts w:ascii="Arial" w:cs="Arial" w:eastAsia="Arial" w:hAnsi="Arial"/>
          <w:b/>
          <w:bCs/>
          <w:sz w:val="24"/>
          <w:szCs w:val="24"/>
        </w:rPr>
        <w:t xml:space="preserve">Gap 4: Comprehensive Lifecycle Management</w:t>
      </w:r>
    </w:p>
    <w:p>
      <w:pPr>
        <w:spacing w:before="100" w:after="100" w:line="360"/>
        <w:jc w:val="both"/>
      </w:pPr>
      <w:r>
        <w:rPr>
          <w:rFonts w:ascii="Arial" w:cs="Arial" w:eastAsia="Arial" w:hAnsi="Arial"/>
          <w:sz w:val="24"/>
          <w:szCs w:val="24"/>
        </w:rPr>
        <w:t xml:space="preserve">Many studies examine isolated functions rather than integrated systems supporting the complete financial lifecycle from member registration through contribution tracking, loan management, and comprehensive reporting.</w:t>
      </w:r>
    </w:p>
    <w:p>
      <w:pPr>
        <w:spacing w:before="100" w:after="100" w:line="360"/>
        <w:jc w:val="both"/>
      </w:pPr>
      <w:r>
        <w:rPr>
          <w:rFonts w:ascii="Arial" w:cs="Arial" w:eastAsia="Arial" w:hAnsi="Arial"/>
          <w:b/>
          <w:bCs/>
          <w:sz w:val="24"/>
          <w:szCs w:val="24"/>
        </w:rPr>
        <w:t xml:space="preserve">Gap 5: Longitudinal Adoption and Sustainability Studies</w:t>
      </w:r>
    </w:p>
    <w:p>
      <w:pPr>
        <w:spacing w:before="100" w:after="100" w:line="360"/>
        <w:jc w:val="both"/>
      </w:pPr>
      <w:r>
        <w:rPr>
          <w:rFonts w:ascii="Arial" w:cs="Arial" w:eastAsia="Arial" w:hAnsi="Arial"/>
          <w:sz w:val="24"/>
          <w:szCs w:val="24"/>
        </w:rPr>
        <w:t xml:space="preserve">Most studies report short-term pilots with limited evidence on long-term sustained usage. No reviewed study tracked digital system usage beyond six months or examined factors predicting sustained adoption versus abandonment.</w:t>
      </w:r>
    </w:p>
    <w:p>
      <w:pPr>
        <w:spacing w:before="100" w:after="100" w:line="360"/>
        <w:jc w:val="both"/>
      </w:pPr>
      <w:r>
        <w:rPr>
          <w:rFonts w:ascii="Arial" w:cs="Arial" w:eastAsia="Arial" w:hAnsi="Arial"/>
          <w:b/>
          <w:bCs/>
          <w:sz w:val="24"/>
          <w:szCs w:val="24"/>
        </w:rPr>
        <w:t xml:space="preserve">Gap 6: Cultural and Linguistic Contextualisation</w:t>
      </w:r>
    </w:p>
    <w:p>
      <w:pPr>
        <w:spacing w:before="100" w:after="100" w:line="360"/>
        <w:jc w:val="both"/>
      </w:pPr>
      <w:r>
        <w:rPr>
          <w:rFonts w:ascii="Arial" w:cs="Arial" w:eastAsia="Arial" w:hAnsi="Arial"/>
          <w:sz w:val="24"/>
          <w:szCs w:val="24"/>
        </w:rPr>
        <w:t xml:space="preserve">Most digital finance systems default to English interfaces, yet approximately 67% of Kenyans speak Swahili as first or second language. Few studies examine multilingual interfaces or culturally specific interface metaphors.</w:t>
      </w:r>
    </w:p>
    <w:p>
      <w:pPr>
        <w:spacing w:before="100" w:after="100" w:line="360"/>
        <w:jc w:val="both"/>
      </w:pPr>
      <w:r>
        <w:rPr>
          <w:rFonts w:ascii="Arial" w:cs="Arial" w:eastAsia="Arial" w:hAnsi="Arial"/>
          <w:b/>
          <w:bCs/>
          <w:sz w:val="24"/>
          <w:szCs w:val="24"/>
        </w:rPr>
        <w:t xml:space="preserve">Gap 7: Integration with Existing Infrastructure</w:t>
      </w:r>
    </w:p>
    <w:p>
      <w:pPr>
        <w:spacing w:before="100" w:after="100" w:line="360"/>
        <w:jc w:val="both"/>
      </w:pPr>
      <w:r>
        <w:rPr>
          <w:rFonts w:ascii="Arial" w:cs="Arial" w:eastAsia="Arial" w:hAnsi="Arial"/>
          <w:sz w:val="24"/>
          <w:szCs w:val="24"/>
        </w:rPr>
        <w:t xml:space="preserve">Research on integration between community savings group management systems and M-Pesa or banking APIs remains limited, leaving the potential for automated contribution verification unexplored.</w:t>
      </w:r>
    </w:p>
    <w:p>
      <w:pPr>
        <w:pStyle w:val="Heading2"/>
        <w:spacing w:before="280" w:after="160"/>
      </w:pPr>
      <w:r>
        <w:rPr>
          <w:rFonts w:ascii="Arial" w:cs="Arial" w:eastAsia="Arial" w:hAnsi="Arial"/>
          <w:b/>
          <w:bCs/>
          <w:color w:val="2E75B6"/>
          <w:sz w:val="28"/>
          <w:szCs w:val="28"/>
        </w:rPr>
        <w:t xml:space="preserve">2.6 Identified Research Gap</w:t>
      </w:r>
    </w:p>
    <w:p>
      <w:pPr>
        <w:spacing w:before="100" w:after="100" w:line="360"/>
        <w:jc w:val="both"/>
      </w:pPr>
      <w:r>
        <w:rPr>
          <w:rFonts w:ascii="Arial" w:cs="Arial" w:eastAsia="Arial" w:hAnsi="Arial"/>
          <w:sz w:val="24"/>
          <w:szCs w:val="24"/>
        </w:rPr>
        <w:t xml:space="preserve">Synthesising the specific gaps identified above, the overarching research gap this project addresses is: the absence of comprehensive, web-based, offline-capable, low-literacy-accessible digital record-keeping systems specifically designed for Kenyan community savings groups that integrate full financial workflows (member management, contributions, loans, reporting) while preserving essential social transparency mechanisms and accommodating infrastructure constraints (intermittent connectivity, diverse device access, limited technical support).</w:t>
      </w:r>
    </w:p>
    <w:p>
      <w:pPr>
        <w:spacing w:before="100" w:after="100" w:line="360"/>
        <w:jc w:val="both"/>
      </w:pPr>
      <w:r>
        <w:rPr>
          <w:rFonts w:ascii="Arial" w:cs="Arial" w:eastAsia="Arial" w:hAnsi="Arial"/>
          <w:sz w:val="24"/>
          <w:szCs w:val="24"/>
        </w:rPr>
        <w:t xml:space="preserve">This gap is significant because it represents a barrier to digital inclusion for the most vulnerable segments of CSG populations—rural groups, older members, less-educated treasurers—who could benefit most from error reduction and transparency but are excluded by current technology approaches.</w:t>
      </w:r>
    </w:p>
    <w:p>
      <w:pPr>
        <w:pStyle w:val="Heading2"/>
        <w:spacing w:before="280" w:after="160"/>
      </w:pPr>
      <w:r>
        <w:rPr>
          <w:rFonts w:ascii="Arial" w:cs="Arial" w:eastAsia="Arial" w:hAnsi="Arial"/>
          <w:b/>
          <w:bCs/>
          <w:color w:val="2E75B6"/>
          <w:sz w:val="28"/>
          <w:szCs w:val="28"/>
        </w:rPr>
        <w:t xml:space="preserve">2.7 Research Problem</w:t>
      </w:r>
    </w:p>
    <w:p>
      <w:pPr>
        <w:spacing w:before="100" w:after="100" w:line="360"/>
        <w:jc w:val="both"/>
      </w:pPr>
      <w:r>
        <w:rPr>
          <w:rFonts w:ascii="Arial" w:cs="Arial" w:eastAsia="Arial" w:hAnsi="Arial"/>
          <w:sz w:val="24"/>
          <w:szCs w:val="24"/>
        </w:rPr>
        <w:t xml:space="preserve">Kenyan informal savings groups continue to experience high rates of financial record disputes, group dissolution, and operational inefficiency due to persistent reliance on manual paper-based record-keeping, despite Kenya's advanced digital financial infrastructure. This persistence occurs because existing digital solutions—predominantly mobile applications requiring smartphones and continuous connectivity—fail to accommodate the diverse device access patterns, intermittent connectivity, varying technological literacy levels, and complete functional needs characteristic of typical community savings groups, particularly in rural areas where informal finance dependence is highest and formal alternatives are most limited.</w:t>
      </w:r>
    </w:p>
    <w:p>
      <w:pPr>
        <w:spacing w:before="100" w:after="100" w:line="360"/>
        <w:jc w:val="both"/>
      </w:pPr>
      <w:r>
        <w:rPr>
          <w:rFonts w:ascii="Arial" w:cs="Arial" w:eastAsia="Arial" w:hAnsi="Arial"/>
          <w:sz w:val="24"/>
          <w:szCs w:val="24"/>
        </w:rPr>
        <w:t xml:space="preserve">Specifically, the problem manifests as: continued high error rates in manual calculations (affecting approximately 15–20% of loan interest computations); record loss and dispute escalation affecting 10–15% of groups per year; limited transparency due to single-treasurer record control; scalability constraints preventing groups from expanding beyond 15–20 members; and technology adoption barriers with existing digital solutions achieving only 10–15% sustained adoption rates due to smartphone requirements, connectivity dependency, complexity, and incomplete functionality.</w:t>
      </w:r>
    </w:p>
    <w:p>
      <w:pPr>
        <w:spacing w:before="100" w:after="100" w:line="360"/>
        <w:jc w:val="both"/>
      </w:pPr>
      <w:r>
        <w:rPr>
          <w:rFonts w:ascii="Arial" w:cs="Arial" w:eastAsia="Arial" w:hAnsi="Arial"/>
          <w:sz w:val="24"/>
          <w:szCs w:val="24"/>
        </w:rPr>
        <w:t xml:space="preserve">This project addresses this problem by developing and evaluating a web-based digital record-keeping system specifically designed to overcome identified barriers—device-agnostic web access, low-literacy-focused interface design, comprehensive functional integration, and a free/low-cost sustainability model—while rigorously measuring effects on accuracy, efficiency, transparency, and user satisfaction.</w:t>
      </w:r>
    </w:p>
    <w:p>
      <w:pPr>
        <w:pStyle w:val="Heading2"/>
        <w:spacing w:before="280" w:after="160"/>
      </w:pPr>
      <w:r>
        <w:rPr>
          <w:rFonts w:ascii="Arial" w:cs="Arial" w:eastAsia="Arial" w:hAnsi="Arial"/>
          <w:b/>
          <w:bCs/>
          <w:color w:val="2E75B6"/>
          <w:sz w:val="28"/>
          <w:szCs w:val="28"/>
        </w:rPr>
        <w:t xml:space="preserve">References</w:t>
      </w:r>
    </w:p>
    <w:p>
      <w:pPr>
        <w:spacing w:before="100" w:after="100" w:line="360"/>
        <w:jc w:val="both"/>
      </w:pPr>
      <w:r>
        <w:rPr>
          <w:rFonts w:ascii="Arial" w:cs="Arial" w:eastAsia="Arial" w:hAnsi="Arial"/>
          <w:sz w:val="24"/>
          <w:szCs w:val="24"/>
        </w:rPr>
        <w:t xml:space="preserve">Anderson, S., &amp; Baland, J. M. (2002). The economics of ROSCAs and intrahousehold resource allocation. The Quarterly Journal of Economics, 117(3), 963–995.</w:t>
      </w:r>
    </w:p>
    <w:p>
      <w:pPr>
        <w:spacing w:before="100" w:after="100" w:line="360"/>
        <w:jc w:val="both"/>
      </w:pPr>
      <w:r>
        <w:rPr>
          <w:rFonts w:ascii="Arial" w:cs="Arial" w:eastAsia="Arial" w:hAnsi="Arial"/>
          <w:sz w:val="24"/>
          <w:szCs w:val="24"/>
        </w:rPr>
        <w:t xml:space="preserve">Central Bank of Kenya. (2024). 2024 FinAccess Household Survey Report. Nairobi: Central Bank of Kenya.</w:t>
      </w:r>
    </w:p>
    <w:p>
      <w:pPr>
        <w:spacing w:before="100" w:after="100" w:line="360"/>
        <w:jc w:val="both"/>
      </w:pPr>
      <w:r>
        <w:rPr>
          <w:rFonts w:ascii="Arial" w:cs="Arial" w:eastAsia="Arial" w:hAnsi="Arial"/>
          <w:sz w:val="24"/>
          <w:szCs w:val="24"/>
        </w:rPr>
        <w:t xml:space="preserve">Chidziwisano, K., Namangale, J., &amp; Kumwenda, T. (2020). Design and evaluation of a mobile prototype application for community savings groups in Kenya. In Proceedings of the 2020 IST-Africa Conference. IEEE.</w:t>
      </w:r>
    </w:p>
    <w:p>
      <w:pPr>
        <w:spacing w:before="100" w:after="100" w:line="360"/>
        <w:jc w:val="both"/>
      </w:pPr>
      <w:r>
        <w:rPr>
          <w:rFonts w:ascii="Arial" w:cs="Arial" w:eastAsia="Arial" w:hAnsi="Arial"/>
          <w:sz w:val="24"/>
          <w:szCs w:val="24"/>
        </w:rPr>
        <w:t xml:space="preserve">Davis, F. D. (1989). Perceived usefulness, perceived ease of use, and user acceptance of information technology. MIS Quarterly, 13(3), 319–340.</w:t>
      </w:r>
    </w:p>
    <w:p>
      <w:pPr>
        <w:spacing w:before="100" w:after="100" w:line="360"/>
        <w:jc w:val="both"/>
      </w:pPr>
      <w:r>
        <w:rPr>
          <w:rFonts w:ascii="Arial" w:cs="Arial" w:eastAsia="Arial" w:hAnsi="Arial"/>
          <w:sz w:val="24"/>
          <w:szCs w:val="24"/>
        </w:rPr>
        <w:t xml:space="preserve">GSMA. (2023). The Mobile Economy: Sub-Saharan Africa 2023. GSMA Intelligence.</w:t>
      </w:r>
    </w:p>
    <w:p>
      <w:pPr>
        <w:spacing w:before="100" w:after="100" w:line="360"/>
        <w:jc w:val="both"/>
      </w:pPr>
      <w:r>
        <w:rPr>
          <w:rFonts w:ascii="Arial" w:cs="Arial" w:eastAsia="Arial" w:hAnsi="Arial"/>
          <w:sz w:val="24"/>
          <w:szCs w:val="24"/>
        </w:rPr>
        <w:t xml:space="preserve">Gugerty, M. K. (2007). You can't save alone: Commitment in rotating savings and credit associations in Kenya. Economic Development and Cultural Change, 55(2), 251–282.</w:t>
      </w:r>
    </w:p>
    <w:p>
      <w:pPr>
        <w:spacing w:before="100" w:after="100" w:line="360"/>
        <w:jc w:val="both"/>
      </w:pPr>
      <w:r>
        <w:rPr>
          <w:rFonts w:ascii="Arial" w:cs="Arial" w:eastAsia="Arial" w:hAnsi="Arial"/>
          <w:sz w:val="24"/>
          <w:szCs w:val="24"/>
        </w:rPr>
        <w:t xml:space="preserve">Johnson, S., Malkamaki, M., &amp; Wanjau, K. (2006). Tackling the 'frontiers' of microfinance in Kenya: The role for decentralized services. Small Enterprise Development, 17(3), 41–53.</w:t>
      </w:r>
    </w:p>
    <w:p>
      <w:pPr>
        <w:spacing w:before="100" w:after="100" w:line="360"/>
        <w:jc w:val="both"/>
      </w:pPr>
      <w:r>
        <w:rPr>
          <w:rFonts w:ascii="Arial" w:cs="Arial" w:eastAsia="Arial" w:hAnsi="Arial"/>
          <w:sz w:val="24"/>
          <w:szCs w:val="24"/>
        </w:rPr>
        <w:t xml:space="preserve">Mbiti, I., &amp; Weil, D. N. (2011). Mobile banking: The impact of M-Pesa in Kenya. NBER Working Paper No. 17129.</w:t>
      </w:r>
    </w:p>
    <w:p>
      <w:pPr>
        <w:spacing w:before="100" w:after="100" w:line="360"/>
        <w:jc w:val="both"/>
      </w:pPr>
      <w:r>
        <w:rPr>
          <w:rFonts w:ascii="Arial" w:cs="Arial" w:eastAsia="Arial" w:hAnsi="Arial"/>
          <w:sz w:val="24"/>
          <w:szCs w:val="24"/>
        </w:rPr>
        <w:t xml:space="preserve">Muthinja, M. M., &amp; Chipeta, C. (2018). What drives fintech adoption in Kenya? In Handbook of Blockchain, Digital Finance, and Inclusion, Volume 1 (pp. 109–125). Academic Press.</w:t>
      </w:r>
    </w:p>
    <w:p>
      <w:pPr>
        <w:spacing w:before="100" w:after="100" w:line="360"/>
        <w:jc w:val="both"/>
      </w:pPr>
      <w:r>
        <w:rPr>
          <w:rFonts w:ascii="Arial" w:cs="Arial" w:eastAsia="Arial" w:hAnsi="Arial"/>
          <w:sz w:val="24"/>
          <w:szCs w:val="24"/>
        </w:rPr>
        <w:t xml:space="preserve">Rogers, E. M. (2003). Diffusion of innovations (5th ed.). Free Press.</w:t>
      </w:r>
    </w:p>
    <w:p>
      <w:pPr>
        <w:spacing w:before="100" w:after="100" w:line="360"/>
        <w:jc w:val="both"/>
      </w:pPr>
      <w:r>
        <w:rPr>
          <w:rFonts w:ascii="Arial" w:cs="Arial" w:eastAsia="Arial" w:hAnsi="Arial"/>
          <w:sz w:val="24"/>
          <w:szCs w:val="24"/>
        </w:rPr>
        <w:t xml:space="preserve">Venkatesh, V., &amp; Bala, H. (2008). Technology acceptance model 3 and a research agenda on interventions. Decision Sciences, 39(2), 273–315.</w:t>
      </w:r>
    </w:p>
    <w:p>
      <w:pPr>
        <w:spacing w:before="100" w:after="100" w:line="360"/>
        <w:jc w:val="both"/>
      </w:pPr>
      <w:r>
        <w:rPr>
          <w:rFonts w:ascii="Arial" w:cs="Arial" w:eastAsia="Arial" w:hAnsi="Arial"/>
          <w:sz w:val="24"/>
          <w:szCs w:val="24"/>
        </w:rPr>
        <w:t xml:space="preserve">Venkatesh, V., &amp; Davis, F. D. (2000). A theoretical extension of the technology acceptance model: Four longitudinal field studies. Management Science, 46(2), 186–204.</w:t>
      </w:r>
    </w:p>
    <w:p>
      <w:pPr>
        <w:spacing w:before="100" w:after="100" w:line="360"/>
        <w:jc w:val="both"/>
      </w:pPr>
      <w:r>
        <w:rPr>
          <w:rFonts w:ascii="Arial" w:cs="Arial" w:eastAsia="Arial" w:hAnsi="Arial"/>
          <w:sz w:val="24"/>
          <w:szCs w:val="24"/>
        </w:rPr>
        <w:t xml:space="preserve">Venkatesh, V., Morris, M. G., Davis, G. B., &amp; Davis, F. D. (2003). User acceptance of information technology: Toward a unified view. MIS Quarterly, 27(3), 425–478.</w:t>
      </w:r>
    </w:p>
    <w:p>
      <w:pPr>
        <w:sectPr>
          <w:footerReference w:type="default" r:id="rId8"/>
          <w:pgSz w:w="12240" w:h="15840" w:orient="portrait"/>
          <w:pgMar w:top="1440" w:right="1440" w:bottom="1440" w:left="1440" w:header="708" w:footer="708" w:gutter="0"/>
          <w:pgNumType/>
          <w:docGrid w:linePitch="360"/>
        </w:sectPr>
      </w:pPr>
    </w:p>
    <w:p>
      <w:pPr>
        <w:pStyle w:val="Heading1"/>
        <w:pageBreakBefore/>
        <w:spacing w:before="0" w:after="240"/>
      </w:pPr>
      <w:r>
        <w:rPr>
          <w:rFonts w:ascii="Arial" w:cs="Arial" w:eastAsia="Arial" w:hAnsi="Arial"/>
          <w:b/>
          <w:bCs/>
          <w:color w:val="1F3864"/>
          <w:sz w:val="32"/>
          <w:szCs w:val="32"/>
        </w:rPr>
        <w:t xml:space="preserve">CHAPTER 3: SYSTEM ANALYSIS AND DESIGN</w:t>
      </w:r>
    </w:p>
    <w:p>
      <w:pPr>
        <w:pStyle w:val="Heading2"/>
        <w:spacing w:before="280" w:after="160"/>
      </w:pPr>
      <w:r>
        <w:rPr>
          <w:rFonts w:ascii="Arial" w:cs="Arial" w:eastAsia="Arial" w:hAnsi="Arial"/>
          <w:b/>
          <w:bCs/>
          <w:color w:val="2E75B6"/>
          <w:sz w:val="28"/>
          <w:szCs w:val="28"/>
        </w:rPr>
        <w:t xml:space="preserve">3.1 Introduction</w:t>
      </w:r>
    </w:p>
    <w:p>
      <w:pPr>
        <w:spacing w:before="100" w:after="100" w:line="360"/>
        <w:jc w:val="both"/>
      </w:pPr>
      <w:r>
        <w:rPr>
          <w:rFonts w:ascii="Arial" w:cs="Arial" w:eastAsia="Arial" w:hAnsi="Arial"/>
          <w:sz w:val="24"/>
          <w:szCs w:val="24"/>
        </w:rPr>
        <w:t xml:space="preserve">This chapter presents a comprehensive analysis and design of the Community Savings Group Digital Record-Keeping System (hereafter referred to as the Community Savings System or CSS). It documents the systematic process through which the researchers gathered user requirements, analysed the current operational environment, and translated findings into a coherent technical design capable of addressing the problems identified in the preceding chapters.</w:t>
      </w:r>
    </w:p>
    <w:p>
      <w:pPr>
        <w:spacing w:before="100" w:after="100" w:line="360"/>
        <w:jc w:val="both"/>
      </w:pPr>
      <w:r>
        <w:rPr>
          <w:rFonts w:ascii="Arial" w:cs="Arial" w:eastAsia="Arial" w:hAnsi="Arial"/>
          <w:sz w:val="24"/>
          <w:szCs w:val="24"/>
        </w:rPr>
        <w:t xml:space="preserve">The chapter begins by describing the Systems Development Methodology adopted for the project, followed by a feasibility assessment evaluating the viability of the proposed solution. Requirements elicitation is then detailed, including the data collection instruments used, how they were administered, and an analysis of the findings obtained. The chapter proceeds to define the system specifications, encompassing both functional and non-functional requirements, before presenting the complete system design in terms of logical and physical architecture, data design, process design, and interface design.</w:t>
      </w:r>
    </w:p>
    <w:p>
      <w:pPr>
        <w:spacing w:before="100" w:after="100" w:line="360"/>
        <w:jc w:val="both"/>
      </w:pPr>
      <w:r>
        <w:rPr>
          <w:rFonts w:ascii="Arial" w:cs="Arial" w:eastAsia="Arial" w:hAnsi="Arial"/>
          <w:sz w:val="24"/>
          <w:szCs w:val="24"/>
        </w:rPr>
        <w:t xml:space="preserve">All design decisions presented in this chapter are grounded in the data collected from community savings group officials and members, ensuring that the resulting system is a practical solution informed by real-world needs and constraints. The design reflects the actual implementation—a Laravel 10 application with PHP 8.2, SQLite/MySQL, Blade templating, and Tailwind CSS—derived from the codebase developed for this project.</w:t>
      </w:r>
    </w:p>
    <w:p>
      <w:pPr>
        <w:pStyle w:val="Heading2"/>
        <w:spacing w:before="280" w:after="160"/>
      </w:pPr>
      <w:r>
        <w:rPr>
          <w:rFonts w:ascii="Arial" w:cs="Arial" w:eastAsia="Arial" w:hAnsi="Arial"/>
          <w:b/>
          <w:bCs/>
          <w:color w:val="2E75B6"/>
          <w:sz w:val="28"/>
          <w:szCs w:val="28"/>
        </w:rPr>
        <w:t xml:space="preserve">3.2 Systems Development Methodology</w:t>
      </w:r>
    </w:p>
    <w:p>
      <w:pPr>
        <w:spacing w:before="100" w:after="100" w:line="360"/>
        <w:jc w:val="both"/>
      </w:pPr>
      <w:r>
        <w:rPr>
          <w:rFonts w:ascii="Arial" w:cs="Arial" w:eastAsia="Arial" w:hAnsi="Arial"/>
          <w:sz w:val="24"/>
          <w:szCs w:val="24"/>
        </w:rPr>
        <w:t xml:space="preserve">The development of the Community Savings System follows the Software Development Life Cycle (SDLC) framework, specifically employing the Waterfall model as its guiding process. The Waterfall model was selected because the project requirements, though complex, were sufficiently well understood at the outset through preliminary stakeholder engagement to permit a structured, sequential approach. Its clearly defined phases and milestone-based checkpoints make it particularly suitable for an academic project with fixed timelines and a defined scope.</w:t>
      </w:r>
    </w:p>
    <w:p>
      <w:pPr>
        <w:spacing w:before="100" w:after="100" w:line="360"/>
        <w:jc w:val="both"/>
      </w:pPr>
      <w:r>
        <w:rPr>
          <w:rFonts w:ascii="Arial" w:cs="Arial" w:eastAsia="Arial" w:hAnsi="Arial"/>
          <w:sz w:val="24"/>
          <w:szCs w:val="24"/>
        </w:rPr>
        <w:t xml:space="preserve">The SDLC Waterfall model proceeds through the following sequential phases:</w:t>
      </w:r>
    </w:p>
    <w:p>
      <w:pPr>
        <w:pStyle w:val="ListParagraph"/>
        <w:numPr>
          <w:ilvl w:val="0"/>
          <w:numId w:val="2"/>
        </w:numPr>
        <w:spacing w:before="60" w:after="60" w:line="320"/>
      </w:pPr>
      <w:r>
        <w:rPr>
          <w:rFonts w:ascii="Arial" w:cs="Arial" w:eastAsia="Arial" w:hAnsi="Arial"/>
          <w:sz w:val="24"/>
          <w:szCs w:val="24"/>
        </w:rPr>
        <w:t xml:space="preserve">Requirements Analysis: Gathering and documenting user and system requirements through questionnaires, stakeholder consultation, and review of existing manual processes.</w:t>
      </w:r>
    </w:p>
    <w:p>
      <w:pPr>
        <w:pStyle w:val="ListParagraph"/>
        <w:numPr>
          <w:ilvl w:val="0"/>
          <w:numId w:val="2"/>
        </w:numPr>
        <w:spacing w:before="60" w:after="60" w:line="320"/>
      </w:pPr>
      <w:r>
        <w:rPr>
          <w:rFonts w:ascii="Arial" w:cs="Arial" w:eastAsia="Arial" w:hAnsi="Arial"/>
          <w:sz w:val="24"/>
          <w:szCs w:val="24"/>
        </w:rPr>
        <w:t xml:space="preserve">System Design: Translating requirements into a detailed technical blueprint including database schema, process flows, interface wireframes, and system architecture.</w:t>
      </w:r>
    </w:p>
    <w:p>
      <w:pPr>
        <w:pStyle w:val="ListParagraph"/>
        <w:numPr>
          <w:ilvl w:val="0"/>
          <w:numId w:val="2"/>
        </w:numPr>
        <w:spacing w:before="60" w:after="60" w:line="320"/>
      </w:pPr>
      <w:r>
        <w:rPr>
          <w:rFonts w:ascii="Arial" w:cs="Arial" w:eastAsia="Arial" w:hAnsi="Arial"/>
          <w:sz w:val="24"/>
          <w:szCs w:val="24"/>
        </w:rPr>
        <w:t xml:space="preserve">Implementation (Code Generation): Converting design artefacts into functional source code using Laravel 10, PHP 8.2, SQLite/MySQL, Blade, and Tailwind CSS.</w:t>
      </w:r>
    </w:p>
    <w:p>
      <w:pPr>
        <w:pStyle w:val="ListParagraph"/>
        <w:numPr>
          <w:ilvl w:val="0"/>
          <w:numId w:val="2"/>
        </w:numPr>
        <w:spacing w:before="60" w:after="60" w:line="320"/>
      </w:pPr>
      <w:r>
        <w:rPr>
          <w:rFonts w:ascii="Arial" w:cs="Arial" w:eastAsia="Arial" w:hAnsi="Arial"/>
          <w:sz w:val="24"/>
          <w:szCs w:val="24"/>
        </w:rPr>
        <w:t xml:space="preserve">Testing: Subjecting the implemented system to systematic verification and validation tests to ensure correctness, reliability, and usability.</w:t>
      </w:r>
    </w:p>
    <w:p>
      <w:pPr>
        <w:pStyle w:val="ListParagraph"/>
        <w:numPr>
          <w:ilvl w:val="0"/>
          <w:numId w:val="2"/>
        </w:numPr>
        <w:spacing w:before="60" w:after="60" w:line="320"/>
      </w:pPr>
      <w:r>
        <w:rPr>
          <w:rFonts w:ascii="Arial" w:cs="Arial" w:eastAsia="Arial" w:hAnsi="Arial"/>
          <w:sz w:val="24"/>
          <w:szCs w:val="24"/>
        </w:rPr>
        <w:t xml:space="preserve">Deployment: Installing the system in a production-ready environment and conducting final user acceptance evaluation.</w:t>
      </w:r>
    </w:p>
    <w:p>
      <w:pPr>
        <w:pStyle w:val="ListParagraph"/>
        <w:numPr>
          <w:ilvl w:val="0"/>
          <w:numId w:val="2"/>
        </w:numPr>
        <w:spacing w:before="60" w:after="60" w:line="320"/>
      </w:pPr>
      <w:r>
        <w:rPr>
          <w:rFonts w:ascii="Arial" w:cs="Arial" w:eastAsia="Arial" w:hAnsi="Arial"/>
          <w:sz w:val="24"/>
          <w:szCs w:val="24"/>
        </w:rPr>
        <w:t xml:space="preserve">Maintenance: Addressing defects identified post-deployment and implementing recommended enhancements.</w:t>
      </w:r>
    </w:p>
    <w:p>
      <w:pPr>
        <w:pStyle w:val="Heading2"/>
        <w:spacing w:before="280" w:after="160"/>
      </w:pPr>
      <w:r>
        <w:rPr>
          <w:rFonts w:ascii="Arial" w:cs="Arial" w:eastAsia="Arial" w:hAnsi="Arial"/>
          <w:b/>
          <w:bCs/>
          <w:color w:val="2E75B6"/>
          <w:sz w:val="28"/>
          <w:szCs w:val="28"/>
        </w:rPr>
        <w:t xml:space="preserve">3.3 Feasibility Study</w:t>
      </w:r>
    </w:p>
    <w:p>
      <w:pPr>
        <w:pStyle w:val="Heading3"/>
        <w:spacing w:before="200" w:after="120"/>
      </w:pPr>
      <w:r>
        <w:rPr>
          <w:rFonts w:ascii="Arial" w:cs="Arial" w:eastAsia="Arial" w:hAnsi="Arial"/>
          <w:b/>
          <w:bCs/>
          <w:color w:val="2E75B6"/>
          <w:sz w:val="26"/>
          <w:szCs w:val="26"/>
        </w:rPr>
        <w:t xml:space="preserve">3.3.1 Technical Feasibility</w:t>
      </w:r>
    </w:p>
    <w:p>
      <w:pPr>
        <w:spacing w:before="100" w:after="100" w:line="360"/>
        <w:jc w:val="both"/>
      </w:pPr>
      <w:r>
        <w:rPr>
          <w:rFonts w:ascii="Arial" w:cs="Arial" w:eastAsia="Arial" w:hAnsi="Arial"/>
          <w:sz w:val="24"/>
          <w:szCs w:val="24"/>
        </w:rPr>
        <w:t xml:space="preserve">The technology stack selected for this project—Laravel 10 (PHP 8.2), SQLite/MySQL, Blade templating, Tailwind CSS, and JavaScript—comprises mature, widely supported, and well-documented technologies. The development team possesses the requisite proficiency in these technologies. Web hosting infrastructure capable of supporting Laravel is abundantly available; the system can also run locally using PHP's built-in server (php -S 127.0.0.1:8000) without additional web server installation. Technical feasibility is confirmed.</w:t>
      </w:r>
    </w:p>
    <w:p>
      <w:pPr>
        <w:pStyle w:val="Heading3"/>
        <w:spacing w:before="200" w:after="120"/>
      </w:pPr>
      <w:r>
        <w:rPr>
          <w:rFonts w:ascii="Arial" w:cs="Arial" w:eastAsia="Arial" w:hAnsi="Arial"/>
          <w:b/>
          <w:bCs/>
          <w:color w:val="2E75B6"/>
          <w:sz w:val="26"/>
          <w:szCs w:val="26"/>
        </w:rPr>
        <w:t xml:space="preserve">3.3.2 Economic Feasibility</w:t>
      </w:r>
    </w:p>
    <w:p>
      <w:pPr>
        <w:spacing w:before="100" w:after="100" w:line="360"/>
        <w:jc w:val="both"/>
      </w:pPr>
      <w:r>
        <w:rPr>
          <w:rFonts w:ascii="Arial" w:cs="Arial" w:eastAsia="Arial" w:hAnsi="Arial"/>
          <w:sz w:val="24"/>
          <w:szCs w:val="24"/>
        </w:rPr>
        <w:t xml:space="preserve">The system is being developed as an academic project with no external development cost. When deployed to community savings groups, it can be hosted on low-cost shared hosting plans typically costing between KES 2,000 and KES 5,000 per year. This is substantially lower than the cost of the disputes, record losses, and time inefficiencies attributed to manual systems. Economic feasibility is confirmed.</w:t>
      </w:r>
    </w:p>
    <w:p>
      <w:pPr>
        <w:pStyle w:val="Heading3"/>
        <w:spacing w:before="200" w:after="120"/>
      </w:pPr>
      <w:r>
        <w:rPr>
          <w:rFonts w:ascii="Arial" w:cs="Arial" w:eastAsia="Arial" w:hAnsi="Arial"/>
          <w:b/>
          <w:bCs/>
          <w:color w:val="2E75B6"/>
          <w:sz w:val="26"/>
          <w:szCs w:val="26"/>
        </w:rPr>
        <w:t xml:space="preserve">3.3.3 Operational Feasibility</w:t>
      </w:r>
    </w:p>
    <w:p>
      <w:pPr>
        <w:spacing w:before="100" w:after="100" w:line="360"/>
        <w:jc w:val="both"/>
      </w:pPr>
      <w:r>
        <w:rPr>
          <w:rFonts w:ascii="Arial" w:cs="Arial" w:eastAsia="Arial" w:hAnsi="Arial"/>
          <w:sz w:val="24"/>
          <w:szCs w:val="24"/>
        </w:rPr>
        <w:t xml:space="preserve">Findings from the requirements elicitation phase indicate strong willingness among group officials to adopt a digital solution—90% of respondents agreed or strongly agreed with the need for such a system. The system is web-based, requiring no complex installation on end-user devices, and is accessible from any modern browser. Initial training for group officials is estimated at two to three hours. Operational feasibility is confirmed.</w:t>
      </w:r>
    </w:p>
    <w:p>
      <w:pPr>
        <w:pStyle w:val="Heading3"/>
        <w:spacing w:before="200" w:after="120"/>
      </w:pPr>
      <w:r>
        <w:rPr>
          <w:rFonts w:ascii="Arial" w:cs="Arial" w:eastAsia="Arial" w:hAnsi="Arial"/>
          <w:b/>
          <w:bCs/>
          <w:color w:val="2E75B6"/>
          <w:sz w:val="26"/>
          <w:szCs w:val="26"/>
        </w:rPr>
        <w:t xml:space="preserve">3.3.4 Schedule Feasibility</w:t>
      </w:r>
    </w:p>
    <w:p>
      <w:pPr>
        <w:spacing w:before="100" w:after="100" w:line="360"/>
        <w:jc w:val="both"/>
      </w:pPr>
      <w:r>
        <w:rPr>
          <w:rFonts w:ascii="Arial" w:cs="Arial" w:eastAsia="Arial" w:hAnsi="Arial"/>
          <w:sz w:val="24"/>
          <w:szCs w:val="24"/>
        </w:rPr>
        <w:t xml:space="preserve">The project has been scoped to fit within the eight-month academic project timeframe. The three-member development team, defined scope, and choice of Laravel (which provides scaffolding that accelerates development) make the schedule achievable. Schedule feasibility is confirmed.</w:t>
      </w:r>
    </w:p>
    <w:p>
      <w:pPr>
        <w:pStyle w:val="Heading2"/>
        <w:spacing w:before="280" w:after="160"/>
      </w:pPr>
      <w:r>
        <w:rPr>
          <w:rFonts w:ascii="Arial" w:cs="Arial" w:eastAsia="Arial" w:hAnsi="Arial"/>
          <w:b/>
          <w:bCs/>
          <w:color w:val="2E75B6"/>
          <w:sz w:val="28"/>
          <w:szCs w:val="28"/>
        </w:rPr>
        <w:t xml:space="preserve">3.4 Requirements Elicitation</w:t>
      </w:r>
    </w:p>
    <w:p>
      <w:pPr>
        <w:pStyle w:val="Heading3"/>
        <w:spacing w:before="200" w:after="120"/>
      </w:pPr>
      <w:r>
        <w:rPr>
          <w:rFonts w:ascii="Arial" w:cs="Arial" w:eastAsia="Arial" w:hAnsi="Arial"/>
          <w:b/>
          <w:bCs/>
          <w:color w:val="2E75B6"/>
          <w:sz w:val="26"/>
          <w:szCs w:val="26"/>
        </w:rPr>
        <w:t xml:space="preserve">3.4.1 Data Collection Instrument</w:t>
      </w:r>
    </w:p>
    <w:p>
      <w:pPr>
        <w:spacing w:before="100" w:after="100" w:line="360"/>
        <w:jc w:val="both"/>
      </w:pPr>
      <w:r>
        <w:rPr>
          <w:rFonts w:ascii="Arial" w:cs="Arial" w:eastAsia="Arial" w:hAnsi="Arial"/>
          <w:sz w:val="24"/>
          <w:szCs w:val="24"/>
        </w:rPr>
        <w:t xml:space="preserve">The primary data collection instrument employed was a structured questionnaire. The questionnaire was chosen because it allows systematic collection of data from a geographically distributed population in a standardised format, facilitating quantitative analysis. Additionally, questionnaires reduce interviewer bias and allow respondents to answer at their own pace, which is particularly appropriate when targeting busy community savings group officials who serve on a voluntary basis.</w:t>
      </w:r>
    </w:p>
    <w:p>
      <w:pPr>
        <w:spacing w:before="100" w:after="100" w:line="360"/>
        <w:jc w:val="both"/>
      </w:pPr>
      <w:r>
        <w:rPr>
          <w:rFonts w:ascii="Arial" w:cs="Arial" w:eastAsia="Arial" w:hAnsi="Arial"/>
          <w:sz w:val="24"/>
          <w:szCs w:val="24"/>
        </w:rPr>
        <w:t xml:space="preserve">The questionnaire was developed in three stages. In the first stage, the research team reviewed the problem statement and specific objectives to identify the information domains requiring investigation. In the second stage, a draft was prepared and subjected to peer review, then reviewed and approved by the project supervisor, Mr. Kennedy Abwao, before administration. In the third stage, minor revisions were made based on supervisor feedback. The approved questionnaire is attached as Appendix A.</w:t>
      </w:r>
    </w:p>
    <w:p>
      <w:pPr>
        <w:spacing w:before="100" w:after="100" w:line="360"/>
        <w:jc w:val="both"/>
      </w:pPr>
      <w:r>
        <w:rPr>
          <w:rFonts w:ascii="Arial" w:cs="Arial" w:eastAsia="Arial" w:hAnsi="Arial"/>
          <w:sz w:val="24"/>
          <w:szCs w:val="24"/>
        </w:rPr>
        <w:t xml:space="preserve">The questionnaire comprised five sections: (i) respondent demographic and group profile information, (ii) current record-keeping practices and associated challenges, (iii) technology access and digital literacy, (iv) specific functional requirements for a digital system, and (v) general expectations and concerns regarding digitisation. Questions used a combination of Likert-scale items, multiple-choice items, and open-ended items to capture qualitative perspectives.</w:t>
      </w:r>
    </w:p>
    <w:p>
      <w:pPr>
        <w:pStyle w:val="Heading3"/>
        <w:spacing w:before="200" w:after="120"/>
      </w:pPr>
      <w:r>
        <w:rPr>
          <w:rFonts w:ascii="Arial" w:cs="Arial" w:eastAsia="Arial" w:hAnsi="Arial"/>
          <w:b/>
          <w:bCs/>
          <w:color w:val="2E75B6"/>
          <w:sz w:val="26"/>
          <w:szCs w:val="26"/>
        </w:rPr>
        <w:t xml:space="preserve">3.4.2 Target Population and Sampling</w:t>
      </w:r>
    </w:p>
    <w:p>
      <w:pPr>
        <w:spacing w:before="100" w:after="100" w:line="360"/>
        <w:jc w:val="both"/>
      </w:pPr>
      <w:r>
        <w:rPr>
          <w:rFonts w:ascii="Arial" w:cs="Arial" w:eastAsia="Arial" w:hAnsi="Arial"/>
          <w:sz w:val="24"/>
          <w:szCs w:val="24"/>
        </w:rPr>
        <w:t xml:space="preserve">The target population consisted of officials and members of community savings groups in the Kisumu and Siaya counties of Kenya. A purposive sampling approach was adopted, targeting individuals holding operational roles—specifically treasurers, chairpersons, secretaries, and committee members—as these individuals have direct and detailed knowledge of the record-keeping challenges the system seeks to address. A total of 30 questionnaires were distributed, all of which were returned completed, yielding a 100% response rate. Questionnaires were distributed both physically during two scheduled group meetings and electronically via WhatsApp.</w:t>
      </w:r>
    </w:p>
    <w:p>
      <w:pPr>
        <w:pStyle w:val="Heading3"/>
        <w:spacing w:before="200" w:after="120"/>
      </w:pPr>
      <w:r>
        <w:rPr>
          <w:rFonts w:ascii="Arial" w:cs="Arial" w:eastAsia="Arial" w:hAnsi="Arial"/>
          <w:b/>
          <w:bCs/>
          <w:color w:val="2E75B6"/>
          <w:sz w:val="26"/>
          <w:szCs w:val="26"/>
        </w:rPr>
        <w:t xml:space="preserve">3.4.3 Questionnaire Administration</w:t>
      </w:r>
    </w:p>
    <w:p>
      <w:pPr>
        <w:spacing w:before="100" w:after="100" w:line="360"/>
        <w:jc w:val="both"/>
      </w:pPr>
      <w:r>
        <w:rPr>
          <w:rFonts w:ascii="Arial" w:cs="Arial" w:eastAsia="Arial" w:hAnsi="Arial"/>
          <w:sz w:val="24"/>
          <w:szCs w:val="24"/>
        </w:rPr>
        <w:t xml:space="preserve">Physical questionnaire administration was conducted over two consecutive Saturdays, coinciding with regular group meetings in Kisumu town and Siaya town respectively. The research team was present during administration to clarify ambiguities, though respondents completed the instrument independently. For electronically distributed questionnaires, a brief explanatory note was included. Respondents were assured of anonymity; no names were recorded and responses were aggregated for analysis.</w:t>
      </w:r>
    </w:p>
    <w:p>
      <w:pPr>
        <w:pStyle w:val="Heading2"/>
        <w:spacing w:before="280" w:after="160"/>
      </w:pPr>
      <w:r>
        <w:rPr>
          <w:rFonts w:ascii="Arial" w:cs="Arial" w:eastAsia="Arial" w:hAnsi="Arial"/>
          <w:b/>
          <w:bCs/>
          <w:color w:val="2E75B6"/>
          <w:sz w:val="28"/>
          <w:szCs w:val="28"/>
        </w:rPr>
        <w:t xml:space="preserve">3.5 Data and System Analysis</w:t>
      </w:r>
    </w:p>
    <w:p>
      <w:pPr>
        <w:spacing w:before="100" w:after="100" w:line="360"/>
        <w:jc w:val="both"/>
      </w:pPr>
      <w:r>
        <w:rPr>
          <w:rFonts w:ascii="Arial" w:cs="Arial" w:eastAsia="Arial" w:hAnsi="Arial"/>
          <w:sz w:val="24"/>
          <w:szCs w:val="24"/>
        </w:rPr>
        <w:t xml:space="preserve">Completed questionnaires were coded and entered into Microsoft Excel for tabulation and analysis. Frequencies and percentages were computed for each closed-ended item. The findings are presented below in tables accompanied by interpretive commentary. Charts are included in Appendix B.</w:t>
      </w:r>
    </w:p>
    <w:p>
      <w:pPr>
        <w:pStyle w:val="Heading3"/>
        <w:spacing w:before="200" w:after="120"/>
      </w:pPr>
      <w:r>
        <w:rPr>
          <w:rFonts w:ascii="Arial" w:cs="Arial" w:eastAsia="Arial" w:hAnsi="Arial"/>
          <w:b/>
          <w:bCs/>
          <w:color w:val="2E75B6"/>
          <w:sz w:val="26"/>
          <w:szCs w:val="26"/>
        </w:rPr>
        <w:t xml:space="preserve">3.5.1 Respondent Profile</w:t>
      </w:r>
    </w:p>
    <w:p>
      <w:pPr>
        <w:spacing w:before="100" w:after="100" w:line="360"/>
        <w:jc w:val="both"/>
      </w:pPr>
      <w:r>
        <w:rPr>
          <w:rFonts w:ascii="Arial" w:cs="Arial" w:eastAsia="Arial" w:hAnsi="Arial"/>
          <w:sz w:val="24"/>
          <w:szCs w:val="24"/>
        </w:rPr>
        <w:t xml:space="preserve">Of the 30 respondents, 17 (57%) were female and 13 (43%) were male, reflecting the female-majority participation characteristic of community savings groups. Roles: 10 (33%) treasurers, 8 (27%) chairpersons, 6 (20%) secretaries, 6 (20%) committee members. Group sizes ranged from 10 to 45 members (mean ≈ 22). All respondents had been members for at least one year; 18 (60%) reported membership of three or more years.</w:t>
      </w:r>
    </w:p>
    <w:p>
      <w:pPr>
        <w:pStyle w:val="Heading3"/>
        <w:spacing w:before="200" w:after="120"/>
      </w:pPr>
      <w:r>
        <w:rPr>
          <w:rFonts w:ascii="Arial" w:cs="Arial" w:eastAsia="Arial" w:hAnsi="Arial"/>
          <w:b/>
          <w:bCs/>
          <w:color w:val="2E75B6"/>
          <w:sz w:val="26"/>
          <w:szCs w:val="26"/>
        </w:rPr>
        <w:t xml:space="preserve">3.5.2 Analysis of Current Record-Keeping Challenges</w:t>
      </w:r>
    </w:p>
    <w:p>
      <w:pPr>
        <w:spacing w:before="60" w:after="60"/>
      </w:pPr>
      <w:r>
        <w:t xml:space="preserve"/>
      </w:r>
    </w:p>
    <w:p>
      <w:pPr>
        <w:spacing w:before="80" w:after="80"/>
        <w:jc w:val="center"/>
      </w:pPr>
      <w:r>
        <w:rPr>
          <w:rFonts w:ascii="Arial" w:cs="Arial" w:eastAsia="Arial" w:hAnsi="Arial"/>
          <w:b/>
          <w:bCs/>
          <w:i/>
          <w:iCs/>
          <w:sz w:val="20"/>
          <w:szCs w:val="20"/>
        </w:rPr>
        <w:t xml:space="preserve">Table 3.1: Frequency of Financial Record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Frequently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Frequently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Occasionally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60" w:after="60"/>
      </w:pPr>
      <w:r>
        <w:t xml:space="preserve"/>
      </w:r>
    </w:p>
    <w:p>
      <w:pPr>
        <w:spacing w:before="100" w:after="100" w:line="360"/>
        <w:jc w:val="both"/>
      </w:pPr>
      <w:r>
        <w:rPr>
          <w:rFonts w:ascii="Arial" w:cs="Arial" w:eastAsia="Arial" w:hAnsi="Arial"/>
          <w:sz w:val="24"/>
          <w:szCs w:val="24"/>
        </w:rPr>
        <w:t xml:space="preserve">The data in Table 3.1 reveals that 67% of respondents experience disputes from financial records either frequently or very frequently. Only 10% indicated that disputes rarely arise, underscoring the urgency of the problem.</w:t>
      </w:r>
    </w:p>
    <w:p>
      <w:pPr>
        <w:spacing w:before="60" w:after="60"/>
      </w:pPr>
      <w:r>
        <w:t xml:space="preserve"/>
      </w:r>
    </w:p>
    <w:p>
      <w:pPr>
        <w:spacing w:before="80" w:after="80"/>
        <w:jc w:val="center"/>
      </w:pPr>
      <w:r>
        <w:rPr>
          <w:rFonts w:ascii="Arial" w:cs="Arial" w:eastAsia="Arial" w:hAnsi="Arial"/>
          <w:b/>
          <w:bCs/>
          <w:i/>
          <w:iCs/>
          <w:sz w:val="20"/>
          <w:szCs w:val="20"/>
        </w:rPr>
        <w:t xml:space="preserve">Table 3.2: Member Satisfaction with Manual Record-Keeping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Dissatisfied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Dissatisfied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Neutral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Satisfied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60" w:after="60"/>
      </w:pPr>
      <w:r>
        <w:t xml:space="preserve"/>
      </w:r>
    </w:p>
    <w:p>
      <w:pPr>
        <w:spacing w:before="100" w:after="100" w:line="360"/>
        <w:jc w:val="both"/>
      </w:pPr>
      <w:r>
        <w:rPr>
          <w:rFonts w:ascii="Arial" w:cs="Arial" w:eastAsia="Arial" w:hAnsi="Arial"/>
          <w:sz w:val="24"/>
          <w:szCs w:val="24"/>
        </w:rPr>
        <w:t xml:space="preserve">Table 3.2 demonstrates overwhelming dissatisfaction with manual record-keeping, with 70% expressing dissatisfaction or strong dissatisfaction. Only 10% reported satisfaction, providing strong justification for a digital alternative.</w:t>
      </w:r>
    </w:p>
    <w:p>
      <w:pPr>
        <w:spacing w:before="60" w:after="60"/>
      </w:pPr>
      <w:r>
        <w:t xml:space="preserve"/>
      </w:r>
    </w:p>
    <w:p>
      <w:pPr>
        <w:spacing w:before="80" w:after="80"/>
        <w:jc w:val="center"/>
      </w:pPr>
      <w:r>
        <w:rPr>
          <w:rFonts w:ascii="Arial" w:cs="Arial" w:eastAsia="Arial" w:hAnsi="Arial"/>
          <w:b/>
          <w:bCs/>
          <w:i/>
          <w:iCs/>
          <w:sz w:val="20"/>
          <w:szCs w:val="20"/>
        </w:rPr>
        <w:t xml:space="preserve">Table 3.3: Member Access to Financial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Sometimes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Always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60" w:after="60"/>
      </w:pPr>
      <w:r>
        <w:t xml:space="preserve"/>
      </w:r>
    </w:p>
    <w:p>
      <w:pPr>
        <w:spacing w:before="100" w:after="100" w:line="360"/>
        <w:jc w:val="both"/>
      </w:pPr>
      <w:r>
        <w:rPr>
          <w:rFonts w:ascii="Arial" w:cs="Arial" w:eastAsia="Arial" w:hAnsi="Arial"/>
          <w:sz w:val="24"/>
          <w:szCs w:val="24"/>
        </w:rPr>
        <w:t xml:space="preserve">Table 3.3 highlights a critical transparency deficit: 77% of respondents indicated members either never or rarely have easy access to their own financial records, confirming the information asymmetry identified in the literature.</w:t>
      </w:r>
    </w:p>
    <w:p>
      <w:pPr>
        <w:spacing w:before="60" w:after="60"/>
      </w:pPr>
      <w:r>
        <w:t xml:space="preserve"/>
      </w:r>
    </w:p>
    <w:p>
      <w:pPr>
        <w:spacing w:before="80" w:after="80"/>
        <w:jc w:val="center"/>
      </w:pPr>
      <w:r>
        <w:rPr>
          <w:rFonts w:ascii="Arial" w:cs="Arial" w:eastAsia="Arial" w:hAnsi="Arial"/>
          <w:b/>
          <w:bCs/>
          <w:i/>
          <w:iCs/>
          <w:sz w:val="20"/>
          <w:szCs w:val="20"/>
        </w:rPr>
        <w:t xml:space="preserve">Table 3.4: Perceived Need for a Digital Record-Keeping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Strongly Agree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Neutral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Disagree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60" w:after="60"/>
      </w:pPr>
      <w:r>
        <w:t xml:space="preserve"/>
      </w:r>
    </w:p>
    <w:p>
      <w:pPr>
        <w:spacing w:before="100" w:after="100" w:line="360"/>
        <w:jc w:val="both"/>
      </w:pPr>
      <w:r>
        <w:rPr>
          <w:rFonts w:ascii="Arial" w:cs="Arial" w:eastAsia="Arial" w:hAnsi="Arial"/>
          <w:sz w:val="24"/>
          <w:szCs w:val="24"/>
        </w:rPr>
        <w:t xml:space="preserve">Table 3.4 provides the most compelling single finding: 90% agreed or strongly agreed their group would benefit from a digital record-keeping system. This near-unanimous endorsement validates the project's central premise and indicates exceptionally favourable adoption conditions.</w:t>
      </w:r>
    </w:p>
    <w:p>
      <w:pPr>
        <w:spacing w:before="60" w:after="60"/>
      </w:pPr>
      <w:r>
        <w:t xml:space="preserve"/>
      </w:r>
    </w:p>
    <w:p>
      <w:pPr>
        <w:spacing w:before="80" w:after="80"/>
        <w:jc w:val="center"/>
      </w:pPr>
      <w:r>
        <w:rPr>
          <w:rFonts w:ascii="Arial" w:cs="Arial" w:eastAsia="Arial" w:hAnsi="Arial"/>
          <w:b/>
          <w:bCs/>
          <w:i/>
          <w:iCs/>
          <w:sz w:val="20"/>
          <w:szCs w:val="20"/>
        </w:rPr>
        <w:t xml:space="preserve">Table 3.5: Respondent Comfort Level with Computer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 (%)</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Comfortable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Comfortable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Somewhat Comfortable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Comfortable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60" w:after="60"/>
      </w:pPr>
      <w:r>
        <w:t xml:space="preserve"/>
      </w:r>
    </w:p>
    <w:p>
      <w:pPr>
        <w:spacing w:before="100" w:after="100" w:line="360"/>
        <w:jc w:val="both"/>
      </w:pPr>
      <w:r>
        <w:rPr>
          <w:rFonts w:ascii="Arial" w:cs="Arial" w:eastAsia="Arial" w:hAnsi="Arial"/>
          <w:sz w:val="24"/>
          <w:szCs w:val="24"/>
        </w:rPr>
        <w:t xml:space="preserve">Table 3.5 shows that while 50% are comfortable or very comfortable with computer systems, 30% are only somewhat comfortable and 20% are not comfortable. This directly informed the decision to prioritise simplicity and minimal navigation steps in the interface design.</w:t>
      </w:r>
    </w:p>
    <w:p>
      <w:pPr>
        <w:pStyle w:val="Heading3"/>
        <w:spacing w:before="200" w:after="120"/>
      </w:pPr>
      <w:r>
        <w:rPr>
          <w:rFonts w:ascii="Arial" w:cs="Arial" w:eastAsia="Arial" w:hAnsi="Arial"/>
          <w:b/>
          <w:bCs/>
          <w:color w:val="2E75B6"/>
          <w:sz w:val="26"/>
          <w:szCs w:val="26"/>
        </w:rPr>
        <w:t xml:space="preserve">3.5.3 Key Findings Summary and System Implications</w:t>
      </w:r>
    </w:p>
    <w:p>
      <w:pPr>
        <w:spacing w:before="100" w:after="100" w:line="360"/>
        <w:jc w:val="both"/>
      </w:pPr>
      <w:r>
        <w:rPr>
          <w:rFonts w:ascii="Arial" w:cs="Arial" w:eastAsia="Arial" w:hAnsi="Arial"/>
          <w:sz w:val="24"/>
          <w:szCs w:val="24"/>
        </w:rPr>
        <w:t xml:space="preserve">Four findings directly shaped system design. First, the high frequency of disputes (67%) confirms the need for tamper-evident, auditable records and transparent member-level access. Second, near-universal demand for a digital solution (90%) indicates strong potential for adoption. Third, the accessibility deficit (77%) establishes member self-service as a core functional requirement. Fourth, the heterogeneous digital literacy profile (20% not comfortable) reinforces the necessity of a highly usable, low-complexity interface.</w:t>
      </w:r>
    </w:p>
    <w:p>
      <w:pPr>
        <w:pStyle w:val="Heading2"/>
        <w:spacing w:before="280" w:after="160"/>
      </w:pPr>
      <w:r>
        <w:rPr>
          <w:rFonts w:ascii="Arial" w:cs="Arial" w:eastAsia="Arial" w:hAnsi="Arial"/>
          <w:b/>
          <w:bCs/>
          <w:color w:val="2E75B6"/>
          <w:sz w:val="28"/>
          <w:szCs w:val="28"/>
        </w:rPr>
        <w:t xml:space="preserve">3.6 System Specification</w:t>
      </w:r>
    </w:p>
    <w:p>
      <w:pPr>
        <w:pStyle w:val="Heading3"/>
        <w:spacing w:before="200" w:after="120"/>
      </w:pPr>
      <w:r>
        <w:rPr>
          <w:rFonts w:ascii="Arial" w:cs="Arial" w:eastAsia="Arial" w:hAnsi="Arial"/>
          <w:b/>
          <w:bCs/>
          <w:color w:val="2E75B6"/>
          <w:sz w:val="26"/>
          <w:szCs w:val="26"/>
        </w:rPr>
        <w:t xml:space="preserve">3.6.1 Functional Requirements</w:t>
      </w:r>
    </w:p>
    <w:p>
      <w:pPr>
        <w:spacing w:before="100" w:after="100" w:line="360"/>
        <w:jc w:val="both"/>
      </w:pPr>
      <w:r>
        <w:rPr>
          <w:rFonts w:ascii="Arial" w:cs="Arial" w:eastAsia="Arial" w:hAnsi="Arial"/>
          <w:sz w:val="24"/>
          <w:szCs w:val="24"/>
        </w:rPr>
        <w:t xml:space="preserve">Functional requirements define the specific behaviours and operations the Community Savings System must perform, derived directly from questionnaire data and project objectives. Table 3.6 presents the functional requirements specification.</w:t>
      </w:r>
    </w:p>
    <w:p>
      <w:pPr>
        <w:spacing w:before="60" w:after="60"/>
      </w:pPr>
      <w:r>
        <w:t xml:space="preserve"/>
      </w:r>
    </w:p>
    <w:p>
      <w:pPr>
        <w:spacing w:before="80" w:after="80"/>
        <w:jc w:val="center"/>
      </w:pPr>
      <w:r>
        <w:rPr>
          <w:rFonts w:ascii="Arial" w:cs="Arial" w:eastAsia="Arial" w:hAnsi="Arial"/>
          <w:b/>
          <w:bCs/>
          <w:i/>
          <w:iCs/>
          <w:sz w:val="20"/>
          <w:szCs w:val="20"/>
        </w:rPr>
        <w:t xml:space="preserve">Table 3.6: Functional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 Registration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allow administrators to register new members with complete personal and financial details, assign unique IDs, and manage membership status (active, inactive, suspended).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Contribution Tracking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record all member contributions with timestamps, calculate cumulative savings automatically, identify missed contributions, generate receipts, and produce contribution history reports.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handle the complete loan lifecycle: application, approval workflow, disbursement, automatic interest calculation, repayment tracking, defaulter identification, and loan history maintenance.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Financial Reporting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generate individual member statements, group financial summaries, period-based reports, contribution analyses, loan portfolio reports, and trend analyses.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 Records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facilitate scheduling, attendance recording, minutes capture, decision documentation, and maintenance of a searchable archive.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Authentication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enforce secure login with role-based access control distinguishing Chairperson, Treasurer, Secretary, and Member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Trail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maintain a tamper-evident log of all transactions recording user, action, timestamp, and affected data for every operation.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FR-08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Backup &amp; Recovery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support scheduled automated backups and provide mechanisms for data restoration in the event of system failure or data corruption.</w:t>
            </w:r>
          </w:p>
        </w:tc>
      </w:tr>
    </w:tbl>
    <w:p>
      <w:pPr>
        <w:spacing w:before="60" w:after="60"/>
      </w:pPr>
      <w:r>
        <w:t xml:space="preserve"/>
      </w:r>
    </w:p>
    <w:p>
      <w:pPr>
        <w:pStyle w:val="Heading3"/>
        <w:spacing w:before="200" w:after="120"/>
      </w:pPr>
      <w:r>
        <w:rPr>
          <w:rFonts w:ascii="Arial" w:cs="Arial" w:eastAsia="Arial" w:hAnsi="Arial"/>
          <w:b/>
          <w:bCs/>
          <w:color w:val="2E75B6"/>
          <w:sz w:val="26"/>
          <w:szCs w:val="26"/>
        </w:rPr>
        <w:t xml:space="preserve">3.6.2 Non-Functional Requirements</w:t>
      </w:r>
    </w:p>
    <w:p>
      <w:pPr>
        <w:spacing w:before="100" w:after="100" w:line="360"/>
        <w:jc w:val="both"/>
      </w:pPr>
      <w:r>
        <w:rPr>
          <w:rFonts w:ascii="Arial" w:cs="Arial" w:eastAsia="Arial" w:hAnsi="Arial"/>
          <w:sz w:val="24"/>
          <w:szCs w:val="24"/>
        </w:rPr>
        <w:t xml:space="preserve">Non-functional requirements define the quality attributes and operational constraints governing how the system performs its functions. Table 3.7 presents the non-functional requirements specification.</w:t>
      </w:r>
    </w:p>
    <w:p>
      <w:pPr>
        <w:spacing w:before="60" w:after="60"/>
      </w:pPr>
      <w:r>
        <w:t xml:space="preserve"/>
      </w:r>
    </w:p>
    <w:p>
      <w:pPr>
        <w:spacing w:before="80" w:after="80"/>
        <w:jc w:val="center"/>
      </w:pPr>
      <w:r>
        <w:rPr>
          <w:rFonts w:ascii="Arial" w:cs="Arial" w:eastAsia="Arial" w:hAnsi="Arial"/>
          <w:b/>
          <w:bCs/>
          <w:i/>
          <w:iCs/>
          <w:sz w:val="20"/>
          <w:szCs w:val="20"/>
        </w:rPr>
        <w:t xml:space="preserve">Table 3.7: Non-Functional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respond to user actions within 3 seconds under normal load and support concurrent access by up to 10 users without degradation.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be operable by users with basic computer literacy, with a target task completion rate of at least 85% for primary functions on first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Passwords shall be stored using bcrypt hashing; data transmission shall use HTTPS/TLS encryption; sessions shall expire after 30 minutes of inactivity.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achieve at least 99% uptime during business hours and recover automatically from minor faults without data loss.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Maintainability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code shall be modular, documented, and structured to allow a PHP/MySQL developer to make changes or add features within a reasonable timeframe.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NFR-06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Compatibility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shall be accessible via modern versions of Chrome, Firefox, Safari, and Edge on desktop and tablet devices with screen width of 768px or greater.</w:t>
            </w:r>
          </w:p>
        </w:tc>
      </w:tr>
    </w:tbl>
    <w:p>
      <w:pPr>
        <w:spacing w:before="60" w:after="60"/>
      </w:pPr>
      <w:r>
        <w:t xml:space="preserve"/>
      </w:r>
    </w:p>
    <w:p>
      <w:pPr>
        <w:pStyle w:val="Heading2"/>
        <w:spacing w:before="280" w:after="160"/>
      </w:pPr>
      <w:r>
        <w:rPr>
          <w:rFonts w:ascii="Arial" w:cs="Arial" w:eastAsia="Arial" w:hAnsi="Arial"/>
          <w:b/>
          <w:bCs/>
          <w:color w:val="2E75B6"/>
          <w:sz w:val="28"/>
          <w:szCs w:val="28"/>
        </w:rPr>
        <w:t xml:space="preserve">3.7 System Design</w:t>
      </w:r>
    </w:p>
    <w:p>
      <w:pPr>
        <w:pStyle w:val="Heading3"/>
        <w:spacing w:before="200" w:after="120"/>
      </w:pPr>
      <w:r>
        <w:rPr>
          <w:rFonts w:ascii="Arial" w:cs="Arial" w:eastAsia="Arial" w:hAnsi="Arial"/>
          <w:b/>
          <w:bCs/>
          <w:color w:val="2E75B6"/>
          <w:sz w:val="26"/>
          <w:szCs w:val="26"/>
        </w:rPr>
        <w:t xml:space="preserve">3.7.1 System Architecture</w:t>
      </w:r>
    </w:p>
    <w:p>
      <w:pPr>
        <w:spacing w:before="100" w:after="100" w:line="360"/>
        <w:jc w:val="both"/>
      </w:pPr>
      <w:r>
        <w:rPr>
          <w:rFonts w:ascii="Arial" w:cs="Arial" w:eastAsia="Arial" w:hAnsi="Arial"/>
          <w:sz w:val="24"/>
          <w:szCs w:val="24"/>
        </w:rPr>
        <w:t xml:space="preserve">The Community Savings System adopts a three-tier (N-tier) client-server web application architecture, comprising a Presentation Tier, an Application Logic Tier, and a Data Tier. This architecture promotes separation of concerns, facilitates maintainability, and aligns with standard web application best practices.</w:t>
      </w:r>
    </w:p>
    <w:p>
      <w:pPr>
        <w:spacing w:before="100" w:after="100" w:line="360"/>
        <w:jc w:val="both"/>
      </w:pPr>
      <w:r>
        <w:rPr>
          <w:rFonts w:ascii="Arial" w:cs="Arial" w:eastAsia="Arial" w:hAnsi="Arial"/>
          <w:sz w:val="24"/>
          <w:szCs w:val="24"/>
        </w:rPr>
        <w:t xml:space="preserve">The Presentation Tier consists of the web browser running on the end user's device. Blade templates (Laravel's templating engine) deliver the visual interface rendered with Tailwind CSS, while JavaScript provides client-side validation and interactive feedback.</w:t>
      </w:r>
    </w:p>
    <w:p>
      <w:pPr>
        <w:spacing w:before="100" w:after="100" w:line="360"/>
        <w:jc w:val="both"/>
      </w:pPr>
      <w:r>
        <w:rPr>
          <w:rFonts w:ascii="Arial" w:cs="Arial" w:eastAsia="Arial" w:hAnsi="Arial"/>
          <w:sz w:val="24"/>
          <w:szCs w:val="24"/>
        </w:rPr>
        <w:t xml:space="preserve">The Application Logic Tier is implemented using Laravel 10 (PHP 8.2) running on an Apache/Nginx web server (or PHP's built-in server for development via php -S 127.0.0.1:8000 -t public). Laravel's MVC architecture separates business logic (Controllers), data access (Models with Eloquent ORM), and presentation (Blade views). Eight controllers implement the application's business logic: AuthController, DashboardController, MemberController, ContributionController, LoanController, RepaymentController, MeetingController, and ReportController. Role-based access control is enforced at this tier through middleware, ensuring users can only access functions appropriate to their designated role.</w:t>
      </w:r>
    </w:p>
    <w:p>
      <w:pPr>
        <w:spacing w:before="100" w:after="100" w:line="360"/>
        <w:jc w:val="both"/>
      </w:pPr>
      <w:r>
        <w:rPr>
          <w:rFonts w:ascii="Arial" w:cs="Arial" w:eastAsia="Arial" w:hAnsi="Arial"/>
          <w:sz w:val="24"/>
          <w:szCs w:val="24"/>
        </w:rPr>
        <w:t xml:space="preserve">The Data Tier consists of SQLite (development) or MySQL (production) managed through Laravel's Eloquent ORM and database migrations. The application uses eight interconnected tables with foreign key constraints ensuring data integrity. The Laravel Artisan command-line interface manages migrations and seeding.</w:t>
      </w:r>
    </w:p>
    <w:p>
      <w:pPr>
        <w:pStyle w:val="Heading3"/>
        <w:spacing w:before="200" w:after="120"/>
      </w:pPr>
      <w:r>
        <w:rPr>
          <w:rFonts w:ascii="Arial" w:cs="Arial" w:eastAsia="Arial" w:hAnsi="Arial"/>
          <w:b/>
          <w:bCs/>
          <w:color w:val="2E75B6"/>
          <w:sz w:val="26"/>
          <w:szCs w:val="26"/>
        </w:rPr>
        <w:t xml:space="preserve">3.7.2 Database Schema (Eight Core Tables)</w:t>
      </w:r>
    </w:p>
    <w:p>
      <w:pPr>
        <w:spacing w:before="100" w:after="100" w:line="360"/>
        <w:jc w:val="both"/>
      </w:pPr>
      <w:r>
        <w:rPr>
          <w:rFonts w:ascii="Arial" w:cs="Arial" w:eastAsia="Arial" w:hAnsi="Arial"/>
          <w:sz w:val="24"/>
          <w:szCs w:val="24"/>
        </w:rPr>
        <w:t xml:space="preserve">The actual database schema, derived directly from the Laravel migrations in the project repository, comprises eight tables. Table 3.8 presents the complete schema.</w:t>
      </w:r>
    </w:p>
    <w:p>
      <w:pPr>
        <w:spacing w:before="60" w:after="60"/>
      </w:pPr>
      <w:r>
        <w:t xml:space="preserve"/>
      </w:r>
    </w:p>
    <w:p>
      <w:pPr>
        <w:spacing w:before="80" w:after="80"/>
        <w:jc w:val="center"/>
      </w:pPr>
      <w:r>
        <w:rPr>
          <w:rFonts w:ascii="Arial" w:cs="Arial" w:eastAsia="Arial" w:hAnsi="Arial"/>
          <w:b/>
          <w:bCs/>
          <w:i/>
          <w:iCs/>
          <w:sz w:val="20"/>
          <w:szCs w:val="20"/>
        </w:rPr>
        <w:t xml:space="preserve">Table 3.8: Database Schema — All Eight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Name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user accounts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UserID (PK), MemberID (FK), Username, PasswordHash, Role, LastLogin, IsActive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 group members with contact information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MemberID (PK), FirstName, LastName, NationalID, PhoneNumber, Email, JoinDate, Status, GroupID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contributions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 contribution records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ContributionID (PK), MemberID (FK), Amount, ContributionDate, PaymentMethod, RecordedBy (FK),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 applications and tracking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LoanID (PK), MemberID (FK), AmountRequested, AmountApproved, LoanDate, DisbursementDate, InterestRate, RepaymentPeriodMonths, Status, ApprovedBy (FK)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repayments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 repayment records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RepaymentID (PK), LoanID (FK), AmountPaid, PaymentDate, PrincipalPortion, InterestPortion, RecordedBy (FK)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meetings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Group meetings and events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MeetingID (PK), MeetingDate, Venue, Agenda, MinutesText, RecordedBy (FK)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meeting_attendees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Attendance tracking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AttendanceID (PK), MeetingID (FK), MemberID (FK), Present (Boolean)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meeting_attachments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 document management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AttachmentID (PK), MeetingID (FK), FileName, FilePath, UploadedBy (FK), UploadDate</w:t>
            </w:r>
          </w:p>
        </w:tc>
      </w:tr>
    </w:tbl>
    <w:p>
      <w:pPr>
        <w:spacing w:before="60" w:after="60"/>
      </w:pPr>
      <w:r>
        <w:t xml:space="preserve"/>
      </w:r>
    </w:p>
    <w:p>
      <w:pPr>
        <w:spacing w:before="100" w:after="100" w:line="360"/>
        <w:jc w:val="both"/>
      </w:pPr>
      <w:r>
        <w:rPr>
          <w:rFonts w:ascii="Arial" w:cs="Arial" w:eastAsia="Arial" w:hAnsi="Arial"/>
          <w:sz w:val="24"/>
          <w:szCs w:val="24"/>
        </w:rPr>
        <w:t xml:space="preserve">Key relationships: one member may have many contributions (one-to-many); one member may have many loans (one-to-many); one loan may have many repayments (one-to-many); one meeting may have many attendees and many attachments (one-to-many); one user account per member (one-to-one). Foreign key constraints are enabled (including SQLite foreign_keys pragma) to ensure referential integrity. The schema is normalised to Third Normal Form (3NF) to eliminate data redundancy.</w:t>
      </w:r>
    </w:p>
    <w:p>
      <w:pPr>
        <w:pStyle w:val="Heading3"/>
        <w:spacing w:before="200" w:after="120"/>
      </w:pPr>
      <w:r>
        <w:rPr>
          <w:rFonts w:ascii="Arial" w:cs="Arial" w:eastAsia="Arial" w:hAnsi="Arial"/>
          <w:b/>
          <w:bCs/>
          <w:color w:val="2E75B6"/>
          <w:sz w:val="26"/>
          <w:szCs w:val="26"/>
        </w:rPr>
        <w:t xml:space="preserve">3.7.3 Application Routes and Controllers</w:t>
      </w:r>
    </w:p>
    <w:p>
      <w:pPr>
        <w:spacing w:before="100" w:after="100" w:line="360"/>
        <w:jc w:val="both"/>
      </w:pPr>
      <w:r>
        <w:rPr>
          <w:rFonts w:ascii="Arial" w:cs="Arial" w:eastAsia="Arial" w:hAnsi="Arial"/>
          <w:sz w:val="24"/>
          <w:szCs w:val="24"/>
        </w:rPr>
        <w:t xml:space="preserve">The Laravel application's route definitions (routes/web.php) specify over 20 named routes handled by eight controllers. Table 3.9 presents the primary routes reflecting the system's complete functionality.</w:t>
      </w:r>
    </w:p>
    <w:p>
      <w:pPr>
        <w:spacing w:before="60" w:after="60"/>
      </w:pPr>
      <w:r>
        <w:t xml:space="preserve"/>
      </w:r>
    </w:p>
    <w:p>
      <w:pPr>
        <w:spacing w:before="80" w:after="80"/>
        <w:jc w:val="center"/>
      </w:pPr>
      <w:r>
        <w:rPr>
          <w:rFonts w:ascii="Arial" w:cs="Arial" w:eastAsia="Arial" w:hAnsi="Arial"/>
          <w:b/>
          <w:bCs/>
          <w:i/>
          <w:iCs/>
          <w:sz w:val="20"/>
          <w:szCs w:val="20"/>
        </w:rPr>
        <w:t xml:space="preserve">Table 3.9: Application Routes and Controller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Controller@Method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/members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all members (paginated)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/members/create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Show member creation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MemberController@create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/members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Store new member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/members/{id}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member details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MemberController@show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PUT /members/{id}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member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DELETE /members/{id}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Delete member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MemberController@destroy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/contributions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contributions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ContributionController@index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/contributions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Record new contribution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ContributionController@store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/loans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all loans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/loans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new loan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LoanController@store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/loans/{id}/approve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loan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LoanController@approve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/loans/{id}/reject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Reject loan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LoanController@reject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/loans/pending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pending loans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LoanController@pending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repayments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RepaymentController@index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/repayments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Record new repayment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RepaymentController@store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/meetings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List meetings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 /meetings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Schedule meeting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MeetingController@store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/meetings/{id}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meeting details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MeetingController@show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DashboardController@index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ReportController@index</w:t>
            </w:r>
          </w:p>
        </w:tc>
      </w:tr>
    </w:tbl>
    <w:p>
      <w:pPr>
        <w:spacing w:before="60" w:after="60"/>
      </w:pPr>
      <w:r>
        <w:t xml:space="preserve"/>
      </w:r>
    </w:p>
    <w:p>
      <w:pPr>
        <w:pStyle w:val="Heading3"/>
        <w:spacing w:before="200" w:after="120"/>
      </w:pPr>
      <w:r>
        <w:rPr>
          <w:rFonts w:ascii="Arial" w:cs="Arial" w:eastAsia="Arial" w:hAnsi="Arial"/>
          <w:b/>
          <w:bCs/>
          <w:color w:val="2E75B6"/>
          <w:sz w:val="26"/>
          <w:szCs w:val="26"/>
        </w:rPr>
        <w:t xml:space="preserve">3.7.4 Logical Design — Data Flow Diagrams</w:t>
      </w:r>
    </w:p>
    <w:p>
      <w:pPr>
        <w:spacing w:before="100" w:after="100" w:line="360"/>
        <w:jc w:val="both"/>
      </w:pPr>
      <w:r>
        <w:rPr>
          <w:rFonts w:ascii="Arial" w:cs="Arial" w:eastAsia="Arial" w:hAnsi="Arial"/>
          <w:sz w:val="24"/>
          <w:szCs w:val="24"/>
        </w:rPr>
        <w:t xml:space="preserve">Data Flow Diagrams (DFDs) are used to represent the logical flow of data through the system at progressively finer levels of detail.</w:t>
      </w:r>
    </w:p>
    <w:p>
      <w:pPr>
        <w:spacing w:before="100" w:after="100" w:line="360"/>
        <w:jc w:val="both"/>
      </w:pPr>
      <w:r>
        <w:rPr>
          <w:rFonts w:ascii="Arial" w:cs="Arial" w:eastAsia="Arial" w:hAnsi="Arial"/>
          <w:b/>
          <w:bCs/>
          <w:sz w:val="24"/>
          <w:szCs w:val="24"/>
        </w:rPr>
        <w:t xml:space="preserve">Context Diagram (Level 0 DFD):</w:t>
      </w:r>
    </w:p>
    <w:p>
      <w:pPr>
        <w:spacing w:before="100" w:after="100" w:line="360"/>
        <w:jc w:val="both"/>
      </w:pPr>
      <w:r>
        <w:rPr>
          <w:rFonts w:ascii="Arial" w:cs="Arial" w:eastAsia="Arial" w:hAnsi="Arial"/>
          <w:sz w:val="24"/>
          <w:szCs w:val="24"/>
        </w:rPr>
        <w:t xml:space="preserve">The Community Savings System interacts with three external entities: the Group Official (Treasurer/Chairperson/Secretary—inputs transactional and administrative data; receives reports and confirmations), the Group Member (submits loan applications; receives account statements and receipts), and the System Administrator (configures system parameters; manages user accounts). Data flows from these actors into the system as transactions and requests, and from the system back to these actors as reports, receipts, confirmations, and audit records.</w:t>
      </w:r>
    </w:p>
    <w:p>
      <w:pPr>
        <w:spacing w:before="100" w:after="100" w:line="360"/>
        <w:jc w:val="both"/>
      </w:pPr>
      <w:r>
        <w:rPr>
          <w:rFonts w:ascii="Arial" w:cs="Arial" w:eastAsia="Arial" w:hAnsi="Arial"/>
          <w:b/>
          <w:bCs/>
          <w:sz w:val="24"/>
          <w:szCs w:val="24"/>
        </w:rPr>
        <w:t xml:space="preserve">Level 1 DFD — Major System Processes:</w:t>
      </w:r>
    </w:p>
    <w:p>
      <w:pPr>
        <w:spacing w:before="100" w:after="100" w:line="360"/>
        <w:jc w:val="both"/>
      </w:pPr>
      <w:r>
        <w:rPr>
          <w:rFonts w:ascii="Arial" w:cs="Arial" w:eastAsia="Arial" w:hAnsi="Arial"/>
          <w:sz w:val="24"/>
          <w:szCs w:val="24"/>
        </w:rPr>
        <w:t xml:space="preserve">The system decomposes into five major process groups at Level 1, each corresponding directly to a set of Laravel controllers:</w:t>
      </w:r>
    </w:p>
    <w:p>
      <w:pPr>
        <w:pStyle w:val="ListParagraph"/>
        <w:numPr>
          <w:ilvl w:val="0"/>
          <w:numId w:val="2"/>
        </w:numPr>
        <w:spacing w:before="60" w:after="60" w:line="320"/>
      </w:pPr>
      <w:r>
        <w:rPr>
          <w:rFonts w:ascii="Arial" w:cs="Arial" w:eastAsia="Arial" w:hAnsi="Arial"/>
          <w:sz w:val="24"/>
          <w:szCs w:val="24"/>
        </w:rPr>
        <w:t xml:space="preserve">Process 1 – Member Management (MemberController): Receives registration data from the Administrator; reads/writes to the members data store. Outputs: member profiles, directories, search results.</w:t>
      </w:r>
    </w:p>
    <w:p>
      <w:pPr>
        <w:pStyle w:val="ListParagraph"/>
        <w:numPr>
          <w:ilvl w:val="0"/>
          <w:numId w:val="2"/>
        </w:numPr>
        <w:spacing w:before="60" w:after="60" w:line="320"/>
      </w:pPr>
      <w:r>
        <w:rPr>
          <w:rFonts w:ascii="Arial" w:cs="Arial" w:eastAsia="Arial" w:hAnsi="Arial"/>
          <w:sz w:val="24"/>
          <w:szCs w:val="24"/>
        </w:rPr>
        <w:t xml:space="preserve">Process 2 – Contribution Management (ContributionController): Receives payment inputs from the Treasurer; posts transactions to the contributions data store. Outputs: receipts, cumulative balances, contribution reports.</w:t>
      </w:r>
    </w:p>
    <w:p>
      <w:pPr>
        <w:pStyle w:val="ListParagraph"/>
        <w:numPr>
          <w:ilvl w:val="0"/>
          <w:numId w:val="2"/>
        </w:numPr>
        <w:spacing w:before="60" w:after="60" w:line="320"/>
      </w:pPr>
      <w:r>
        <w:rPr>
          <w:rFonts w:ascii="Arial" w:cs="Arial" w:eastAsia="Arial" w:hAnsi="Arial"/>
          <w:sz w:val="24"/>
          <w:szCs w:val="24"/>
        </w:rPr>
        <w:t xml:space="preserve">Process 3 – Loan Management (LoanController + RepaymentController): Processes applications, approval/rejection decisions, disbursements, and repayment records across loans and repayments data stores. Outputs: loan schedules, outstanding balance reports, defaulter lists.</w:t>
      </w:r>
    </w:p>
    <w:p>
      <w:pPr>
        <w:pStyle w:val="ListParagraph"/>
        <w:numPr>
          <w:ilvl w:val="0"/>
          <w:numId w:val="2"/>
        </w:numPr>
        <w:spacing w:before="60" w:after="60" w:line="320"/>
      </w:pPr>
      <w:r>
        <w:rPr>
          <w:rFonts w:ascii="Arial" w:cs="Arial" w:eastAsia="Arial" w:hAnsi="Arial"/>
          <w:sz w:val="24"/>
          <w:szCs w:val="24"/>
        </w:rPr>
        <w:t xml:space="preserve">Process 4 – Report Generation (ReportController + DashboardController): Queries all data stores (members, contributions, loans, repayments) to produce consolidated dashboards and financial reports. Outputs: PDF reports, on-screen analytics, trend charts.</w:t>
      </w:r>
    </w:p>
    <w:p>
      <w:pPr>
        <w:pStyle w:val="ListParagraph"/>
        <w:numPr>
          <w:ilvl w:val="0"/>
          <w:numId w:val="2"/>
        </w:numPr>
        <w:spacing w:before="60" w:after="60" w:line="320"/>
      </w:pPr>
      <w:r>
        <w:rPr>
          <w:rFonts w:ascii="Arial" w:cs="Arial" w:eastAsia="Arial" w:hAnsi="Arial"/>
          <w:sz w:val="24"/>
          <w:szCs w:val="24"/>
        </w:rPr>
        <w:t xml:space="preserve">Process 5 – Meeting Management (MeetingController): Accepts attendance and minutes input; stores in meetings, meeting_attendees, and meeting_attachments data stores. Outputs: attendance records, minutes archive, meeting history.</w:t>
      </w:r>
    </w:p>
    <w:p>
      <w:pPr>
        <w:pStyle w:val="Heading3"/>
        <w:spacing w:before="200" w:after="120"/>
      </w:pPr>
      <w:r>
        <w:rPr>
          <w:rFonts w:ascii="Arial" w:cs="Arial" w:eastAsia="Arial" w:hAnsi="Arial"/>
          <w:b/>
          <w:bCs/>
          <w:color w:val="2E75B6"/>
          <w:sz w:val="26"/>
          <w:szCs w:val="26"/>
        </w:rPr>
        <w:t xml:space="preserve">3.7.5 Physical Design — Use Case Descriptions</w:t>
      </w:r>
    </w:p>
    <w:p>
      <w:pPr>
        <w:spacing w:before="100" w:after="100" w:line="360"/>
        <w:jc w:val="both"/>
      </w:pPr>
      <w:r>
        <w:rPr>
          <w:rFonts w:ascii="Arial" w:cs="Arial" w:eastAsia="Arial" w:hAnsi="Arial"/>
          <w:sz w:val="24"/>
          <w:szCs w:val="24"/>
        </w:rPr>
        <w:t xml:space="preserve">The following actors are identified in the system, matching the role-based access control implemented in Laravel middleware:</w:t>
      </w:r>
    </w:p>
    <w:p>
      <w:pPr>
        <w:pStyle w:val="ListParagraph"/>
        <w:numPr>
          <w:ilvl w:val="0"/>
          <w:numId w:val="2"/>
        </w:numPr>
        <w:spacing w:before="60" w:after="60" w:line="320"/>
      </w:pPr>
      <w:r>
        <w:rPr>
          <w:rFonts w:ascii="Arial" w:cs="Arial" w:eastAsia="Arial" w:hAnsi="Arial"/>
          <w:sz w:val="24"/>
          <w:szCs w:val="24"/>
        </w:rPr>
        <w:t xml:space="preserve">Administrator: Register Member, Edit Member Details, Manage User Accounts, Configure System Parameters, View Audit Logs, Delete Records.</w:t>
      </w:r>
    </w:p>
    <w:p>
      <w:pPr>
        <w:pStyle w:val="ListParagraph"/>
        <w:numPr>
          <w:ilvl w:val="0"/>
          <w:numId w:val="2"/>
        </w:numPr>
        <w:spacing w:before="60" w:after="60" w:line="320"/>
      </w:pPr>
      <w:r>
        <w:rPr>
          <w:rFonts w:ascii="Arial" w:cs="Arial" w:eastAsia="Arial" w:hAnsi="Arial"/>
          <w:sz w:val="24"/>
          <w:szCs w:val="24"/>
        </w:rPr>
        <w:t xml:space="preserve">Treasurer: Record Contribution, Process Loan Application, Record Repayment, Generate Financial Reports, Record Meeting Minutes, View Dashboard.</w:t>
      </w:r>
    </w:p>
    <w:p>
      <w:pPr>
        <w:pStyle w:val="ListParagraph"/>
        <w:numPr>
          <w:ilvl w:val="0"/>
          <w:numId w:val="2"/>
        </w:numPr>
        <w:spacing w:before="60" w:after="60" w:line="320"/>
      </w:pPr>
      <w:r>
        <w:rPr>
          <w:rFonts w:ascii="Arial" w:cs="Arial" w:eastAsia="Arial" w:hAnsi="Arial"/>
          <w:sz w:val="24"/>
          <w:szCs w:val="24"/>
        </w:rPr>
        <w:t xml:space="preserve">Chairperson: Approve Loan Application, Reject Loan Application, View Group Financial Summary, View Dashboard.</w:t>
      </w:r>
    </w:p>
    <w:p>
      <w:pPr>
        <w:pStyle w:val="ListParagraph"/>
        <w:numPr>
          <w:ilvl w:val="0"/>
          <w:numId w:val="2"/>
        </w:numPr>
        <w:spacing w:before="60" w:after="60" w:line="320"/>
      </w:pPr>
      <w:r>
        <w:rPr>
          <w:rFonts w:ascii="Arial" w:cs="Arial" w:eastAsia="Arial" w:hAnsi="Arial"/>
          <w:sz w:val="24"/>
          <w:szCs w:val="24"/>
        </w:rPr>
        <w:t xml:space="preserve">Secretary: Record Meeting Attendance, Document Meeting Minutes, Manage Meeting Schedule, Upload Meeting Attachments.</w:t>
      </w:r>
    </w:p>
    <w:p>
      <w:pPr>
        <w:pStyle w:val="ListParagraph"/>
        <w:numPr>
          <w:ilvl w:val="0"/>
          <w:numId w:val="2"/>
        </w:numPr>
        <w:spacing w:before="60" w:after="60" w:line="320"/>
      </w:pPr>
      <w:r>
        <w:rPr>
          <w:rFonts w:ascii="Arial" w:cs="Arial" w:eastAsia="Arial" w:hAnsi="Arial"/>
          <w:sz w:val="24"/>
          <w:szCs w:val="24"/>
        </w:rPr>
        <w:t xml:space="preserve">Member: View Personal Account Statement, Submit Loan Application, View Contribution History, View Loan Status.</w:t>
      </w:r>
    </w:p>
    <w:p>
      <w:pPr>
        <w:pStyle w:val="Heading3"/>
        <w:spacing w:before="200" w:after="120"/>
      </w:pPr>
      <w:r>
        <w:rPr>
          <w:rFonts w:ascii="Arial" w:cs="Arial" w:eastAsia="Arial" w:hAnsi="Arial"/>
          <w:b/>
          <w:bCs/>
          <w:color w:val="2E75B6"/>
          <w:sz w:val="26"/>
          <w:szCs w:val="26"/>
        </w:rPr>
        <w:t xml:space="preserve">3.7.6 Entity Relationship Diagram</w:t>
      </w:r>
    </w:p>
    <w:p>
      <w:pPr>
        <w:spacing w:before="100" w:after="100" w:line="360"/>
        <w:jc w:val="both"/>
      </w:pPr>
      <w:r>
        <w:rPr>
          <w:rFonts w:ascii="Arial" w:cs="Arial" w:eastAsia="Arial" w:hAnsi="Arial"/>
          <w:sz w:val="24"/>
          <w:szCs w:val="24"/>
        </w:rPr>
        <w:t xml:space="preserve">The ER diagram reflects the eight-table schema verified from the repository. The entities and their primary relationships are:</w:t>
      </w:r>
    </w:p>
    <w:p>
      <w:pPr>
        <w:pStyle w:val="ListParagraph"/>
        <w:numPr>
          <w:ilvl w:val="0"/>
          <w:numId w:val="2"/>
        </w:numPr>
        <w:spacing w:before="60" w:after="60" w:line="320"/>
      </w:pPr>
      <w:r>
        <w:rPr>
          <w:rFonts w:ascii="Arial" w:cs="Arial" w:eastAsia="Arial" w:hAnsi="Arial"/>
          <w:sz w:val="24"/>
          <w:szCs w:val="24"/>
        </w:rPr>
        <w:t xml:space="preserve">MEMBER ←→ CONTRIBUTION: One member may have many contributions (1:N). CONTRIBUTION.MemberID references MEMBER.MemberID.</w:t>
      </w:r>
    </w:p>
    <w:p>
      <w:pPr>
        <w:pStyle w:val="ListParagraph"/>
        <w:numPr>
          <w:ilvl w:val="0"/>
          <w:numId w:val="2"/>
        </w:numPr>
        <w:spacing w:before="60" w:after="60" w:line="320"/>
      </w:pPr>
      <w:r>
        <w:rPr>
          <w:rFonts w:ascii="Arial" w:cs="Arial" w:eastAsia="Arial" w:hAnsi="Arial"/>
          <w:sz w:val="24"/>
          <w:szCs w:val="24"/>
        </w:rPr>
        <w:t xml:space="preserve">MEMBER ←→ LOAN: One member may have many loans (1:N). LOAN.MemberID references MEMBER.MemberID.</w:t>
      </w:r>
    </w:p>
    <w:p>
      <w:pPr>
        <w:pStyle w:val="ListParagraph"/>
        <w:numPr>
          <w:ilvl w:val="0"/>
          <w:numId w:val="2"/>
        </w:numPr>
        <w:spacing w:before="60" w:after="60" w:line="320"/>
      </w:pPr>
      <w:r>
        <w:rPr>
          <w:rFonts w:ascii="Arial" w:cs="Arial" w:eastAsia="Arial" w:hAnsi="Arial"/>
          <w:sz w:val="24"/>
          <w:szCs w:val="24"/>
        </w:rPr>
        <w:t xml:space="preserve">LOAN ←→ REPAYMENT: One loan may have many repayments (1:N). REPAYMENT.LoanID references LOAN.LoanID.</w:t>
      </w:r>
    </w:p>
    <w:p>
      <w:pPr>
        <w:pStyle w:val="ListParagraph"/>
        <w:numPr>
          <w:ilvl w:val="0"/>
          <w:numId w:val="2"/>
        </w:numPr>
        <w:spacing w:before="60" w:after="60" w:line="320"/>
      </w:pPr>
      <w:r>
        <w:rPr>
          <w:rFonts w:ascii="Arial" w:cs="Arial" w:eastAsia="Arial" w:hAnsi="Arial"/>
          <w:sz w:val="24"/>
          <w:szCs w:val="24"/>
        </w:rPr>
        <w:t xml:space="preserve">MEMBER ←→ USERS: One member has one user account (1:1). USERS.MemberID references MEMBER.MemberID.</w:t>
      </w:r>
    </w:p>
    <w:p>
      <w:pPr>
        <w:pStyle w:val="ListParagraph"/>
        <w:numPr>
          <w:ilvl w:val="0"/>
          <w:numId w:val="2"/>
        </w:numPr>
        <w:spacing w:before="60" w:after="60" w:line="320"/>
      </w:pPr>
      <w:r>
        <w:rPr>
          <w:rFonts w:ascii="Arial" w:cs="Arial" w:eastAsia="Arial" w:hAnsi="Arial"/>
          <w:sz w:val="24"/>
          <w:szCs w:val="24"/>
        </w:rPr>
        <w:t xml:space="preserve">MEETING ←→ MEETING_ATTENDEES: One meeting may have many attendance records (1:N). MEETING_ATTENDEES.MeetingID references MEETING.MeetingID.</w:t>
      </w:r>
    </w:p>
    <w:p>
      <w:pPr>
        <w:pStyle w:val="ListParagraph"/>
        <w:numPr>
          <w:ilvl w:val="0"/>
          <w:numId w:val="2"/>
        </w:numPr>
        <w:spacing w:before="60" w:after="60" w:line="320"/>
      </w:pPr>
      <w:r>
        <w:rPr>
          <w:rFonts w:ascii="Arial" w:cs="Arial" w:eastAsia="Arial" w:hAnsi="Arial"/>
          <w:sz w:val="24"/>
          <w:szCs w:val="24"/>
        </w:rPr>
        <w:t xml:space="preserve">MEETING ←→ MEETING_ATTACHMENTS: One meeting may have many attachments (1:N). MEETING_ATTACHMENTS.MeetingID references MEETING.MeetingID.</w:t>
      </w:r>
    </w:p>
    <w:p>
      <w:pPr>
        <w:pStyle w:val="ListParagraph"/>
        <w:numPr>
          <w:ilvl w:val="0"/>
          <w:numId w:val="2"/>
        </w:numPr>
        <w:spacing w:before="60" w:after="60" w:line="320"/>
      </w:pPr>
      <w:r>
        <w:rPr>
          <w:rFonts w:ascii="Arial" w:cs="Arial" w:eastAsia="Arial" w:hAnsi="Arial"/>
          <w:sz w:val="24"/>
          <w:szCs w:val="24"/>
        </w:rPr>
        <w:t xml:space="preserve">MEETING_ATTENDEES ←→ MEMBER: Many-to-many (via meeting_attendees junction table). MEETING_ATTENDEES.MemberID references MEMBER.MemberID.</w:t>
      </w:r>
    </w:p>
    <w:p>
      <w:pPr>
        <w:pStyle w:val="Heading3"/>
        <w:spacing w:before="200" w:after="120"/>
      </w:pPr>
      <w:r>
        <w:rPr>
          <w:rFonts w:ascii="Arial" w:cs="Arial" w:eastAsia="Arial" w:hAnsi="Arial"/>
          <w:b/>
          <w:bCs/>
          <w:color w:val="2E75B6"/>
          <w:sz w:val="26"/>
          <w:szCs w:val="26"/>
        </w:rPr>
        <w:t xml:space="preserve">3.7.7 Laravel MVC Architecture and Models</w:t>
      </w:r>
    </w:p>
    <w:p>
      <w:pPr>
        <w:spacing w:before="100" w:after="100" w:line="360"/>
        <w:jc w:val="both"/>
      </w:pPr>
      <w:r>
        <w:rPr>
          <w:rFonts w:ascii="Arial" w:cs="Arial" w:eastAsia="Arial" w:hAnsi="Arial"/>
          <w:sz w:val="24"/>
          <w:szCs w:val="24"/>
        </w:rPr>
        <w:t xml:space="preserve">The application implements seven Eloquent ORM models, each corresponding to a database table and defining relationships:</w:t>
      </w:r>
    </w:p>
    <w:p>
      <w:pPr>
        <w:pStyle w:val="ListParagraph"/>
        <w:numPr>
          <w:ilvl w:val="0"/>
          <w:numId w:val="2"/>
        </w:numPr>
        <w:spacing w:before="60" w:after="60" w:line="320"/>
      </w:pPr>
      <w:r>
        <w:rPr>
          <w:rFonts w:ascii="Arial" w:cs="Arial" w:eastAsia="Arial" w:hAnsi="Arial"/>
          <w:sz w:val="24"/>
          <w:szCs w:val="24"/>
        </w:rPr>
        <w:t xml:space="preserve">User.php — Handles authentication; has relationship to Member.</w:t>
      </w:r>
    </w:p>
    <w:p>
      <w:pPr>
        <w:pStyle w:val="ListParagraph"/>
        <w:numPr>
          <w:ilvl w:val="0"/>
          <w:numId w:val="2"/>
        </w:numPr>
        <w:spacing w:before="60" w:after="60" w:line="320"/>
      </w:pPr>
      <w:r>
        <w:rPr>
          <w:rFonts w:ascii="Arial" w:cs="Arial" w:eastAsia="Arial" w:hAnsi="Arial"/>
          <w:sz w:val="24"/>
          <w:szCs w:val="24"/>
        </w:rPr>
        <w:t xml:space="preserve">Member.php — Core entity; hasMany Contributions, hasMany Loans; belongsToMany Meetings (via meeting_attendees).</w:t>
      </w:r>
    </w:p>
    <w:p>
      <w:pPr>
        <w:pStyle w:val="ListParagraph"/>
        <w:numPr>
          <w:ilvl w:val="0"/>
          <w:numId w:val="2"/>
        </w:numPr>
        <w:spacing w:before="60" w:after="60" w:line="320"/>
      </w:pPr>
      <w:r>
        <w:rPr>
          <w:rFonts w:ascii="Arial" w:cs="Arial" w:eastAsia="Arial" w:hAnsi="Arial"/>
          <w:sz w:val="24"/>
          <w:szCs w:val="24"/>
        </w:rPr>
        <w:t xml:space="preserve">Contribution.php — belongsTo Member; belongsTo User (recorder).</w:t>
      </w:r>
    </w:p>
    <w:p>
      <w:pPr>
        <w:pStyle w:val="ListParagraph"/>
        <w:numPr>
          <w:ilvl w:val="0"/>
          <w:numId w:val="2"/>
        </w:numPr>
        <w:spacing w:before="60" w:after="60" w:line="320"/>
      </w:pPr>
      <w:r>
        <w:rPr>
          <w:rFonts w:ascii="Arial" w:cs="Arial" w:eastAsia="Arial" w:hAnsi="Arial"/>
          <w:sz w:val="24"/>
          <w:szCs w:val="24"/>
        </w:rPr>
        <w:t xml:space="preserve">Loan.php — belongsTo Member; hasMany Repayments; belongsTo User (approver).</w:t>
      </w:r>
    </w:p>
    <w:p>
      <w:pPr>
        <w:pStyle w:val="ListParagraph"/>
        <w:numPr>
          <w:ilvl w:val="0"/>
          <w:numId w:val="2"/>
        </w:numPr>
        <w:spacing w:before="60" w:after="60" w:line="320"/>
      </w:pPr>
      <w:r>
        <w:rPr>
          <w:rFonts w:ascii="Arial" w:cs="Arial" w:eastAsia="Arial" w:hAnsi="Arial"/>
          <w:sz w:val="24"/>
          <w:szCs w:val="24"/>
        </w:rPr>
        <w:t xml:space="preserve">Repayment.php — belongsTo Loan; belongsTo User (recorder).</w:t>
      </w:r>
    </w:p>
    <w:p>
      <w:pPr>
        <w:pStyle w:val="ListParagraph"/>
        <w:numPr>
          <w:ilvl w:val="0"/>
          <w:numId w:val="2"/>
        </w:numPr>
        <w:spacing w:before="60" w:after="60" w:line="320"/>
      </w:pPr>
      <w:r>
        <w:rPr>
          <w:rFonts w:ascii="Arial" w:cs="Arial" w:eastAsia="Arial" w:hAnsi="Arial"/>
          <w:sz w:val="24"/>
          <w:szCs w:val="24"/>
        </w:rPr>
        <w:t xml:space="preserve">Meeting.php — hasMany MeetingAttachments; belongsToMany Members (via meeting_attendees).</w:t>
      </w:r>
    </w:p>
    <w:p>
      <w:pPr>
        <w:pStyle w:val="ListParagraph"/>
        <w:numPr>
          <w:ilvl w:val="0"/>
          <w:numId w:val="2"/>
        </w:numPr>
        <w:spacing w:before="60" w:after="60" w:line="320"/>
      </w:pPr>
      <w:r>
        <w:rPr>
          <w:rFonts w:ascii="Arial" w:cs="Arial" w:eastAsia="Arial" w:hAnsi="Arial"/>
          <w:sz w:val="24"/>
          <w:szCs w:val="24"/>
        </w:rPr>
        <w:t xml:space="preserve">MeetingAttachment.php — belongsTo Meeting; belongsTo User (uploader).</w:t>
      </w:r>
    </w:p>
    <w:p>
      <w:pPr>
        <w:spacing w:before="100" w:after="100" w:line="360"/>
        <w:jc w:val="both"/>
      </w:pPr>
      <w:r>
        <w:rPr>
          <w:rFonts w:ascii="Arial" w:cs="Arial" w:eastAsia="Arial" w:hAnsi="Arial"/>
          <w:sz w:val="24"/>
          <w:szCs w:val="24"/>
        </w:rPr>
        <w:t xml:space="preserve">Business logic constraints enforced at the model level include: members must exist before creating contributions or loans; loans must exist before creating repayments; deletion of a member is cascaded or restricted based on associated financial records to preserve audit integrity.</w:t>
      </w:r>
    </w:p>
    <w:p>
      <w:pPr>
        <w:pStyle w:val="Heading3"/>
        <w:spacing w:before="200" w:after="120"/>
      </w:pPr>
      <w:r>
        <w:rPr>
          <w:rFonts w:ascii="Arial" w:cs="Arial" w:eastAsia="Arial" w:hAnsi="Arial"/>
          <w:b/>
          <w:bCs/>
          <w:color w:val="2E75B6"/>
          <w:sz w:val="26"/>
          <w:szCs w:val="26"/>
        </w:rPr>
        <w:t xml:space="preserve">3.7.8 Interface Design — Key Screen Descriptions</w:t>
      </w:r>
    </w:p>
    <w:p>
      <w:pPr>
        <w:spacing w:before="100" w:after="100" w:line="360"/>
        <w:jc w:val="both"/>
      </w:pPr>
      <w:r>
        <w:rPr>
          <w:rFonts w:ascii="Arial" w:cs="Arial" w:eastAsia="Arial" w:hAnsi="Arial"/>
          <w:sz w:val="24"/>
          <w:szCs w:val="24"/>
        </w:rPr>
        <w:t xml:space="preserve">Interface wireframes were developed to represent the layout and navigational structure of the system's key screens. Detailed wireframes are provided in Appendix C. The primary interfaces are described below.</w:t>
      </w:r>
    </w:p>
    <w:p>
      <w:pPr>
        <w:spacing w:before="100" w:after="100" w:line="360"/>
        <w:jc w:val="both"/>
      </w:pPr>
      <w:r>
        <w:rPr>
          <w:rFonts w:ascii="Arial" w:cs="Arial" w:eastAsia="Arial" w:hAnsi="Arial"/>
          <w:b/>
          <w:bCs/>
          <w:sz w:val="24"/>
          <w:szCs w:val="24"/>
        </w:rPr>
        <w:t xml:space="preserve">Login Page:</w:t>
      </w:r>
    </w:p>
    <w:p>
      <w:pPr>
        <w:spacing w:before="100" w:after="100" w:line="360"/>
        <w:jc w:val="both"/>
      </w:pPr>
      <w:r>
        <w:rPr>
          <w:rFonts w:ascii="Arial" w:cs="Arial" w:eastAsia="Arial" w:hAnsi="Arial"/>
          <w:sz w:val="24"/>
          <w:szCs w:val="24"/>
        </w:rPr>
        <w:t xml:space="preserve">A minimalist screen presenting the system name, an email field, a password field, and a Login button. An error area below displays authentication failure messages in plain, non-technical language. The stateless architecture (no session middleware for standard routes) means each request is authenticated independently.</w:t>
      </w:r>
    </w:p>
    <w:p>
      <w:pPr>
        <w:spacing w:before="100" w:after="100" w:line="360"/>
        <w:jc w:val="both"/>
      </w:pPr>
      <w:r>
        <w:rPr>
          <w:rFonts w:ascii="Arial" w:cs="Arial" w:eastAsia="Arial" w:hAnsi="Arial"/>
          <w:b/>
          <w:bCs/>
          <w:sz w:val="24"/>
          <w:szCs w:val="24"/>
        </w:rPr>
        <w:t xml:space="preserve">Dashboard:</w:t>
      </w:r>
    </w:p>
    <w:p>
      <w:pPr>
        <w:spacing w:before="100" w:after="100" w:line="360"/>
        <w:jc w:val="both"/>
      </w:pPr>
      <w:r>
        <w:rPr>
          <w:rFonts w:ascii="Arial" w:cs="Arial" w:eastAsia="Arial" w:hAnsi="Arial"/>
          <w:sz w:val="24"/>
          <w:szCs w:val="24"/>
        </w:rPr>
        <w:t xml:space="preserve">Role-specific summary displaying: total group savings balance, number of active loans, total outstanding loan balance, contributions received this month, and upcoming meeting date. Navigation is provided through a top/side bar with labelled links for each primary module (Members, Contributions, Loans, Repayments, Meetings, Reports).</w:t>
      </w:r>
    </w:p>
    <w:p>
      <w:pPr>
        <w:spacing w:before="100" w:after="100" w:line="360"/>
        <w:jc w:val="both"/>
      </w:pPr>
      <w:r>
        <w:rPr>
          <w:rFonts w:ascii="Arial" w:cs="Arial" w:eastAsia="Arial" w:hAnsi="Arial"/>
          <w:b/>
          <w:bCs/>
          <w:sz w:val="24"/>
          <w:szCs w:val="24"/>
        </w:rPr>
        <w:t xml:space="preserve">Members Module:</w:t>
      </w:r>
    </w:p>
    <w:p>
      <w:pPr>
        <w:spacing w:before="100" w:after="100" w:line="360"/>
        <w:jc w:val="both"/>
      </w:pPr>
      <w:r>
        <w:rPr>
          <w:rFonts w:ascii="Arial" w:cs="Arial" w:eastAsia="Arial" w:hAnsi="Arial"/>
          <w:sz w:val="24"/>
          <w:szCs w:val="24"/>
        </w:rPr>
        <w:t xml:space="preserve">A paginated, searchable table of all registered members showing ID, name, phone number, and status (active/inactive/suspended). An Add Member button opens a form capturing first name, last name, national ID, phone, email, address, and status. Member detail views show linked contributions, loans, and attendance records.</w:t>
      </w:r>
    </w:p>
    <w:p>
      <w:pPr>
        <w:spacing w:before="100" w:after="100" w:line="360"/>
        <w:jc w:val="both"/>
      </w:pPr>
      <w:r>
        <w:rPr>
          <w:rFonts w:ascii="Arial" w:cs="Arial" w:eastAsia="Arial" w:hAnsi="Arial"/>
          <w:b/>
          <w:bCs/>
          <w:sz w:val="24"/>
          <w:szCs w:val="24"/>
        </w:rPr>
        <w:t xml:space="preserve">Contributions Module:</w:t>
      </w:r>
    </w:p>
    <w:p>
      <w:pPr>
        <w:spacing w:before="100" w:after="100" w:line="360"/>
        <w:jc w:val="both"/>
      </w:pPr>
      <w:r>
        <w:rPr>
          <w:rFonts w:ascii="Arial" w:cs="Arial" w:eastAsia="Arial" w:hAnsi="Arial"/>
          <w:sz w:val="24"/>
          <w:szCs w:val="24"/>
        </w:rPr>
        <w:t xml:space="preserve">A form with a member search/select field and an amount field, with the current date pre-populated. Upon submission, the system updates the member's cumulative savings and displays a receipt confirmation. A contribution list view shows all contributions with filtering by member and date range.</w:t>
      </w:r>
    </w:p>
    <w:p>
      <w:pPr>
        <w:spacing w:before="100" w:after="100" w:line="360"/>
        <w:jc w:val="both"/>
      </w:pPr>
      <w:r>
        <w:rPr>
          <w:rFonts w:ascii="Arial" w:cs="Arial" w:eastAsia="Arial" w:hAnsi="Arial"/>
          <w:b/>
          <w:bCs/>
          <w:sz w:val="24"/>
          <w:szCs w:val="24"/>
        </w:rPr>
        <w:t xml:space="preserve">Loans Module:</w:t>
      </w:r>
    </w:p>
    <w:p>
      <w:pPr>
        <w:spacing w:before="100" w:after="100" w:line="360"/>
        <w:jc w:val="both"/>
      </w:pPr>
      <w:r>
        <w:rPr>
          <w:rFonts w:ascii="Arial" w:cs="Arial" w:eastAsia="Arial" w:hAnsi="Arial"/>
          <w:sz w:val="24"/>
          <w:szCs w:val="24"/>
        </w:rPr>
        <w:t xml:space="preserve">Tabbed views for Pending, Active, Outstanding, and Completed loans. The New Loan form captures member, requested amount, purpose, and repayment period. The approve/reject workflow is accessible to Chairperson and Administrator roles. The loan detail view shows repayment history and outstanding balance.</w:t>
      </w:r>
    </w:p>
    <w:p>
      <w:pPr>
        <w:spacing w:before="100" w:after="100" w:line="360"/>
        <w:jc w:val="both"/>
      </w:pPr>
      <w:r>
        <w:rPr>
          <w:rFonts w:ascii="Arial" w:cs="Arial" w:eastAsia="Arial" w:hAnsi="Arial"/>
          <w:b/>
          <w:bCs/>
          <w:sz w:val="24"/>
          <w:szCs w:val="24"/>
        </w:rPr>
        <w:t xml:space="preserve">Reports Module:</w:t>
      </w:r>
    </w:p>
    <w:p>
      <w:pPr>
        <w:spacing w:before="100" w:after="100" w:line="360"/>
        <w:jc w:val="both"/>
      </w:pPr>
      <w:r>
        <w:rPr>
          <w:rFonts w:ascii="Arial" w:cs="Arial" w:eastAsia="Arial" w:hAnsi="Arial"/>
          <w:sz w:val="24"/>
          <w:szCs w:val="24"/>
        </w:rPr>
        <w:t xml:space="preserve">A menu of report types with date-range filter controls, generating contribution reports, loan portfolio summaries, and financial overviews. Reports are rendered in-browser with print and PDF export options (implemented using DOMPDF via Laravel).</w:t>
      </w:r>
    </w:p>
    <w:p>
      <w:pPr>
        <w:pStyle w:val="Heading2"/>
        <w:spacing w:before="280" w:after="160"/>
      </w:pPr>
      <w:r>
        <w:rPr>
          <w:rFonts w:ascii="Arial" w:cs="Arial" w:eastAsia="Arial" w:hAnsi="Arial"/>
          <w:b/>
          <w:bCs/>
          <w:color w:val="2E75B6"/>
          <w:sz w:val="28"/>
          <w:szCs w:val="28"/>
        </w:rPr>
        <w:t xml:space="preserve">3.8 Summary</w:t>
      </w:r>
    </w:p>
    <w:p>
      <w:pPr>
        <w:spacing w:before="100" w:after="100" w:line="360"/>
        <w:jc w:val="both"/>
      </w:pPr>
      <w:r>
        <w:rPr>
          <w:rFonts w:ascii="Arial" w:cs="Arial" w:eastAsia="Arial" w:hAnsi="Arial"/>
          <w:sz w:val="24"/>
          <w:szCs w:val="24"/>
        </w:rPr>
        <w:t xml:space="preserve">This chapter has presented a comprehensive system analysis and design for the Community Savings System. Beginning with the Waterfall SDLC methodology, the chapter established technical, economic, operational, and schedule feasibility before proceeding to requirements elicitation. A structured questionnaire administered to 30 community savings group officials and members yielded data confirming the high frequency of record-based disputes (67%), widespread dissatisfaction with manual record-keeping (70%), a critical member accessibility deficit (77%), and near-universal demand for a digital solution (90%). These findings directly shaped the system's functional and non-functional requirements.</w:t>
      </w:r>
    </w:p>
    <w:p>
      <w:pPr>
        <w:spacing w:before="100" w:after="100" w:line="360"/>
        <w:jc w:val="both"/>
      </w:pPr>
      <w:r>
        <w:rPr>
          <w:rFonts w:ascii="Arial" w:cs="Arial" w:eastAsia="Arial" w:hAnsi="Arial"/>
          <w:sz w:val="24"/>
          <w:szCs w:val="24"/>
        </w:rPr>
        <w:t xml:space="preserve">The design phase translated these requirements into a concrete technical blueprint grounded in the actual implementation: a Laravel 10 three-tier web application with eight database tables (verified from the project repository), eight controllers, seven Eloquent models, and over twenty named routes. Logical representations through Data Flow Diagrams and Use Case descriptions, a normalised relational Entity Relationship Diagram, and detailed interface descriptions for each primary module together provide a rigorous foundation for the implementation phase documented in Chapter 4.</w:t>
      </w:r>
    </w:p>
    <w:p>
      <w:pPr>
        <w:spacing w:before="60" w:after="60"/>
      </w:pPr>
      <w:r>
        <w:t xml:space="preserve"/>
      </w:r>
    </w:p>
    <w:p>
      <w:pPr>
        <w:spacing w:before="100" w:after="100" w:line="360"/>
        <w:jc w:val="both"/>
      </w:pPr>
      <w:r>
        <w:rPr>
          <w:rFonts w:ascii="Arial" w:cs="Arial" w:eastAsia="Arial" w:hAnsi="Arial"/>
          <w:i/>
          <w:iCs/>
          <w:color w:val="666666"/>
          <w:sz w:val="20"/>
          <w:szCs w:val="20"/>
        </w:rPr>
        <w:t xml:space="preserve">Note: Appendix A contains the approved questionnaire instrument; Appendix B contains the full suite of charts generated from the survey data analysis; Appendix C contains the complete wireframe designs for all system interfaces.</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 w:type="paragraph" w:styleId="Heading4">
    <w:name w:val="Heading 4"/>
    <w:basedOn w:val="Normal"/>
    <w:next w:val="Normal"/>
    <w:qFormat/>
    <w:pPr>
      <w:spacing w:before="160" w:after="8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2026-02-26T18:26:58.287Z</dcterms:created>
  <dcterms:modified xsi:type="dcterms:W3CDTF">2026-02-26T18:26:58.288Z</dcterms:modified>
</cp:coreProperties>
</file>

<file path=docProps/custom.xml><?xml version="1.0" encoding="utf-8"?>
<Properties xmlns="http://schemas.openxmlformats.org/officeDocument/2006/custom-properties" xmlns:vt="http://schemas.openxmlformats.org/officeDocument/2006/docPropsVTypes"/>
</file>