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C27FB3">
      <w:pPr>
        <w:jc w:val="left"/>
        <w:rPr>
          <w:rFonts w:ascii="华文新魏" w:eastAsia="华文新魏"/>
          <w:b/>
          <w:sz w:val="72"/>
          <w:szCs w:val="72"/>
        </w:rPr>
      </w:pPr>
      <w:r>
        <w:rPr>
          <w:rFonts w:ascii="华文新魏" w:hAnsi="Times New Roman" w:eastAsia="华文新魏"/>
          <w:b/>
          <w:sz w:val="72"/>
          <w:szCs w:val="72"/>
        </w:rPr>
        <w:drawing>
          <wp:inline distT="0" distB="0" distL="0" distR="0">
            <wp:extent cx="3725545" cy="1036320"/>
            <wp:effectExtent l="0" t="0" r="8255" b="0"/>
            <wp:docPr id="4" name="图片 4" descr="C:\Users\Administrator\Desktop\视觉识别系统\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Administrator\Desktop\视觉识别系统\logo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6403" cy="1044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9BE73">
      <w:pPr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西南财经大学本科生</w:t>
      </w:r>
    </w:p>
    <w:p w14:paraId="36949DF4">
      <w:pPr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毕业论文（设计）开题报告表</w:t>
      </w:r>
    </w:p>
    <w:p w14:paraId="4B4E8FC9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题    目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基于宽松风险平价的多资产 ETF 配置研究</w:t>
      </w:r>
    </w:p>
    <w:p w14:paraId="64E029B2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学    院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特拉华数据科学学院</w:t>
      </w:r>
    </w:p>
    <w:p w14:paraId="28FF3FA7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专    业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金融数学</w:t>
      </w:r>
    </w:p>
    <w:p w14:paraId="1F01A560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年    级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2023级</w:t>
      </w:r>
    </w:p>
    <w:p w14:paraId="70C66B51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学生姓名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许哲圣</w:t>
      </w:r>
    </w:p>
    <w:p w14:paraId="735001E7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学    号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42353012</w:t>
      </w:r>
    </w:p>
    <w:p w14:paraId="4E2C2DBE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指导教师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王磊</w:t>
      </w:r>
    </w:p>
    <w:p w14:paraId="7C64DEEE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1247DE34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02282F27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2B3A7DAA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173660F7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1D73BC5F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教务处制表</w:t>
      </w:r>
    </w:p>
    <w:p w14:paraId="4527EC0C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年   月   日</w:t>
      </w:r>
    </w:p>
    <w:p w14:paraId="191D1E93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73"/>
        <w:gridCol w:w="2275"/>
        <w:gridCol w:w="1625"/>
      </w:tblGrid>
      <w:tr w14:paraId="1D00E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63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6472D8">
            <w:pPr>
              <w:keepNext w:val="0"/>
              <w:snapToGrid w:val="0"/>
              <w:spacing w:before="80" w:after="60" w:line="320" w:lineRule="exact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论文（设计）来源</w:t>
            </w:r>
          </w:p>
        </w:tc>
        <w:tc>
          <w:tcPr>
            <w:tcW w:w="2273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EDF7A1">
            <w:pPr>
              <w:keepNext w:val="0"/>
              <w:widowControl/>
              <w:snapToGrid w:val="0"/>
              <w:spacing w:before="0" w:after="45" w:line="320" w:lineRule="exact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（3）毕业实习</w:t>
            </w:r>
          </w:p>
          <w:p w14:paraId="7AB538F8">
            <w:pPr>
              <w:keepNext w:val="0"/>
              <w:widowControl/>
              <w:snapToGrid w:val="0"/>
              <w:spacing w:before="0" w:after="45" w:line="320" w:lineRule="exact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或实践</w:t>
            </w:r>
          </w:p>
        </w:tc>
        <w:tc>
          <w:tcPr>
            <w:tcW w:w="2275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CD3527">
            <w:pPr>
              <w:keepNext w:val="0"/>
              <w:snapToGrid w:val="0"/>
              <w:spacing w:before="80" w:after="60" w:line="320" w:lineRule="exact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论文（设计）类型</w:t>
            </w:r>
          </w:p>
        </w:tc>
        <w:tc>
          <w:tcPr>
            <w:tcW w:w="1625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0102A7">
            <w:pPr>
              <w:keepNext w:val="0"/>
              <w:widowControl/>
              <w:snapToGrid w:val="0"/>
              <w:spacing w:before="0" w:after="45" w:line="320" w:lineRule="exact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B 应用研究</w:t>
            </w:r>
          </w:p>
        </w:tc>
      </w:tr>
      <w:tr w14:paraId="5DA81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gridSpan w:val="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9E281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一、选题意义</w:t>
            </w:r>
          </w:p>
          <w:p w14:paraId="50271542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本选题来源于本人在实习期间对多资产配置策略的整理。桥水的风险分散理念使我关注到，资金比例相同并不意味着承担的风险相同。股票、债券与货币市场工具的波动差异较大，单纯分散资金仍可能使风险集中在少数资产上。风险预算为配置提供了可解释的参考，但投资者还需要权衡组合总风险与预期收益。</w:t>
            </w:r>
          </w:p>
          <w:p w14:paraId="481424D0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本文拟研究基于宽松风险平价的多资产 ETF 配置。在风险预算参考组合的基础上，引入组合方差和预测收益短缺惩罚，使最终权重能够在参考配置附近调整。方差项控制总风险，短缺项限制降低风险时付出的预测收益代价，收益目标取参考组合自身的预测收益。研究希望回答，这种调整能否在计入交易成本后形成合理的收益与风险取舍。</w:t>
            </w:r>
          </w:p>
          <w:p w14:paraId="048206F1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选用境内上市 ETF，有助于将配置思想落实到可交易工具。数学上的重点是将金融偏好表达为明确的目标和约束，并用凸优化方法可靠求解；实证重点是解释各项目标怎样改变持仓及随后表现。研究以既有方法的组合应用为基础，预期贡献在于模型设定的可解释性和实际配置效果的检验。</w:t>
            </w:r>
          </w:p>
        </w:tc>
      </w:tr>
      <w:tr w14:paraId="29B8B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gridSpan w:val="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E0DDBA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二、国内外研究现状概述</w:t>
            </w:r>
          </w:p>
          <w:p w14:paraId="45EB493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国内研究已将基准跟踪、收益要求与投资者偏好纳入组合优化。王志强、赵庆研究跟踪误差投资组合的鲁棒优化及基金应用；刘家和等考虑状态依赖和损失厌恶；王宗润、何瑭瑭讨论动态参照点及相关风险控制。景奎将 ESG 整合与双层风险预算结合。这些研究分别为参考配置、目标以下的不利偏离及风险预算扩展提供了研究背景，具体目标函数与本文有所不同。</w:t>
            </w:r>
          </w:p>
          <w:p w14:paraId="3675FD8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国外研究中，Markowitz以预期收益和方差构建组合选择框架。Spinu将风险预算计算写为含负对数项的凸优化问题，为本文第一阶段提供直接计算方法。Feng 与 Palomar的 SCRIP 框架将风险平价与投资者偏好结合，其中包含组合方差偏好项，说明在风险分散要求之外进一步控制总风险具有文献先例。</w:t>
            </w:r>
          </w:p>
          <w:p w14:paraId="68F40AF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Bourgeron 等采用围绕参考组合的平方范数正则化，为控制权重偏离提供方法依据。Gambeta 与 Kwon研究宽松风险平价中的收益与风险权衡，并根据风险平价组合的预期收益设置收益目标。本文将当期风险预算参考同时用于确定跟踪中心与收益目标，以保持两阶段之间的联系。</w:t>
            </w:r>
          </w:p>
          <w:p w14:paraId="53C0A337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预测收益短缺的平方惩罚需要区分数学形式与经济解释。Nocedal 与 Wright介绍不等式违反量的二次罚函数；Boyd 等讨论组合优化中以惩罚处理软约束。这为对低于目标的预测收益差额取正部并平方提供了方法支撑。Siegmann 与 Lucas研究损失厌恶偏好下的财务规划，对基准财富以下的随机短缺使用二次惩罚。本文惩罚的是预测均值的不足，与随机财富短缺的期望并不相同，引用时将明确这一边界。</w:t>
            </w:r>
          </w:p>
        </w:tc>
      </w:tr>
    </w:tbl>
    <w:p w14:paraId="6610EBE2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0C84C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0C24F3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上述文献能够支持模型中各项设定的来源。本文拟将风险预算参考、方差控制和预测收益短缺整合为两阶段凸模型，采用仅使用历史信息的年度参数更新，并通过对照实验评价其必要性。文献依据说明建模选择有合理来源，最终配置是否有效仍由真实数据检验。</w:t>
            </w:r>
          </w:p>
          <w:p w14:paraId="4B773373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主要参考文献</w:t>
            </w:r>
          </w:p>
          <w:p w14:paraId="7A33A9CD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王志强, 赵庆. 跟踪误差投资组合鲁棒优化模型及其衍生模型在基金市场中的应用[J]. 山东财经大学学报, 2015, 27(1): 1-8.</w:t>
            </w:r>
          </w:p>
          <w:p w14:paraId="5227E8F1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刘家和, 金秀, 苑莹, 等. 状态依赖和损失厌恶下的鲁棒投资组合模型及实证[J]. 管理工程学报, 2018, 32(2): 196-201.</w:t>
            </w:r>
          </w:p>
          <w:p w14:paraId="017DC27E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王宗润, 何瑭瑭. 基于动态参照点的鲁棒投资组合模型及其拓展[J]. 运筹与管理, 2021, 30(6): 124-131.</w:t>
            </w:r>
          </w:p>
          <w:p w14:paraId="4C715FA4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景奎. 基于 ESG 整合的双层风险预算投资组合模型研究[J]. 统计与信息论坛, 2026, 41(9): 65-75.</w:t>
            </w:r>
          </w:p>
          <w:p w14:paraId="63C21484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MARKOWITZ H M. Portfolio Selection: Efficient Diversification of Investments[M]. New York: John Wiley &amp; Sons, 1959.</w:t>
            </w:r>
          </w:p>
          <w:p w14:paraId="341D005D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SPINU F. An Algorithm for Computing Risk Parity Weights[R]. SSRN, 2013. DOI 10.2139/ssrn.2297383.</w:t>
            </w:r>
          </w:p>
          <w:p w14:paraId="13A8E103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FENG Y, PALOMAR D P. SCRIP: Successive Convex Optimization Methods for Risk Parity Portfolio Design[J]. IEEE Transactions on Signal Processing, 2015, 63(19): 5285-5300.</w:t>
            </w:r>
          </w:p>
          <w:p w14:paraId="23DE753E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BOURGERON T, LEZMI E, RONCALLI T. Robust Asset Allocation for Robo-Advisors[R]. Paris: Amundi Asset Management, 2018.</w:t>
            </w:r>
          </w:p>
          <w:p w14:paraId="35FD1B5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GAMBETA V, KWON R. Risk Return Trade-Off in Relaxed Risk Parity Portfolio Optimization[J]. Journal of Risk and Financial Management, 2020, 13(10): 237.</w:t>
            </w:r>
          </w:p>
          <w:p w14:paraId="6B258F27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NOCEDAL J, WRIGHT S J. Numerical Optimization[M]. 2nd ed. New York: Springer, 2006.</w:t>
            </w:r>
          </w:p>
          <w:p w14:paraId="5989AD1C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BOYD S, BUSSETI E, DIAMOND S, et al. Multi-Period Trading via Convex Optimization[J]. Foundations and Trends in Optimization, 2017, 3(1): 1-76.</w:t>
            </w:r>
          </w:p>
          <w:p w14:paraId="77AB50DE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SIEGMANN A, LUCAS A. Discrete-Time Financial Planning Models Under Loss-Averse Preferences[J]. Operations Research, 2005, 53(3): 403-414.</w:t>
            </w:r>
          </w:p>
        </w:tc>
      </w:tr>
    </w:tbl>
    <w:p w14:paraId="498DD4A4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15B05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DA231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三、主要研究内容</w:t>
            </w:r>
          </w:p>
          <w:p w14:paraId="5D25297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1. 风险预算参考与最终配置模型</w:t>
            </w:r>
          </w:p>
          <w:p w14:paraId="557EBD6E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第一阶段根据当期合格资产的协方差矩阵求解等风险预算组合，归一化得到参考权重 q。第二阶段以 q 为中心优化最终权重 w，在多头、满额投资且无杠杆的约束下，综合考虑资金权重偏离、组合方差与预测收益短缺。本文所称“宽松”是允许最终组合偏离严格的风险预算关系。</w:t>
            </w:r>
          </w:p>
          <w:p w14:paraId="107870F9">
            <w:pPr>
              <w:keepNext w:val="0"/>
              <w:keepLines/>
              <w:widowControl/>
              <w:snapToGrid w:val="0"/>
              <w:spacing w:before="100" w:after="100" w:line="300" w:lineRule="atLeast"/>
              <w:jc w:val="center"/>
            </w:pPr>
            <m:oMathPara>
              <m:oMath>
                <m:eqArr>
                  <m:eqArrPr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min J(w) = ‖w − q‖₂² + λᵥ(wᵀΣw)/v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+ λᵣ[max(0, (R − μᵀw)/s)]²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1ᵀw = 1，wᵢ ≥ 0，R = μᵀq</m:t>
                    </m:r>
                  </m:e>
                </m:eqArr>
              </m:oMath>
            </m:oMathPara>
          </w:p>
          <w:p w14:paraId="7D46064F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其中，μ 为预测年化收益向量，Σ 为年化协方差矩阵。v 和 s 为求解前固定的正尺度，用于统一两项惩罚的量级；λᵥ、λᵣ 为非负惩罚系数。第一项限制偏离参考组合，第二项降低估计方差，第三项仅在预测收益低于目标时产生惩罚。预测收益达到目标后，该项为零。</w:t>
            </w:r>
          </w:p>
          <w:p w14:paraId="197E9B8E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2. 参数更新与求解方法</w:t>
            </w:r>
          </w:p>
          <w:p w14:paraId="5716B52B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整理目标函数的凸性、可行域与最优性条件，说明标准求解器适用的原因。使用 CVXPY 表达模型并调用 CLARABEL 求解，不另行开发通用优化算法。参数按年度更新，候选设置和选择均只使用生效日前的历史数据，选定后在下一年度保持固定。</w:t>
            </w:r>
          </w:p>
          <w:p w14:paraId="4AB2831B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3. 配置效果与模型作用检验</w:t>
            </w:r>
          </w:p>
          <w:p w14:paraId="16B3E772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采用真实 ETF 数据开展扣费回测，以风险预算参考组合和简单配置为主要对照，同时报告 HRP Benchmark、HERC Benchmark 两种层次配置结果。通过去掉单项惩罚的比较，辨别方差项和收益短缺项各自的作用。评价结合收益、波动与回撤，并用持仓及换手解释差异；成本和分阶段比较保留能够支持结论的必要部分。</w:t>
            </w:r>
          </w:p>
        </w:tc>
      </w:tr>
    </w:tbl>
    <w:p w14:paraId="60F0D429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72798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4EE565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四、拟采用的研究思路（方法、技术路线、可行性论证等）</w:t>
            </w:r>
          </w:p>
          <w:p w14:paraId="4A69E7E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1. 文献分析与数学建模</w:t>
            </w:r>
          </w:p>
          <w:p w14:paraId="4F0E7B75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围绕风险预算、均值与方差配置、参考正则化及软约束梳理文献，明确每个目标项的依据和本文的改动。对参考组合与最终权重分别建模，说明协方差正定处理、收益目标可行性及解的性质。本文优化的是连续资金权重，属于连续凸优化；与组合优化共享目标、约束和求解的研究思路，当前模型不含离散选股或整数持仓变量。</w:t>
            </w:r>
          </w:p>
          <w:p w14:paraId="5A147CC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2. 数据处理与技术路线</w:t>
            </w:r>
          </w:p>
          <w:p w14:paraId="27188BB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研究对象为覆盖股票、债券、货币市场及商品等类别的 30 只境内上市 ETF。根据上市时间和历史有效观察确定各期合格资产，避免使用尚不可交易的工具。当前回测评价区间为 2018 年 1 月 2 日至 2026 年 10 月 23 日。输入使用此前最多 252 个交易日，协方差采用 Ledoit-Wolf 收缩估计，预测收益采用半衰期为 20 个交易日的指数加权均值。</w:t>
            </w:r>
          </w:p>
          <w:p w14:paraId="5827FD7D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每个调仓日依次完成数据筛选、输入估计、风险预算参考求解和最终权重求解，再按周调整持仓。收益目标等于同日参考组合的预测收益，优化输入在当次求解前固定。回测计入单边 3 个基点交易成本，收益与风险统计采用 252 个交易日年化，无风险利率按零处理。</w:t>
            </w:r>
          </w:p>
          <w:p w14:paraId="26972D5C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3. 年度参数选择与实证安排</w:t>
            </w:r>
          </w:p>
          <w:p w14:paraId="40F35332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每次年度更新使用两个严格早于参数生效日的 252 日区间。较早区间形成候选尺度，较晚区间按扣费表现比较候选，采用一倍标准误规则选择，并保持下一年度参数固定。结合固定参数对照检验动态更新的作用；当多组候选表现接近时，如实报告参数辨识不足，不把选定值解释为唯一最优参数。</w:t>
            </w:r>
          </w:p>
          <w:p w14:paraId="5469503F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实证先回答最终配置相对风险预算参考发生了什么变化，再以消融比较说明各项惩罚的作用，最后检查交易成本与阶段差异。如果低波动主要来自货币和债券配置，应同时呈现对应的收益代价，并辅以风险匹配比较，避免仅凭某一条净值曲线判断优劣。</w:t>
            </w:r>
          </w:p>
          <w:p w14:paraId="4254BD8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4. 研究基础与可行性</w:t>
            </w:r>
          </w:p>
          <w:p w14:paraId="323EF10D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本人已完成策略代码实现和初步回测，具备数据处理、CVXPY 建模及结果整理的基础。现有代码能够连接两个优化阶段，并记录约束误差和求解状态。后续将依据指导意见完善文献论证、检查模型和实验设置，整理必要的表图与论文文字。研究范围限定于当前资产池和历史样本，不预设模型在所有市场阶段均优于比较方法。</w:t>
            </w:r>
          </w:p>
        </w:tc>
      </w:tr>
    </w:tbl>
    <w:p w14:paraId="74600B82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2D57D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3095E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五、研究工作安排及进度</w:t>
            </w:r>
          </w:p>
          <w:p w14:paraId="46656A6E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目前已形成实习策略的数学表达，完成代码和初步回测。后续工作以开题审定后的阶段安排推进，具体提交日期服从学院通知。</w:t>
            </w:r>
          </w:p>
          <w:p w14:paraId="2AD314E6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第一阶段  开题后第 1 至 2 周</w:t>
            </w:r>
          </w:p>
          <w:p w14:paraId="61D7CA28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根据指导意见确定研究范围，继续阅读主要中英文文献，完成模型各项设定与文献的对应说明，重点核实方差和预测收益短缺惩罚的理论依据。</w:t>
            </w:r>
          </w:p>
          <w:p w14:paraId="5AA040DB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第二阶段  第 3 至 4 周</w:t>
            </w:r>
          </w:p>
          <w:p w14:paraId="2A781208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完善两阶段模型及必要的数学说明，核查 CVXPY 表达、约束和数据使用时点。整理年度参数选择过程，明确模型适用条件。</w:t>
            </w:r>
          </w:p>
          <w:p w14:paraId="1C48D128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第三阶段  第 5 至 7 周</w:t>
            </w:r>
          </w:p>
          <w:p w14:paraId="6D6996A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整理主模型与参考组合、简单基准的比较，完成必要的消融及成本检验。结合持仓解释收益与风险差异，保留直接支持结论的图表。</w:t>
            </w:r>
          </w:p>
          <w:p w14:paraId="301FE5AE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第四阶段  第 8 至 10 周</w:t>
            </w:r>
          </w:p>
          <w:p w14:paraId="08F4F4EF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形成并修订论文完整稿，统一引用、符号和统计口径，提交指导教师审阅。根据反馈调整研究结论与局限说明。</w:t>
            </w:r>
          </w:p>
          <w:p w14:paraId="0958D4CB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第五阶段  定稿及答辩阶段</w:t>
            </w:r>
          </w:p>
          <w:p w14:paraId="5115124B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按学院安排完成格式检查和定稿，整理代码与结果记录，准备答辩材料及模型、参数和实证结论的说明。</w:t>
            </w:r>
          </w:p>
        </w:tc>
      </w:tr>
      <w:tr w14:paraId="72642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027DD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指导教师开题意见</w:t>
            </w:r>
          </w:p>
          <w:p w14:paraId="52F20B0A">
            <w:pPr>
              <w:keepNext w:val="0"/>
              <w:widowControl/>
              <w:snapToGrid w:val="0"/>
              <w:spacing w:before="0" w:after="1600" w:line="320" w:lineRule="exact"/>
              <w:ind w:firstLine="480"/>
              <w:jc w:val="both"/>
            </w:pPr>
          </w:p>
          <w:p w14:paraId="10D6B4E6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指导教师签名                         年    月    日</w:t>
            </w:r>
          </w:p>
        </w:tc>
      </w:tr>
    </w:tbl>
    <w:p w14:paraId="4A920A8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A00"/>
    <w:rsid w:val="000A11FB"/>
    <w:rsid w:val="001F3052"/>
    <w:rsid w:val="00364A00"/>
    <w:rsid w:val="006C37E1"/>
    <w:rsid w:val="00B60F8C"/>
    <w:rsid w:val="02DD14D3"/>
    <w:rsid w:val="2490419D"/>
    <w:rsid w:val="675039C2"/>
    <w:rsid w:val="7C94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link w:val="7"/>
    <w:semiHidden/>
    <w:qFormat/>
    <w:uiPriority w:val="0"/>
    <w:pPr>
      <w:ind w:firstLine="538" w:firstLineChars="192"/>
    </w:pPr>
    <w:rPr>
      <w:rFonts w:ascii="Times New Roman" w:hAnsi="Times New Roman" w:eastAsia="宋体" w:cs="Times New Roman"/>
      <w:sz w:val="28"/>
      <w:szCs w:val="24"/>
    </w:rPr>
  </w:style>
  <w:style w:type="paragraph" w:styleId="3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正文文本缩进 字符"/>
    <w:basedOn w:val="6"/>
    <w:link w:val="2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8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3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94</Words>
  <Characters>106</Characters>
  <Lines>5</Lines>
  <Paragraphs>1</Paragraphs>
  <TotalTime>11</TotalTime>
  <ScaleCrop>false</ScaleCrop>
  <LinksUpToDate>false</LinksUpToDate>
  <CharactersWithSpaces>141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2024-10-09T07:06:00Z</dcterms:created>
  <dc:creator>许哲圣</dc:creator>
  <cp:lastModifiedBy>星辰大海</cp:lastModifiedBy>
  <cp:lastPrinted>2025-10-22T02:57:00Z</cp:lastPrinted>
  <dcterms:modified xsi:type="dcterms:W3CDTF">2026-10-28T02:11:25Z</dcterms:modified>
  <dc:title>基于宽松风险平价的多资产 ETF 配置研究 开题报告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eyJoZGlkIjoiOTZkYjBkYTA5NjllOGE5YWYxNTc2M2UwYjNiMjAwZjIiLCJ1c2VySWQiOiIxNTQ0NTk0NTA4In0=</vt:lpwstr>
  </property>
  <property fmtid="{D5CDD505-2E9C-101B-9397-08002B2CF9AE}" pid="3" name="KSOProductBuildVer">
    <vt:lpwstr>2052-12.1.0.29161</vt:lpwstr>
  </property>
  <property fmtid="{D5CDD505-2E9C-101B-9397-08002B2CF9AE}" pid="4" name="ICV">
    <vt:lpwstr>2BA85089112843BF8D50D170C8E35A90_12</vt:lpwstr>
  </property>
</Properties>
</file>