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27FB3">
      <w:pPr>
        <w:jc w:val="left"/>
        <w:rPr>
          <w:rFonts w:ascii="华文新魏" w:eastAsia="华文新魏"/>
          <w:b/>
          <w:sz w:val="72"/>
          <w:szCs w:val="72"/>
        </w:rPr>
      </w:pPr>
      <w:r>
        <w:rPr>
          <w:rFonts w:ascii="华文新魏" w:hAnsi="Times New Roman" w:eastAsia="华文新魏"/>
          <w:b/>
          <w:sz w:val="72"/>
          <w:szCs w:val="72"/>
        </w:rPr>
        <w:drawing>
          <wp:inline distT="0" distB="0" distL="0" distR="0">
            <wp:extent cx="3725545" cy="1036320"/>
            <wp:effectExtent l="0" t="0" r="8255" b="0"/>
            <wp:docPr id="4" name="图片 4" descr="C:\Users\Administrator\Desktop\视觉识别系统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Administrator\Desktop\视觉识别系统\logo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6403" cy="1044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9BE73">
      <w:pPr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西南财经大学本科生</w:t>
      </w:r>
    </w:p>
    <w:p w14:paraId="36949DF4">
      <w:pPr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毕业论文（设计）开题报告表</w:t>
      </w:r>
    </w:p>
    <w:p>
      <w:pPr>
        <w:ind w:left="600"/>
        <w:snapToGrid w:val="0"/>
        <w:spacing w:before="100" w:after="180" w:line="440" w:lineRule="exact"/>
        <w:tabs>
          <w:tab w:val="left" w:pos="2300"/>
        </w:tabs>
      </w:pP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 xml:space="preserve">题    目</w:t>
      </w:r>
      <w:r>
        <w:tab/>
      </w: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 xml:space="preserve">基于宽松风险平价的</w:t>
      </w:r>
      <w:r>
        <w:br/>
      </w: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 xml:space="preserve"/>
      </w:r>
      <w:r>
        <w:tab/>
      </w: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 xml:space="preserve">多资产 ETF 配置研究</w:t>
      </w:r>
    </w:p>
    <w:p>
      <w:pPr>
        <w:ind w:left="600"/>
        <w:snapToGrid w:val="0"/>
        <w:spacing w:before="100" w:after="180" w:line="440" w:lineRule="exact"/>
        <w:tabs>
          <w:tab w:val="left" w:pos="2300"/>
        </w:tabs>
      </w:pP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 xml:space="preserve">学    院</w:t>
      </w:r>
      <w:r>
        <w:tab/>
      </w: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 xml:space="preserve">特拉华数据科学学院</w:t>
      </w:r>
    </w:p>
    <w:p>
      <w:pPr>
        <w:ind w:left="600"/>
        <w:snapToGrid w:val="0"/>
        <w:spacing w:before="100" w:after="180" w:line="440" w:lineRule="exact"/>
        <w:tabs>
          <w:tab w:val="left" w:pos="2300"/>
        </w:tabs>
      </w:pP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 xml:space="preserve">专    业</w:t>
      </w:r>
      <w:r>
        <w:tab/>
      </w: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 xml:space="preserve">金融数学</w:t>
      </w:r>
    </w:p>
    <w:p>
      <w:pPr>
        <w:ind w:left="600"/>
        <w:snapToGrid w:val="0"/>
        <w:spacing w:before="100" w:after="180" w:line="440" w:lineRule="exact"/>
        <w:tabs>
          <w:tab w:val="left" w:pos="2300"/>
        </w:tabs>
      </w:pP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 xml:space="preserve">年    级</w:t>
      </w:r>
      <w:r>
        <w:tab/>
      </w: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 xml:space="preserve">2023级</w:t>
      </w:r>
    </w:p>
    <w:p>
      <w:pPr>
        <w:ind w:left="600"/>
        <w:snapToGrid w:val="0"/>
        <w:spacing w:before="100" w:after="180" w:line="440" w:lineRule="exact"/>
        <w:tabs>
          <w:tab w:val="left" w:pos="2300"/>
        </w:tabs>
      </w:pP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 xml:space="preserve">学生姓名</w:t>
      </w:r>
      <w:r>
        <w:tab/>
      </w: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 xml:space="preserve">许哲圣</w:t>
      </w:r>
    </w:p>
    <w:p>
      <w:pPr>
        <w:ind w:left="600"/>
        <w:snapToGrid w:val="0"/>
        <w:spacing w:before="100" w:after="180" w:line="440" w:lineRule="exact"/>
        <w:tabs>
          <w:tab w:val="left" w:pos="2300"/>
        </w:tabs>
      </w:pP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 xml:space="preserve">学    号</w:t>
      </w:r>
      <w:r>
        <w:tab/>
      </w: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 xml:space="preserve">42353012</w:t>
      </w:r>
    </w:p>
    <w:p>
      <w:pPr>
        <w:ind w:left="600"/>
        <w:snapToGrid w:val="0"/>
        <w:spacing w:before="100" w:after="180" w:line="440" w:lineRule="exact"/>
        <w:tabs>
          <w:tab w:val="left" w:pos="2300"/>
        </w:tabs>
      </w:pP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 xml:space="preserve">指导教师</w:t>
      </w:r>
      <w:r>
        <w:tab/>
      </w: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 xml:space="preserve">王磊</w:t>
      </w:r>
    </w:p>
    <w:p w14:paraId="1D73BC5F">
      <w:pPr>
        <w:jc w:val="center"/>
        <w:rPr>
          <w:rFonts w:hint="eastAsia" w:ascii="宋体" w:hAnsi="宋体" w:eastAsia="宋体" w:cs="宋体"/>
          <w:b/>
          <w:sz w:val="30"/>
          <w:szCs w:val="30"/>
        </w:rPr>
        <w:spacing w:before="100" w:after="100" w:line="280" w:lineRule="auto"/>
      </w:pPr>
      <w:r>
        <w:rPr>
          <w:rFonts w:hint="eastAsia" w:ascii="宋体" w:hAnsi="宋体" w:eastAsia="宋体" w:cs="宋体"/>
          <w:b/>
          <w:sz w:val="30"/>
          <w:szCs w:val="30"/>
        </w:rPr>
        <w:t>教务处制表</w:t>
      </w:r>
    </w:p>
    <w:p w14:paraId="4527EC0C">
      <w:pPr>
        <w:jc w:val="center"/>
        <w:rPr>
          <w:rFonts w:hint="eastAsia" w:ascii="宋体" w:hAnsi="宋体" w:eastAsia="宋体" w:cs="宋体"/>
          <w:b/>
          <w:sz w:val="30"/>
          <w:szCs w:val="30"/>
        </w:rPr>
        <w:spacing w:before="100" w:after="100" w:line="280" w:lineRule="auto"/>
      </w:pPr>
      <w:r>
        <w:rPr>
          <w:rFonts w:hint="eastAsia" w:ascii="宋体" w:hAnsi="宋体" w:eastAsia="宋体" w:cs="宋体"/>
          <w:b/>
          <w:sz w:val="30"/>
          <w:szCs w:val="30"/>
        </w:rPr>
        <w:t>年   月   日</w:t>
      </w:r>
    </w:p>
    <w:p>
      <w:pPr>
        <w:spacing w:before="0" w:after="0" w:line="20" w:lineRule="exact"/>
      </w:pPr>
      <w:r>
        <w:br w:type="page"/>
      </w:r>
    </w:p>
    <w:tbl>
      <w:tblPr>
        <w:tblStyle w:val="5"/>
        <w:tblW w:w="84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2273"/>
        <w:gridCol w:w="2275"/>
        <w:gridCol w:w="1625"/>
      </w:tblGrid>
      <w:tr w14:paraId="1D00E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2263" w:type="dxa"/>
            <w:vAlign w:val="center"/>
          </w:tcPr>
          <w:p w14:paraId="346472D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论文（设计）来源</w:t>
            </w:r>
          </w:p>
        </w:tc>
        <w:tc>
          <w:tcPr>
            <w:tcW w:w="2273" w:type="dxa"/>
            <w:vAlign w:val="center"/>
          </w:tcPr>
          <w:p>
            <w:pPr>
              <w:jc w:val="center"/>
              <w:spacing w:before="0" w:after="65" w:line="360" w:lineRule="exact"/>
              <w:snapToGrid w:val="0"/>
              <w:widowControl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（3）毕业实习</w:t>
            </w:r>
          </w:p>
          <w:p>
            <w:pPr>
              <w:jc w:val="center"/>
              <w:spacing w:before="0" w:after="65" w:line="360" w:lineRule="exact"/>
              <w:snapToGrid w:val="0"/>
              <w:widowControl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或实践</w:t>
            </w:r>
          </w:p>
        </w:tc>
        <w:tc>
          <w:tcPr>
            <w:tcW w:w="2275" w:type="dxa"/>
            <w:vAlign w:val="center"/>
          </w:tcPr>
          <w:p w14:paraId="61CD352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论文（设计）类型</w:t>
            </w:r>
          </w:p>
        </w:tc>
        <w:tc>
          <w:tcPr>
            <w:tcW w:w="1625" w:type="dxa"/>
            <w:vAlign w:val="center"/>
          </w:tcPr>
          <w:p>
            <w:pPr>
              <w:jc w:val="center"/>
              <w:spacing w:before="0" w:after="65" w:line="360" w:lineRule="exact"/>
              <w:snapToGrid w:val="0"/>
              <w:widowControl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B 应用研究</w:t>
            </w:r>
          </w:p>
        </w:tc>
      </w:tr>
      <w:tr w14:paraId="5DA81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0"/>
        </w:trPr>
        <w:tc>
          <w:tcPr>
            <w:tcW w:w="8436" w:type="dxa"/>
            <w:gridSpan w:val="4"/>
          </w:tcPr>
          <w:p>
            <w:pPr>
              <w:jc w:val="left"/>
              <w:spacing w:before="100" w:after="80" w:line="360" w:lineRule="exact"/>
              <w:snapToGrid w:val="0"/>
              <w:widowControl/>
              <w:keepNext w:val="0"/>
              <w:keepLines/>
            </w:pPr>
            <w:r>
              <w:rPr>
                <w:rFonts w:ascii="Times New Roman" w:hAnsi="Times New Roman" w:eastAsia="仿宋" w:cs="Times New Roman"/>
                <w:color w:val="000000"/>
                <w:sz w:val="24"/>
                <w:szCs w:val="24"/>
                <w:b/>
              </w:rPr>
              <w:t xml:space="preserve">一、选题意义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本选题来源于本人在实习期间对多资产配置策略的整理。桥水的风险分散理念使我关注到，资金比例相同并不意味着承担的风险相同。股票、债券与货币市场工具的波动差异较大，单纯分散资金仍可能使风险集中在少数资产上。风险预算为配置提供了可解释的参考，但投资者还需要权衡组合总风险与预期收益。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本文拟研究基于宽松风险平价的多资产 ETF 配置。在风险预算参考组合的基础上，引入组合方差和预测收益短缺惩罚，使最终权重能够在参考配置附近调整。方差项控制总风险，短缺项限制降低风险时付出的预测收益代价，收益目标取参考组合自身的预测收益。研究希望回答，这种调整能否在计入交易成本后形成合理的收益与风险取舍。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选用境内上市 ETF，有助于将配置思想落实到可交易工具。数学上的重点是将金融偏好表达为明确的目标和约束，并用凸优化方法可靠求解；实证重点是解释各项目标怎样改变持仓及随后表现。研究以既有方法的组合应用为基础，预期贡献在于模型设定的可解释性和实际配置效果的检验。</w:t>
            </w:r>
          </w:p>
        </w:tc>
      </w:tr>
      <w:tr w14:paraId="29B8B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0"/>
        </w:trPr>
        <w:tc>
          <w:tcPr>
            <w:tcW w:w="8436" w:type="dxa"/>
            <w:gridSpan w:val="4"/>
          </w:tcPr>
          <w:p>
            <w:pPr>
              <w:jc w:val="left"/>
              <w:spacing w:before="100" w:after="80" w:line="360" w:lineRule="exact"/>
              <w:snapToGrid w:val="0"/>
              <w:widowControl/>
              <w:keepNext w:val="0"/>
              <w:keepLines/>
            </w:pPr>
            <w:r>
              <w:rPr>
                <w:rFonts w:ascii="Times New Roman" w:hAnsi="Times New Roman" w:eastAsia="仿宋" w:cs="Times New Roman"/>
                <w:color w:val="000000"/>
                <w:sz w:val="24"/>
                <w:szCs w:val="24"/>
                <w:b/>
              </w:rPr>
              <w:t xml:space="preserve">二、国内外研究现状概述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国内研究已将基准跟踪、收益要求与投资者偏好纳入组合优化。王志强、赵庆[1]研究跟踪误差投资组合的鲁棒优化及基金应用；刘家和等[2]考虑状态依赖和损失厌恶；王宗润、何瑭瑭[3]讨论动态参照点及相关风险控制。景奎[4]将 ESG 整合与双层风险预算结合。这些研究分别为参考配置、目标以下的不利偏离及风险预算扩展提供了研究背景，具体目标函数与本文有所不同。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国外研究中，Markowitz[5]以预期收益和方差构建组合选择框架。Spinu[6]将风险预算计算写为含负对数项的凸优化问题，为本文第一阶段提供直接计算方法。Feng 与 Palomar[7]的 SCRIP 框架将风险平价与投资者偏好结合，其中包含组合方差偏好项，说明在风险分散要求之外进一步控制总风险具有文献先例。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Bourgeron 等[8]采用围绕参考组合的平方范数正则化，为控制权重偏离提供方法依据。Gambeta 与 Kwon[9]研究宽松风险平价中的收益与风险权衡，并根据风险平价组合的预期收益设置收益目标。本文将当期风险预算参考同时用于确定跟踪中心与收益目标，以保持两阶段之间的联系。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预测收益短缺的平方惩罚需要区分数学形式与经济解释。Nocedal 与 Wright[10]介绍不等式违反量的二次罚函数；Boyd 等[11]讨论组合优化中以惩罚处理软约束。这为对低于目标的预测收益差额取正部并平方提供了方法支撑。Siegmann 与 Lucas[12]研究损失厌恶偏好下的财务规划，对基准财富以下的随机短缺使用二次惩罚。本文惩罚的是预测均值的不足，与随机财富短缺的期望并不相同，引用时将明确这一边界。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上述文献能够支持模型中各项设定的来源。本文拟将风险预算参考、方差控制和预测收益短缺整合为两阶段凸模型，采用仅使用历史信息的年度参数更新，并通过对照实验评价其必要性。文献依据说明建模选择有合理来源，最终配置是否有效仍由真实数据检验。</w:t>
            </w:r>
          </w:p>
          <w:p>
            <w:pPr>
              <w:jc w:val="left"/>
              <w:spacing w:before="100" w:after="80" w:line="360" w:lineRule="exact"/>
              <w:snapToGrid w:val="0"/>
              <w:widowControl/>
              <w:keepNext w:val="0"/>
              <w:keepLines/>
            </w:pPr>
            <w:r>
              <w:rPr>
                <w:rFonts w:ascii="Times New Roman" w:hAnsi="Times New Roman" w:eastAsia="仿宋" w:cs="Times New Roman"/>
                <w:color w:val="000000"/>
                <w:sz w:val="24"/>
                <w:szCs w:val="24"/>
                <w:b/>
              </w:rPr>
              <w:t xml:space="preserve">主要参考文献</w:t>
            </w:r>
          </w:p>
          <w:p>
            <w:pPr>
              <w:jc w:val="left"/>
              <w:spacing w:before="0" w:after="65" w:line="280" w:lineRule="exact"/>
              <w:snapToGrid w:val="0"/>
              <w:widowControl/>
              <w:keepNext w:val="0"/>
              <w:ind w:left="360" w:hanging="36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[1] 王志强, 赵庆. 跟踪误差投资组合鲁棒优化模型及其衍生模型在基金市场中的应用[J]. 山东财经大学学报, 2015, 27(1): 1-8.</w:t>
            </w:r>
          </w:p>
          <w:p>
            <w:pPr>
              <w:jc w:val="left"/>
              <w:spacing w:before="0" w:after="65" w:line="280" w:lineRule="exact"/>
              <w:snapToGrid w:val="0"/>
              <w:widowControl/>
              <w:keepNext w:val="0"/>
              <w:ind w:left="360" w:hanging="36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[2] 刘家和, 金秀, 苑莹, 等. 状态依赖和损失厌恶下的鲁棒投资组合模型及实证[J]. 管理工程学报, 2018, 32(2): 196-201.</w:t>
            </w:r>
          </w:p>
          <w:p>
            <w:pPr>
              <w:jc w:val="left"/>
              <w:spacing w:before="0" w:after="65" w:line="280" w:lineRule="exact"/>
              <w:snapToGrid w:val="0"/>
              <w:widowControl/>
              <w:keepNext w:val="0"/>
              <w:ind w:left="360" w:hanging="36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[3] 王宗润, 何瑭瑭. 基于动态参照点的鲁棒投资组合模型及其拓展[J]. 运筹与管理, 2021, 30(6): 124-131.</w:t>
            </w:r>
          </w:p>
          <w:p>
            <w:pPr>
              <w:jc w:val="left"/>
              <w:spacing w:before="0" w:after="65" w:line="280" w:lineRule="exact"/>
              <w:snapToGrid w:val="0"/>
              <w:widowControl/>
              <w:keepNext w:val="0"/>
              <w:ind w:left="360" w:hanging="36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[4] 景奎. 基于 ESG 整合的双层风险预算投资组合模型研究[J]. 统计与信息论坛, 2026, 41(9): 65-75.</w:t>
            </w:r>
          </w:p>
          <w:p>
            <w:pPr>
              <w:jc w:val="left"/>
              <w:spacing w:before="0" w:after="65" w:line="280" w:lineRule="exact"/>
              <w:snapToGrid w:val="0"/>
              <w:widowControl/>
              <w:keepNext w:val="0"/>
              <w:ind w:left="360" w:hanging="36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[5] MARKOWITZ H M. Portfolio Selection: Efficient Diversification of Investments[M]. New York: John Wiley &amp; Sons, 1959.</w:t>
            </w:r>
          </w:p>
          <w:p>
            <w:pPr>
              <w:jc w:val="left"/>
              <w:spacing w:before="0" w:after="65" w:line="280" w:lineRule="exact"/>
              <w:snapToGrid w:val="0"/>
              <w:widowControl/>
              <w:keepNext w:val="0"/>
              <w:ind w:left="360" w:hanging="36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[6] SPINU F. An Algorithm for Computing Risk Parity Weights[R]. SSRN, 2013. DOI 10.2139/ssrn.2297383.</w:t>
            </w:r>
          </w:p>
          <w:p>
            <w:pPr>
              <w:jc w:val="left"/>
              <w:spacing w:before="0" w:after="65" w:line="280" w:lineRule="exact"/>
              <w:snapToGrid w:val="0"/>
              <w:widowControl/>
              <w:keepNext w:val="0"/>
              <w:ind w:left="360" w:hanging="36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[7] FENG Y, PALOMAR D P. SCRIP: Successive Convex Optimization Methods for Risk Parity Portfolio Design[J]. IEEE Transactions on Signal Processing, 2015, 63(19): 5285-5300.</w:t>
            </w:r>
          </w:p>
          <w:p>
            <w:pPr>
              <w:jc w:val="left"/>
              <w:spacing w:before="0" w:after="65" w:line="280" w:lineRule="exact"/>
              <w:snapToGrid w:val="0"/>
              <w:widowControl/>
              <w:keepNext w:val="0"/>
              <w:ind w:left="360" w:hanging="36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[8] BOURGERON T, LEZMI E, RONCALLI T. Robust Asset Allocation for Robo-Advisors[R]. Paris: Amundi Asset Management, 2018.</w:t>
            </w:r>
          </w:p>
          <w:p>
            <w:pPr>
              <w:jc w:val="left"/>
              <w:spacing w:before="0" w:after="65" w:line="280" w:lineRule="exact"/>
              <w:snapToGrid w:val="0"/>
              <w:widowControl/>
              <w:keepNext w:val="0"/>
              <w:ind w:left="360" w:hanging="36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[9] GAMBETA V, KWON R. Risk Return Trade-Off in Relaxed Risk Parity Portfolio Optimization[J]. Journal of Risk and Financial Management, 2020, 13(10): 237.</w:t>
            </w:r>
          </w:p>
          <w:p>
            <w:pPr>
              <w:jc w:val="left"/>
              <w:spacing w:before="0" w:after="65" w:line="280" w:lineRule="exact"/>
              <w:snapToGrid w:val="0"/>
              <w:widowControl/>
              <w:keepNext w:val="0"/>
              <w:ind w:left="360" w:hanging="36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[10] NOCEDAL J, WRIGHT S J. Numerical Optimization[M]. 2nd ed. New York: Springer, 2006.</w:t>
            </w:r>
          </w:p>
          <w:p>
            <w:pPr>
              <w:jc w:val="left"/>
              <w:spacing w:before="0" w:after="65" w:line="280" w:lineRule="exact"/>
              <w:snapToGrid w:val="0"/>
              <w:widowControl/>
              <w:keepNext w:val="0"/>
              <w:ind w:left="360" w:hanging="36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[11] BOYD S, BUSSETI E, DIAMOND S, et al. Multi-Period Trading via Convex Optimization[J]. Foundations and Trends in Optimization, 2017, 3(1): 1-76.</w:t>
            </w:r>
          </w:p>
          <w:p>
            <w:pPr>
              <w:jc w:val="left"/>
              <w:spacing w:before="0" w:after="65" w:line="280" w:lineRule="exact"/>
              <w:snapToGrid w:val="0"/>
              <w:widowControl/>
              <w:keepNext w:val="0"/>
              <w:ind w:left="360" w:hanging="36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 xml:space="preserve">[12] SIEGMANN A, LUCAS A. Discrete-Time Financial Planning Models Under Loss-Averse Preferences[J]. Operations Research, 2005, 53(3): 403-414.</w:t>
            </w:r>
          </w:p>
        </w:tc>
      </w:tr>
      <w:tr w14:paraId="15B05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0"/>
        </w:trPr>
        <w:tc>
          <w:tcPr>
            <w:tcW w:w="8436" w:type="dxa"/>
            <w:gridSpan w:val="4"/>
          </w:tcPr>
          <w:p>
            <w:pPr>
              <w:jc w:val="left"/>
              <w:spacing w:before="100" w:after="80" w:line="360" w:lineRule="exact"/>
              <w:snapToGrid w:val="0"/>
              <w:widowControl/>
              <w:keepNext w:val="0"/>
              <w:keepLines/>
            </w:pPr>
            <w:r>
              <w:rPr>
                <w:rFonts w:ascii="Times New Roman" w:hAnsi="Times New Roman" w:eastAsia="仿宋" w:cs="Times New Roman"/>
                <w:color w:val="000000"/>
                <w:sz w:val="24"/>
                <w:szCs w:val="24"/>
                <w:b/>
              </w:rPr>
              <w:t xml:space="preserve">三、主要研究内容</w:t>
            </w:r>
          </w:p>
          <w:p>
            <w:pPr>
              <w:jc w:val="left"/>
              <w:spacing w:before="100" w:after="80" w:line="360" w:lineRule="exact"/>
              <w:snapToGrid w:val="0"/>
              <w:widowControl/>
              <w:keepNext w:val="0"/>
              <w:keepLines/>
            </w:pPr>
            <w:r>
              <w:rPr>
                <w:rFonts w:ascii="Times New Roman" w:hAnsi="Times New Roman" w:eastAsia="仿宋" w:cs="Times New Roman"/>
                <w:color w:val="000000"/>
                <w:sz w:val="24"/>
                <w:szCs w:val="24"/>
                <w:b/>
              </w:rPr>
              <w:t xml:space="preserve">1. 风险预算参考与最终配置模型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第一阶段根据当期合格资产的协方差矩阵求解等风险预算组合，归一化得到参考权重 q。第二阶段以 q 为中心优化最终权重 w，在多头、满额投资且无杠杆的约束下，综合考虑资金权重偏离、组合方差与预测收益短缺。本文所称“宽松”是允许最终组合偏离严格的风险预算关系。</w:t>
            </w:r>
          </w:p>
          <w:p>
            <w:pPr>
              <w:jc w:val="center"/>
              <w:spacing w:before="0" w:after="65" w:line="300" w:lineRule="atLeast"/>
              <w:snapToGrid w:val="0"/>
              <w:widowControl/>
              <w:keepNext w:val="0"/>
              <w:keepLines/>
            </w:pPr>
            <m:oMathPara>
              <m:oMath>
                <m:eqAr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>min J(w) = ‖w − q‖₂² + λᵥ(wᵀΣw)/v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>+ λᵣ[max(0, (R − μᵀw)/s)]²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>1ᵀw = 1，wᵢ ≥ 0，R = μᵀq</m:t>
                    </m:r>
                  </m:e>
                </m:eqArr>
              </m:oMath>
            </m:oMathPara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其中，μ 为预测年化收益向量，Σ 为年化协方差矩阵。v 和 s 为求解前固定的正尺度，用于统一两项惩罚的量级；λᵥ、λᵣ 为非负惩罚系数。第一项限制偏离参考组合，第二项降低估计方差，第三项仅在预测收益低于目标时产生惩罚。预测收益达到目标后，该项为零。</w:t>
            </w:r>
          </w:p>
          <w:p>
            <w:pPr>
              <w:jc w:val="left"/>
              <w:spacing w:before="100" w:after="80" w:line="360" w:lineRule="exact"/>
              <w:snapToGrid w:val="0"/>
              <w:widowControl/>
              <w:keepNext w:val="0"/>
              <w:keepLines/>
            </w:pPr>
            <w:r>
              <w:rPr>
                <w:rFonts w:ascii="Times New Roman" w:hAnsi="Times New Roman" w:eastAsia="仿宋" w:cs="Times New Roman"/>
                <w:color w:val="000000"/>
                <w:sz w:val="24"/>
                <w:szCs w:val="24"/>
                <w:b/>
              </w:rPr>
              <w:t xml:space="preserve">2. 参数更新与求解方法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整理目标函数的凸性、可行域与最优性条件，说明标准求解器适用的原因。使用 CVXPY 表达模型并调用 CLARABEL 求解，不另行开发通用优化算法。参数按年度更新，候选设置和选择均只使用生效日前的历史数据，选定后在下一年度保持固定。</w:t>
            </w:r>
          </w:p>
          <w:p>
            <w:pPr>
              <w:jc w:val="left"/>
              <w:spacing w:before="100" w:after="80" w:line="360" w:lineRule="exact"/>
              <w:snapToGrid w:val="0"/>
              <w:widowControl/>
              <w:keepNext w:val="0"/>
              <w:keepLines/>
            </w:pPr>
            <w:r>
              <w:rPr>
                <w:rFonts w:ascii="Times New Roman" w:hAnsi="Times New Roman" w:eastAsia="仿宋" w:cs="Times New Roman"/>
                <w:color w:val="000000"/>
                <w:sz w:val="24"/>
                <w:szCs w:val="24"/>
                <w:b/>
              </w:rPr>
              <w:t xml:space="preserve">3. 配置效果与模型作用检验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采用真实 ETF 数据开展扣费回测，以风险预算参考组合和简单配置为主要对照，同时报告 HRP Benchmark、HERC Benchmark 两种层次配置结果。通过去掉单项惩罚的比较，辨别方差项和收益短缺项各自的作用。评价结合收益、波动与回撤，并用持仓及换手解释差异；成本和分阶段比较保留能够支持结论的必要部分。</w:t>
            </w:r>
          </w:p>
        </w:tc>
      </w:tr>
      <w:tr w14:paraId="72798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0"/>
        </w:trPr>
        <w:tc>
          <w:tcPr>
            <w:tcW w:w="8436" w:type="dxa"/>
            <w:gridSpan w:val="4"/>
          </w:tcPr>
          <w:p>
            <w:pPr>
              <w:jc w:val="left"/>
              <w:spacing w:before="100" w:after="80" w:line="360" w:lineRule="exact"/>
              <w:snapToGrid w:val="0"/>
              <w:widowControl/>
              <w:keepNext w:val="0"/>
              <w:keepLines/>
            </w:pPr>
            <w:r>
              <w:rPr>
                <w:rFonts w:ascii="Times New Roman" w:hAnsi="Times New Roman" w:eastAsia="仿宋" w:cs="Times New Roman"/>
                <w:color w:val="000000"/>
                <w:sz w:val="24"/>
                <w:szCs w:val="24"/>
                <w:b/>
              </w:rPr>
              <w:t xml:space="preserve">四、拟采用的研究思路（方法、技术路线、可行性论证等）</w:t>
            </w:r>
          </w:p>
          <w:p>
            <w:pPr>
              <w:jc w:val="left"/>
              <w:spacing w:before="100" w:after="80" w:line="360" w:lineRule="exact"/>
              <w:snapToGrid w:val="0"/>
              <w:widowControl/>
              <w:keepNext w:val="0"/>
              <w:keepLines/>
            </w:pPr>
            <w:r>
              <w:rPr>
                <w:rFonts w:ascii="Times New Roman" w:hAnsi="Times New Roman" w:eastAsia="仿宋" w:cs="Times New Roman"/>
                <w:color w:val="000000"/>
                <w:sz w:val="24"/>
                <w:szCs w:val="24"/>
                <w:b/>
              </w:rPr>
              <w:t xml:space="preserve">1. 文献分析与数学建模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围绕风险预算、均值与方差配置、参考正则化及软约束梳理文献，明确每个目标项的依据和本文的改动。对参考组合与最终权重分别建模，说明协方差正定处理、收益目标可行性及解的性质。本文优化的是连续资金权重，属于连续凸优化；与组合优化共享目标、约束和求解的研究思路，当前模型不含离散选股或整数持仓变量。</w:t>
            </w:r>
          </w:p>
          <w:p>
            <w:pPr>
              <w:jc w:val="left"/>
              <w:spacing w:before="100" w:after="80" w:line="360" w:lineRule="exact"/>
              <w:snapToGrid w:val="0"/>
              <w:widowControl/>
              <w:keepNext w:val="0"/>
              <w:keepLines/>
            </w:pPr>
            <w:r>
              <w:rPr>
                <w:rFonts w:ascii="Times New Roman" w:hAnsi="Times New Roman" w:eastAsia="仿宋" w:cs="Times New Roman"/>
                <w:color w:val="000000"/>
                <w:sz w:val="24"/>
                <w:szCs w:val="24"/>
                <w:b/>
              </w:rPr>
              <w:t xml:space="preserve">2. 数据处理与技术路线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研究对象为覆盖股票、债券、货币市场及商品等类别的 30 只境内上市 ETF。根据上市时间和历史有效观察确定各期合格资产，避免使用尚不可交易的工具。当前回测评价区间为 2018 年 1 月 2 日至 2026 年 10 月 23 日。输入使用此前最多 252 个交易日，协方差采用 Ledoit-Wolf 收缩估计，预测收益采用半衰期为 20 个交易日的指数加权均值。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每个调仓日依次完成数据筛选、输入估计、风险预算参考求解和最终权重求解，再按周调整持仓。收益目标等于同日参考组合的预测收益，优化输入在当次求解前固定。回测计入单边 3 个基点交易成本，收益与风险统计采用 252 个交易日年化，无风险利率按零处理。</w:t>
            </w:r>
          </w:p>
          <w:p>
            <w:pPr>
              <w:jc w:val="left"/>
              <w:spacing w:before="100" w:after="80" w:line="360" w:lineRule="exact"/>
              <w:snapToGrid w:val="0"/>
              <w:widowControl/>
              <w:keepNext w:val="0"/>
              <w:keepLines/>
            </w:pPr>
            <w:r>
              <w:rPr>
                <w:rFonts w:ascii="Times New Roman" w:hAnsi="Times New Roman" w:eastAsia="仿宋" w:cs="Times New Roman"/>
                <w:color w:val="000000"/>
                <w:sz w:val="24"/>
                <w:szCs w:val="24"/>
                <w:b/>
              </w:rPr>
              <w:t xml:space="preserve">3. 年度参数选择与实证安排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每次年度更新使用两个严格早于参数生效日的 252 日区间。较早区间形成候选尺度，较晚区间按扣费表现比较候选，采用一倍标准误规则选择，并保持下一年度参数固定。结合固定参数对照检验动态更新的作用；当多组候选表现接近时，如实报告参数辨识不足，不把选定值解释为唯一最优参数。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实证先回答最终配置相对风险预算参考发生了什么变化，再以消融比较说明各项惩罚的作用，最后检查交易成本与阶段差异。如果低波动主要来自货币和债券配置，应同时呈现对应的收益代价，并辅以风险匹配比较，避免仅凭某一条净值曲线判断优劣。</w:t>
            </w:r>
          </w:p>
          <w:p>
            <w:pPr>
              <w:jc w:val="left"/>
              <w:spacing w:before="100" w:after="80" w:line="360" w:lineRule="exact"/>
              <w:snapToGrid w:val="0"/>
              <w:widowControl/>
              <w:keepNext w:val="0"/>
              <w:keepLines/>
            </w:pPr>
            <w:r>
              <w:rPr>
                <w:rFonts w:ascii="Times New Roman" w:hAnsi="Times New Roman" w:eastAsia="仿宋" w:cs="Times New Roman"/>
                <w:color w:val="000000"/>
                <w:sz w:val="24"/>
                <w:szCs w:val="24"/>
                <w:b/>
              </w:rPr>
              <w:t xml:space="preserve">4. 研究基础与可行性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本人已完成策略代码实现和初步回测，具备数据处理、CVXPY 建模及结果整理的基础。现有代码能够连接两个优化阶段，并记录约束误差和求解状态。后续将依据指导意见完善文献论证、检查模型和实验设置，整理必要的表图与论文文字。研究范围限定于当前资产池和历史样本，不预设模型在所有市场阶段均优于比较方法。</w:t>
            </w:r>
          </w:p>
        </w:tc>
      </w:tr>
      <w:tr w14:paraId="2D57D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0"/>
        </w:trPr>
        <w:tc>
          <w:tcPr>
            <w:tcW w:w="8436" w:type="dxa"/>
            <w:gridSpan w:val="4"/>
          </w:tcPr>
          <w:p>
            <w:pPr>
              <w:jc w:val="left"/>
              <w:spacing w:before="100" w:after="80" w:line="360" w:lineRule="exact"/>
              <w:snapToGrid w:val="0"/>
              <w:widowControl/>
              <w:keepNext w:val="0"/>
              <w:keepLines/>
            </w:pPr>
            <w:r>
              <w:rPr>
                <w:rFonts w:ascii="Times New Roman" w:hAnsi="Times New Roman" w:eastAsia="仿宋" w:cs="Times New Roman"/>
                <w:color w:val="000000"/>
                <w:sz w:val="24"/>
                <w:szCs w:val="24"/>
                <w:b/>
              </w:rPr>
              <w:t xml:space="preserve">五、研究工作安排及进度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目前已形成实习策略的数学表达，完成代码和初步回测。后续工作以开题审定后的阶段安排推进，具体提交日期服从学院通知。</w:t>
            </w:r>
          </w:p>
          <w:p>
            <w:pPr>
              <w:jc w:val="left"/>
              <w:spacing w:before="100" w:after="80" w:line="360" w:lineRule="exact"/>
              <w:snapToGrid w:val="0"/>
              <w:widowControl/>
              <w:keepNext w:val="0"/>
              <w:keepLines/>
            </w:pPr>
            <w:r>
              <w:rPr>
                <w:rFonts w:ascii="Times New Roman" w:hAnsi="Times New Roman" w:eastAsia="仿宋" w:cs="Times New Roman"/>
                <w:color w:val="000000"/>
                <w:sz w:val="24"/>
                <w:szCs w:val="24"/>
                <w:b/>
              </w:rPr>
              <w:t xml:space="preserve">第一阶段  开题后第 1 至 2 周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根据指导意见确定研究范围，继续阅读主要中英文文献，完成模型各项设定与文献的对应说明，重点核实方差和预测收益短缺惩罚的理论依据。</w:t>
            </w:r>
          </w:p>
          <w:p>
            <w:pPr>
              <w:jc w:val="left"/>
              <w:spacing w:before="100" w:after="80" w:line="360" w:lineRule="exact"/>
              <w:snapToGrid w:val="0"/>
              <w:widowControl/>
              <w:keepNext w:val="0"/>
              <w:keepLines/>
            </w:pPr>
            <w:r>
              <w:rPr>
                <w:rFonts w:ascii="Times New Roman" w:hAnsi="Times New Roman" w:eastAsia="仿宋" w:cs="Times New Roman"/>
                <w:color w:val="000000"/>
                <w:sz w:val="24"/>
                <w:szCs w:val="24"/>
                <w:b/>
              </w:rPr>
              <w:t xml:space="preserve">第二阶段  第 3 至 4 周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完善两阶段模型及必要的数学说明，核查 CVXPY 表达、约束和数据使用时点。整理年度参数选择过程，明确模型适用条件。</w:t>
            </w:r>
          </w:p>
          <w:p>
            <w:pPr>
              <w:jc w:val="left"/>
              <w:spacing w:before="100" w:after="80" w:line="360" w:lineRule="exact"/>
              <w:snapToGrid w:val="0"/>
              <w:widowControl/>
              <w:keepNext w:val="0"/>
              <w:keepLines/>
            </w:pPr>
            <w:r>
              <w:rPr>
                <w:rFonts w:ascii="Times New Roman" w:hAnsi="Times New Roman" w:eastAsia="仿宋" w:cs="Times New Roman"/>
                <w:color w:val="000000"/>
                <w:sz w:val="24"/>
                <w:szCs w:val="24"/>
                <w:b/>
              </w:rPr>
              <w:t xml:space="preserve">第三阶段  第 5 至 7 周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整理主模型与参考组合、简单基准的比较，完成必要的消融及成本检验。结合持仓解释收益与风险差异，保留直接支持结论的图表。</w:t>
            </w:r>
          </w:p>
          <w:p>
            <w:pPr>
              <w:jc w:val="left"/>
              <w:spacing w:before="100" w:after="80" w:line="360" w:lineRule="exact"/>
              <w:snapToGrid w:val="0"/>
              <w:widowControl/>
              <w:keepNext w:val="0"/>
              <w:keepLines/>
            </w:pPr>
            <w:r>
              <w:rPr>
                <w:rFonts w:ascii="Times New Roman" w:hAnsi="Times New Roman" w:eastAsia="仿宋" w:cs="Times New Roman"/>
                <w:color w:val="000000"/>
                <w:sz w:val="24"/>
                <w:szCs w:val="24"/>
                <w:b/>
              </w:rPr>
              <w:t xml:space="preserve">第四阶段  第 8 至 10 周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形成并修订论文完整稿，统一引用、符号和统计口径，提交指导教师审阅。根据反馈调整研究结论与局限说明。</w:t>
            </w:r>
          </w:p>
          <w:p>
            <w:pPr>
              <w:jc w:val="left"/>
              <w:spacing w:before="100" w:after="80" w:line="360" w:lineRule="exact"/>
              <w:snapToGrid w:val="0"/>
              <w:widowControl/>
              <w:keepNext w:val="0"/>
              <w:keepLines/>
            </w:pPr>
            <w:r>
              <w:rPr>
                <w:rFonts w:ascii="Times New Roman" w:hAnsi="Times New Roman" w:eastAsia="仿宋" w:cs="Times New Roman"/>
                <w:color w:val="000000"/>
                <w:sz w:val="24"/>
                <w:szCs w:val="24"/>
                <w:b/>
              </w:rPr>
              <w:t xml:space="preserve">第五阶段  定稿及答辩阶段</w:t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按学院安排完成格式检查和定稿，整理代码与结果记录，准备答辩材料及模型、参数和实证结论的说明。</w:t>
            </w:r>
          </w:p>
        </w:tc>
      </w:tr>
      <w:tr w14:paraId="72642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36" w:type="dxa"/>
            <w:gridSpan w:val="4"/>
          </w:tcPr>
          <w:p>
            <w:pPr>
              <w:jc w:val="left"/>
              <w:spacing w:before="100" w:after="80" w:line="360" w:lineRule="exact"/>
              <w:snapToGrid w:val="0"/>
              <w:widowControl/>
              <w:keepNext w:val="0"/>
              <w:keepLines/>
            </w:pPr>
            <w:r>
              <w:rPr>
                <w:rFonts w:ascii="Times New Roman" w:hAnsi="Times New Roman" w:eastAsia="仿宋" w:cs="Times New Roman"/>
                <w:color w:val="000000"/>
                <w:sz w:val="24"/>
                <w:szCs w:val="24"/>
                <w:b/>
              </w:rPr>
              <w:t xml:space="preserve">指导教师开题意见</w:t>
            </w:r>
          </w:p>
          <w:p>
            <w:pPr>
              <w:jc w:val="both"/>
              <w:spacing w:before="0" w:after="1600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jc w:val="both"/>
              <w:spacing w:before="0" w:after="65" w:line="360" w:lineRule="exact"/>
              <w:snapToGrid w:val="0"/>
              <w:widowControl/>
              <w:keepNext w:val="0"/>
              <w:ind w:firstLine="480"/>
            </w:pPr>
            <w: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w:t xml:space="preserve">指导教师签名                         年    月    日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A00"/>
    <w:rsid w:val="000A11FB"/>
    <w:rsid w:val="001F3052"/>
    <w:rsid w:val="00364A00"/>
    <w:rsid w:val="006C37E1"/>
    <w:rsid w:val="00B60F8C"/>
    <w:rsid w:val="7C94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7"/>
    <w:semiHidden/>
    <w:qFormat/>
    <w:uiPriority w:val="0"/>
    <w:pPr>
      <w:ind w:firstLine="538" w:firstLineChars="192"/>
    </w:pPr>
    <w:rPr>
      <w:rFonts w:ascii="Times New Roman" w:hAnsi="Times New Roman" w:eastAsia="宋体" w:cs="Times New Roman"/>
      <w:sz w:val="28"/>
      <w:szCs w:val="24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正文文本缩进 字符"/>
    <w:basedOn w:val="6"/>
    <w:link w:val="2"/>
    <w:semiHidden/>
    <w:qFormat/>
    <w:uiPriority w:val="0"/>
    <w:rPr>
      <w:rFonts w:ascii="Times New Roman" w:hAnsi="Times New Roman" w:eastAsia="宋体" w:cs="Times New Roman"/>
      <w:sz w:val="28"/>
      <w:szCs w:val="24"/>
    </w:r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266</Words>
  <Characters>266</Characters>
  <Lines>5</Lines>
  <Paragraphs>1</Paragraphs>
  <TotalTime>11</TotalTime>
  <ScaleCrop>false</ScaleCrop>
  <LinksUpToDate>false</LinksUpToDate>
  <CharactersWithSpaces>609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2024-10-09T07:06:00Z</dcterms:created>
  <dc:creator>许哲圣</dc:creator>
  <cp:lastModifiedBy>许哲圣</cp:lastModifiedBy>
  <cp:lastPrinted>2025-10-22T02:57:50Z</cp:lastPrinted>
  <dcterms:modified xsi:type="dcterms:W3CDTF">2025-10-22T02:58:00Z</dcterms:modified>
  <cp:revision>2</cp:revision>
  <dc:title>基于宽松风险平价的多资产 ETF 配置研究 开题报告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eyJoZGlkIjoiZjZjM2Q5MTc1NTBjNGMwOTQyZmEyZDdlYmE3MjE1ZjciLCJ1c2VySWQiOiIxNzQwNTQyOTM2In0=</vt:lpwstr>
  </property>
  <property fmtid="{D5CDD505-2E9C-101B-9397-08002B2CF9AE}" pid="3" name="KSOProductBuildVer">
    <vt:lpwstr>2052-12.1.0.19770</vt:lpwstr>
  </property>
  <property fmtid="{D5CDD505-2E9C-101B-9397-08002B2CF9AE}" pid="4" name="ICV">
    <vt:lpwstr>2BA85089112843BF8D50D170C8E35A90_12</vt:lpwstr>
  </property>
</Properties>
</file>