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C27FB3">
      <w:pPr>
        <w:jc w:val="left"/>
        <w:rPr>
          <w:rFonts w:ascii="华文新魏" w:eastAsia="华文新魏"/>
          <w:b/>
          <w:sz w:val="72"/>
          <w:szCs w:val="72"/>
        </w:rPr>
      </w:pPr>
      <w:r>
        <w:rPr>
          <w:rFonts w:ascii="华文新魏" w:hAnsi="Times New Roman" w:eastAsia="华文新魏"/>
          <w:b/>
          <w:sz w:val="72"/>
          <w:szCs w:val="72"/>
        </w:rPr>
        <w:drawing>
          <wp:inline distT="0" distB="0" distL="0" distR="0">
            <wp:extent cx="3725545" cy="1036320"/>
            <wp:effectExtent l="0" t="0" r="8255" b="0"/>
            <wp:docPr id="4" name="图片 4" descr="C:\Users\Administrator\Desktop\视觉识别系统\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dministrator\Desktop\视觉识别系统\logo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6403" cy="1044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BE73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西南财经大学本科生</w:t>
      </w:r>
    </w:p>
    <w:p w14:paraId="36949DF4">
      <w:pPr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毕业论文（设计）开题报告表</w:t>
      </w:r>
    </w:p>
    <w:p w14:paraId="4B4E8FC9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题    目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基于宽松风险平价的多资产 ETF 配置研究</w:t>
      </w:r>
    </w:p>
    <w:p w14:paraId="64E029B2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    院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特拉华数据科学学院</w:t>
      </w:r>
    </w:p>
    <w:p w14:paraId="28FF3FA7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专    业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金融数学</w:t>
      </w:r>
    </w:p>
    <w:p w14:paraId="1F01A560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年    级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2023级</w:t>
      </w:r>
    </w:p>
    <w:p w14:paraId="70C66B51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学生姓名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许哲圣</w:t>
      </w:r>
    </w:p>
    <w:p w14:paraId="735001E7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学    号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42353012</w:t>
      </w:r>
    </w:p>
    <w:p w14:paraId="4E2C2DBE">
      <w:pPr>
        <w:tabs>
          <w:tab w:val="left" w:pos="2300"/>
        </w:tabs>
        <w:snapToGrid w:val="0"/>
        <w:spacing w:before="100" w:after="180" w:line="440" w:lineRule="exact"/>
        <w:ind w:left="600"/>
      </w:pP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指导教师</w:t>
      </w:r>
      <w:r>
        <w:tab/>
      </w:r>
      <w:r>
        <w:rPr>
          <w:rFonts w:ascii="Times New Roman" w:hAnsi="Times New Roman" w:eastAsia="宋体" w:cs="Times New Roman"/>
          <w:b/>
          <w:color w:val="000000"/>
          <w:sz w:val="30"/>
          <w:szCs w:val="30"/>
        </w:rPr>
        <w:t>王磊</w:t>
      </w:r>
    </w:p>
    <w:p w14:paraId="7C64DEEE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247DE34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02282F27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2B3A7DAA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73660F7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</w:p>
    <w:p w14:paraId="1D73BC5F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sz w:val="30"/>
          <w:szCs w:val="30"/>
        </w:rPr>
        <w:t>教务处制表</w:t>
      </w:r>
    </w:p>
    <w:p w14:paraId="4527EC0C">
      <w:pPr>
        <w:spacing w:before="100" w:after="100" w:line="280" w:lineRule="auto"/>
        <w:jc w:val="center"/>
        <w:rPr>
          <w:rFonts w:hint="eastAsia" w:ascii="宋体" w:hAnsi="宋体" w:eastAsia="宋体" w:cs="宋体"/>
          <w:b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年   月   日</w:t>
      </w:r>
    </w:p>
    <w:p w14:paraId="191D1E93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273"/>
        <w:gridCol w:w="2275"/>
        <w:gridCol w:w="1625"/>
      </w:tblGrid>
      <w:tr w14:paraId="1D00E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6472D8">
            <w:pPr>
              <w:keepNext w:val="0"/>
              <w:snapToGrid w:val="0"/>
              <w:spacing w:before="80" w:after="60" w:line="320" w:lineRule="exact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论文（设计）来源</w:t>
            </w:r>
          </w:p>
        </w:tc>
        <w:tc>
          <w:tcPr>
            <w:tcW w:w="2273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EDF7A1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（3）毕业实习</w:t>
            </w:r>
          </w:p>
          <w:p w14:paraId="7AB538F8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或实践</w:t>
            </w:r>
          </w:p>
        </w:tc>
        <w:tc>
          <w:tcPr>
            <w:tcW w:w="2275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CD3527">
            <w:pPr>
              <w:keepNext w:val="0"/>
              <w:snapToGrid w:val="0"/>
              <w:spacing w:before="80" w:after="60" w:line="320" w:lineRule="exact"/>
              <w:jc w:val="center"/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论文（设计）类型</w:t>
            </w:r>
          </w:p>
        </w:tc>
        <w:tc>
          <w:tcPr>
            <w:tcW w:w="1625" w:type="dx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0102A7">
            <w:pPr>
              <w:keepNext w:val="0"/>
              <w:widowControl/>
              <w:snapToGrid w:val="0"/>
              <w:spacing w:before="0" w:after="45" w:line="320" w:lineRule="exact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 应用研究</w:t>
            </w:r>
          </w:p>
        </w:tc>
      </w:tr>
      <w:tr w14:paraId="5DA81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gridSpan w:val="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9E281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一、选题意义</w:t>
            </w:r>
          </w:p>
          <w:p w14:paraId="5027154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选题来源于本人在实习期间对多资产配置策略的整理。桥水的风险分散理念使我关注到，资金比例相同并不意味着承担的风险相同。股票、债券与货币市场工具的波动差异较大，单纯分散资金仍可能使风险集中在少数资产上。风险预算为配置提供了可解释的参考，但投资者还需要权衡组合总风险与预期收益。</w:t>
            </w:r>
          </w:p>
          <w:p w14:paraId="481424D0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本文拟研究基于宽松风险平价的多资产 ETF 配置。在风险预算参考组合的基础上，引入组合方差和预测收益短缺惩罚，使最终权重能够在参考配置附近调整。方差项控制总风险，短缺项限制降低风险时付出的预测收益代价，收益目标取参考组合自身的预测收益。研究希望回答，这种调整能否在计入交易成本后形成合理的收益与风险取舍。</w:t>
            </w:r>
          </w:p>
          <w:p w14:paraId="048206F1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选用境内上市 ETF，有助于将配置思想落实到可交易工具。数学上的重点是将金融偏好表达为明确的目标和约束，并用凸优化方法可靠求解；实证重点是解释各项目标怎样改变持仓及随后表现。研究以既有方法的组合应用为基础，预期贡献在于模型设定的可解释性和实际配置效果的检验。</w:t>
            </w:r>
          </w:p>
        </w:tc>
      </w:tr>
      <w:tr w14:paraId="29B8B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gridSpan w:val="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E0DDBA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二、国内外研究现状概述</w:t>
            </w:r>
          </w:p>
          <w:p w14:paraId="45EB493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国内研究已将基准跟踪、收益要求与投资者偏好纳入组合优化。王志强、赵庆研究跟踪误差投资组合的鲁棒优化及基金应用；刘家和等考虑状态依赖和损失厌恶；王宗润、何瑭瑭讨论动态参照点及相关风险控制。景奎将 ESG 整合与双层风险预算结合。这些研究分别为参考配置、目标以下的不利偏离及风险预算扩展提供了研究背景，具体目标函数与本文有所不同。</w:t>
            </w:r>
          </w:p>
          <w:p w14:paraId="3675FD8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国外研究中，Markowitz以预期收益和方差构建组合选择框架。Spinu将风险预算计算写为含负对数项的凸优化问题，为本文第一阶段提供直接计算方法。Feng 与 Palomar的 SCRIP 框架将风险平价与投资者偏好结合，其中包含组合方差偏好项，说明在风险分散要求之外进一步控制总风险具有文献先例。</w:t>
            </w:r>
          </w:p>
          <w:p w14:paraId="68F40AF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Bourgeron 等采用围绕参考组合的平方范数正则化，为控制权重偏离提供方法依据。Gambeta 与 Kwon研究宽松风险平价中的收益与风险权衡，并根据风险平价组合的预期收益设置收益目标。本文将当期风险预算参考同时用于确定跟踪中心与收益目标，以保持两阶段之间的联系。</w:t>
            </w:r>
          </w:p>
          <w:p w14:paraId="53C0A337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预测收益短缺的平方惩罚需要区分数学形式与经济解释。Nocedal 与 Wright介绍不等式违反量的二次罚函数；Boyd 等讨论组合优化中以惩罚处理软约束。这为对低于目标的预测收益差额取正部并平方提供了方法支撑。Siegmann 与 Lucas研究损失厌恶偏好下的财务规划，对基准财富以下的随机短缺使用二次惩罚。本文惩罚的是预测均值的不足，与随机财富短缺的期望并不相同，引用时将明确这一边界。</w:t>
            </w:r>
          </w:p>
        </w:tc>
      </w:tr>
    </w:tbl>
    <w:p w14:paraId="6610EBE2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0C84C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C24F3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上述文献能够支持模型中各项设定的来源。本文拟将风险预算参考、方差控制和预测收益短缺整合为两阶段凸模型，采用仅使用历史信息的年度参数更新，并通过对照实验评价其必要性。文献依据说明建模选择有合理来源，最终配置是否有效仍由真实数据检验。</w:t>
            </w:r>
          </w:p>
          <w:p w14:paraId="4B77337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主要参考文献</w:t>
            </w:r>
          </w:p>
          <w:p w14:paraId="7A33A9CD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王志强, 赵庆. 跟踪误差投资组合鲁棒优化模型及其衍生模型在基金市场中的应用[J]. 山东财经大学学报, 2015, 27(1): 1-8.</w:t>
            </w:r>
          </w:p>
          <w:p w14:paraId="5227E8F1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刘家和, 金秀, 苑莹, 等. 状态依赖和损失厌恶下的鲁棒投资组合模型及实证[J]. 管理工程学报, 2018, 32(2): 196-201.</w:t>
            </w:r>
          </w:p>
          <w:p w14:paraId="017DC27E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王宗润, 何瑭瑭. 基于动态参照点的鲁棒投资组合模型及其拓展[J]. 运筹与管理, 2021, 30(6): 124-131.</w:t>
            </w:r>
          </w:p>
          <w:p w14:paraId="4C715FA4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景奎. 基于 ESG 整合的双层风险预算投资组合模型研究[J]. 统计与信息论坛, 2026, 41(9): 65-75.</w:t>
            </w:r>
          </w:p>
          <w:p w14:paraId="63C21484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MARKOWITZ H M. Portfolio Selection: Efficient Diversification of Investments[M]. New York: John Wiley &amp; Sons, 1959.</w:t>
            </w:r>
          </w:p>
          <w:p w14:paraId="341D005D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SPINU F. An Algorithm for Computing Risk Parity Weights[R]. SSRN, 2013. DOI 10.2139/ssrn.2297383.</w:t>
            </w:r>
          </w:p>
          <w:p w14:paraId="13A8E103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FENG Y, PALOMAR D P. SCRIP: Successive Convex Optimization Methods for Risk Parity Portfolio Design[J]. IEEE Transactions on Signal Processing, 2015, 63(19): 5285-5300.</w:t>
            </w:r>
          </w:p>
          <w:p w14:paraId="23DE753E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BOURGERON T, LEZMI E, RONCALLI T. Robust Asset Allocation for Robo-Advisors[R]. Paris: Amundi Asset Management, 2018.</w:t>
            </w:r>
          </w:p>
          <w:p w14:paraId="35FD1B59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GAMBETA V, KWON R. Risk Return Trade-Off in Relaxed Risk Parity Portfolio Optimization[J]. Journal of Risk and Financial Management, 2020, 13(10): 237.</w:t>
            </w:r>
          </w:p>
          <w:p w14:paraId="6B258F27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NOCEDAL J, WRIGHT S J. Numerical Optimization[M]. 2nd ed. New York: Springer, 2006.</w:t>
            </w:r>
          </w:p>
          <w:p w14:paraId="5989AD1C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BOYD S, BUSSETI E, DIAMOND S, et al. Multi-Period Trading via Convex Optimization[J]. Foundations and Trends in Optimization, 2017, 3(1): 1-76.</w:t>
            </w:r>
          </w:p>
          <w:p w14:paraId="77AB50DE">
            <w:pPr>
              <w:keepNext w:val="0"/>
              <w:keepLines/>
              <w:widowControl/>
              <w:snapToGrid w:val="0"/>
              <w:spacing w:before="0" w:after="45" w:line="280" w:lineRule="exact"/>
              <w:ind w:left="0" w:hanging="0"/>
              <w:jc w:val="left"/>
            </w:pPr>
            <w:r>
              <w:rPr>
                <w:rFonts w:ascii="Times New Roman" w:hAnsi="Times New Roman" w:eastAsia="宋体" w:cs="Times New Roman"/>
                <w:color w:val="000000"/>
                <w:sz w:val="21"/>
                <w:szCs w:val="21"/>
              </w:rPr>
              <w:t>SIEGMANN A, LUCAS A. Discrete-Time Financial Planning Models Under Loss-Averse Preferences[J]. Operations Research, 2005, 53(3): 403-414.</w:t>
            </w:r>
          </w:p>
        </w:tc>
      </w:tr>
    </w:tbl>
    <w:p w14:paraId="498DD4A4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15B05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DA231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三、主要研究内容</w:t>
            </w:r>
          </w:p>
          <w:p w14:paraId="5D25297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1. 风险预算参考与最终配置模型</w:t>
            </w:r>
          </w:p>
          <w:p w14:paraId="557EBD6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第一阶段根据当期合格资产的协方差矩阵求解等风险预算组合，归一化得到参考权重 q。第二阶段以 q 为中心优化最终权重 w，在多头、满额投资且无杠杆的约束下，综合考虑资金权重偏离、组合方差与预测收益短缺。本文所称“宽松”是允许最终组合偏离严格的风险预算关系。</w:t>
            </w:r>
          </w:p>
          <w:p w14:paraId="107870F9">
            <w:pPr>
              <w:keepNext w:val="0"/>
              <w:keepLines/>
              <w:widowControl/>
              <w:snapToGrid w:val="0"/>
              <w:spacing w:before="100" w:after="100" w:line="300" w:lineRule="atLeast"/>
              <w:jc w:val="center"/>
            </w:pPr>
            <m:oMathPara>
              <m:oMath>
                <m:eqArr>
                  <m:eqArrPr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min J(w) = ‖w − q‖₂² + λᵥ(wᵀΣw)/v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+ λᵣ[max(0, (R − μᵀw)/s)]²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3"/>
                      </w:rPr>
                      <m:t>1ᵀw = 1，wᵢ ≥ 0，R = μᵀq</m:t>
                    </m:r>
                  </m:e>
                </m:eqArr>
              </m:oMath>
            </m:oMathPara>
          </w:p>
          <w:p w14:paraId="7D46064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其中，μ 为预测年化收益向量，Σ 为年化协方差矩阵。v 和 s 为求解前固定的正尺度，用于统一两项惩罚的量级；λᵥ、λᵣ 为非负惩罚系数。第一项限制偏离参考组合，第二项降低估计方差，第三项仅在预测收益低于目标时产生惩罚。预测收益达到目标后，该项为零。</w:t>
            </w:r>
          </w:p>
          <w:p w14:paraId="197E9B8E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2. 参数更新与求解方法</w:t>
            </w:r>
          </w:p>
          <w:p w14:paraId="5716B52B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整理目标函数的凸性、可行域与最优性条件，说明标准求解器适用的原因。使用 CVXPY 表达模型并调用 CLARABEL 求解，不另行开发通用优化算法。参数按年度更新，候选设置和选择均只使用生效日前的历史数据，选定后在下一年度保持固定。</w:t>
            </w:r>
          </w:p>
          <w:p w14:paraId="4AB2831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3. 配置效果与模型作用检验</w:t>
            </w:r>
          </w:p>
          <w:p w14:paraId="16B3E77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采用真实 ETF 数据开展扣费回测，以风险预算参考组合和简单配置为主要对照，同时报告 HRP Benchmark、HERC Benchmark 两种层次配置结果。通过去掉单项惩罚的比较，辨别方差项和收益短缺项各自的作用。评价结合收益、波动与回撤，并用持仓及换手解释差异；成本和分阶段比较保留能够支持结论的必要部分。</w:t>
            </w:r>
          </w:p>
        </w:tc>
      </w:tr>
    </w:tbl>
    <w:p w14:paraId="60F0D429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72798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4EE565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四、拟采用的研究思路（方法、技术路线、可行性论证等）</w:t>
            </w:r>
          </w:p>
          <w:p w14:paraId="4A69E7E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1. 文献分析与数学建模</w:t>
            </w:r>
          </w:p>
          <w:p w14:paraId="4F0E7B75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围绕风险预算、均值与方差配置、参考正则化及软约束梳理文献，明确每个目标项的依据和本文的改动。对参考组合与最终权重分别建模，说明协方差正定处理、收益目标可行性及解的性质。本文优化的是连续资金权重，属于连续凸优化；与组合优化共享目标、约束和求解的研究思路，当前模型不含离散选股或整数持仓变量。</w:t>
            </w:r>
          </w:p>
          <w:p w14:paraId="5A147CC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2. 数据处理与技术路线</w:t>
            </w:r>
          </w:p>
          <w:p w14:paraId="27188BB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研究对象为覆盖股票、债券、货币市场及商品等类别的 30 只境内上市 ETF。根据上市时间和历史有效观察确定各期合格资产，避免使用尚不可交易的工具。当前回测评价区间为 2018 年 1 月 2 日至 2026 年 10 月 23 日。输入使用此前最多 252 个交易日，协方差采用 Ledoit-Wolf 收缩估计，预测收益采用半衰期为 20 个交易日的指数加权均值。</w:t>
            </w:r>
          </w:p>
          <w:p w14:paraId="5827FD7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每个调仓日依次完成数据筛选、输入估计、风险预算参考求解和最终权重求解，再按周调整持仓。收益目标等于同日参考组合的预测收益，优化输入在当次求解前固定。回测计入单边 3 个基点交易成本，收益与风险统计采用 252 个交易日年化，无风险利率按零处理。</w:t>
            </w:r>
          </w:p>
          <w:p w14:paraId="26972D5C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3. 年度参数选择与实证安排</w:t>
            </w:r>
          </w:p>
          <w:p w14:paraId="40F35332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每次年度更新使用两个严格早于参数生效日的 252 日区间。较早区间形成候选尺度，较晚区间按扣费表现比较候选，采用一倍标准误规则选择，并保持下一年度参数固定。结合固定参数对照检验动态更新的作用；当多组候选表现接近时，如实报告参数辨识不足，不把选定值解释为唯一最优参数。</w:t>
            </w:r>
          </w:p>
          <w:p w14:paraId="5469503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实证先回答最终配置相对风险预算参考发生了什么变化，再以消融比较说明各项惩罚的作用，最后检查交易成本与阶段差异。如果低波动主要来自货币和债券配置，应同时呈现对应的收益代价，并辅以风险匹配比较，避免仅凭某一条净值曲线判断优劣。</w:t>
            </w:r>
          </w:p>
          <w:p w14:paraId="4254BD8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4. 研究基础与可行性</w:t>
            </w:r>
          </w:p>
          <w:p w14:paraId="323EF10D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本人已完成策略代码实现和初步回测，具备数据处理、CVXPY 建模及结果整理的基础。现有代码能够连接两个优化阶段，并记录约束误差和求解状态。后续将依据指导意见完善文献论证、检查模型和实验设置，整理必要的表图与论文文字。研究范围限定于当前资产池和历史样本，不预设模型在所有市场阶段均优于比较方法。</w:t>
            </w:r>
          </w:p>
        </w:tc>
      </w:tr>
    </w:tbl>
    <w:p w14:paraId="74600B82">
      <w:pPr>
        <w:spacing w:before="0" w:after="0" w:line="20" w:lineRule="exact"/>
      </w:pPr>
      <w:r>
        <w:br w:type="page"/>
      </w:r>
    </w:p>
    <w:tbl>
      <w:tblPr>
        <w:tblStyle w:val="5"/>
        <w:tblW w:w="8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6"/>
      </w:tblGrid>
      <w:tr w14:paraId="2D57D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3095E0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五、研究工作安排及进度</w:t>
            </w:r>
          </w:p>
          <w:p w14:paraId="46656A6E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目前已形成实习策略的数学表达，完成代码和初步回测。后续工作以开题审定后的阶段安排推进，具体提交日期服从学院通知。</w:t>
            </w:r>
          </w:p>
          <w:p w14:paraId="2AD314E6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第一阶段  开题后第 1 至 2 周</w:t>
            </w:r>
          </w:p>
          <w:p w14:paraId="61D7CA28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根据指导意见确定研究范围，继续阅读主要中英文文献，完成模型各项设定与文献的对应说明，重点核实方差和预测收益短缺惩罚的理论依据。</w:t>
            </w:r>
          </w:p>
          <w:p w14:paraId="5AA040D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第二阶段  第 3 至 4 周</w:t>
            </w:r>
          </w:p>
          <w:p w14:paraId="2A781208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完善两阶段模型及必要的数学说明，核查 CVXPY 表达、约束和数据使用时点。整理年度参数选择过程，明确模型适用条件。</w:t>
            </w:r>
          </w:p>
          <w:p w14:paraId="1C48D128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第三阶段  第 5 至 7 周</w:t>
            </w:r>
          </w:p>
          <w:p w14:paraId="6D6996A9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整理主模型与参考组合、简单基准的比较，完成必要的消融及成本检验。结合持仓解释收益与风险差异，保留直接支持结论的图表。</w:t>
            </w:r>
          </w:p>
          <w:p w14:paraId="301FE5AE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第四阶段  第 8 至 10 周</w:t>
            </w:r>
          </w:p>
          <w:p w14:paraId="08F4F4EF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形成并修订论文完整稿，统一引用、符号和统计口径，提交指导教师审阅。根据反馈调整研究结论与局限说明。</w:t>
            </w:r>
          </w:p>
          <w:p w14:paraId="0958D4CB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第五阶段  定稿及答辩阶段</w:t>
            </w:r>
          </w:p>
          <w:p w14:paraId="5115124B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按学院安排完成格式检查和定稿，整理代码与结果记录，准备答辩材料及模型、参数和实证结论的说明。</w:t>
            </w:r>
          </w:p>
        </w:tc>
      </w:tr>
      <w:tr w14:paraId="72642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36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027DD3">
            <w:pPr>
              <w:keepNext w:val="0"/>
              <w:keepLines/>
              <w:widowControl/>
              <w:snapToGrid w:val="0"/>
              <w:spacing w:before="80" w:after="60" w:line="320" w:lineRule="exact"/>
              <w:jc w:val="left"/>
            </w:pPr>
            <w:r>
              <w:rPr>
                <w:rFonts w:ascii="Times New Roman" w:hAnsi="Times New Roman" w:eastAsia="仿宋" w:cs="Times New Roman"/>
                <w:b/>
                <w:color w:val="000000"/>
                <w:sz w:val="24"/>
                <w:szCs w:val="24"/>
              </w:rPr>
              <w:t>指导教师开题意见</w:t>
            </w:r>
          </w:p>
          <w:p w14:paraId="52F20B0A">
            <w:pPr>
              <w:keepNext w:val="0"/>
              <w:widowControl/>
              <w:snapToGrid w:val="0"/>
              <w:spacing w:before="0" w:after="1600" w:line="320" w:lineRule="exact"/>
              <w:ind w:firstLine="480"/>
              <w:jc w:val="both"/>
            </w:pPr>
          </w:p>
          <w:p w14:paraId="10D6B4E6">
            <w:pPr>
              <w:keepNext w:val="0"/>
              <w:widowControl/>
              <w:snapToGrid w:val="0"/>
              <w:spacing w:before="0" w:after="45" w:line="320" w:lineRule="exact"/>
              <w:ind w:firstLine="480"/>
              <w:jc w:val="both"/>
            </w:pPr>
            <w:r>
              <w:rPr>
                <w:rFonts w:ascii="Times New Roman" w:hAnsi="Times New Roman" w:eastAsia="宋体" w:cs="Times New Roman"/>
                <w:color w:val="000000"/>
                <w:sz w:val="24"/>
                <w:szCs w:val="24"/>
              </w:rPr>
              <w:t>指导教师签名                         年    月    日</w:t>
            </w:r>
          </w:p>
        </w:tc>
      </w:tr>
    </w:tbl>
    <w:p w14:paraId="4A920A8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A00"/>
    <w:rsid w:val="000A11FB"/>
    <w:rsid w:val="001F3052"/>
    <w:rsid w:val="00364A00"/>
    <w:rsid w:val="006C37E1"/>
    <w:rsid w:val="00B60F8C"/>
    <w:rsid w:val="02DD14D3"/>
    <w:rsid w:val="675039C2"/>
    <w:rsid w:val="7C94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link w:val="7"/>
    <w:semiHidden/>
    <w:qFormat/>
    <w:uiPriority w:val="0"/>
    <w:pPr>
      <w:ind w:firstLine="538" w:firstLineChars="192"/>
    </w:pPr>
    <w:rPr>
      <w:rFonts w:ascii="Times New Roman" w:hAnsi="Times New Roman" w:eastAsia="宋体" w:cs="Times New Roman"/>
      <w:sz w:val="28"/>
      <w:szCs w:val="24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正文文本缩进 字符"/>
    <w:basedOn w:val="6"/>
    <w:link w:val="2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94</Words>
  <Characters>106</Characters>
  <Lines>5</Lines>
  <Paragraphs>1</Paragraphs>
  <TotalTime>11</TotalTime>
  <ScaleCrop>false</ScaleCrop>
  <LinksUpToDate>false</LinksUpToDate>
  <CharactersWithSpaces>142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2024-10-09T07:06:00Z</dcterms:created>
  <dc:creator>许哲圣</dc:creator>
  <cp:lastModifiedBy>星辰大海</cp:lastModifiedBy>
  <cp:lastPrinted>2025-10-22T02:57:00Z</cp:lastPrinted>
  <dcterms:modified xsi:type="dcterms:W3CDTF">2026-10-28T02:07:20Z</dcterms:modified>
  <dc:title>基于宽松风险平价的多资产 ETF 配置研究 开题报告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eyJoZGlkIjoiOTZkYjBkYTA5NjllOGE5YWYxNTc2M2UwYjNiMjAwZjIiLCJ1c2VySWQiOiIxNTQ0NTk0NTA4In0=</vt:lpwstr>
  </property>
  <property fmtid="{D5CDD505-2E9C-101B-9397-08002B2CF9AE}" pid="3" name="KSOProductBuildVer">
    <vt:lpwstr>2052-12.1.0.29161</vt:lpwstr>
  </property>
  <property fmtid="{D5CDD505-2E9C-101B-9397-08002B2CF9AE}" pid="4" name="ICV">
    <vt:lpwstr>2BA85089112843BF8D50D170C8E35A90_12</vt:lpwstr>
  </property>
</Properties>
</file>