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sz w:val="24"/>
        </w:rPr>
        <w:t>FOLHA DE REGISTRO DO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after="20"/>
            </w:pPr>
            <w:r/>
            <w:r>
              <w:rPr>
                <w:rFonts w:ascii="Times New Roman" w:hAnsi="Times New Roman"/>
                <w:caps/>
                <w:sz w:val="15"/>
              </w:rPr>
              <w:t>1. CLASSIFICAÇÃO/TIPO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20"/>
              </w:rPr>
              <w:t>DM</w:t>
            </w:r>
          </w:p>
        </w:tc>
        <w:tc>
          <w:tcPr>
            <w:tcW w:type="dxa" w:w="2493"/>
          </w:tcPr>
          <w:p>
            <w:pPr>
              <w:spacing w:after="20"/>
            </w:pPr>
            <w:r/>
            <w:r>
              <w:rPr>
                <w:rFonts w:ascii="Times New Roman" w:hAnsi="Times New Roman"/>
                <w:caps/>
                <w:sz w:val="15"/>
              </w:rPr>
              <w:t>2. DATA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20"/>
              </w:rPr>
              <w:t>28 de julho de 2026</w:t>
            </w:r>
          </w:p>
        </w:tc>
        <w:tc>
          <w:tcPr>
            <w:tcW w:type="dxa" w:w="2493"/>
          </w:tcPr>
          <w:p>
            <w:pPr>
              <w:spacing w:after="20"/>
            </w:pPr>
            <w:r/>
            <w:r>
              <w:rPr>
                <w:rFonts w:ascii="Times New Roman" w:hAnsi="Times New Roman"/>
                <w:caps/>
                <w:sz w:val="15"/>
              </w:rPr>
              <w:t>3. DOCUMENTO Nº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color w:val="C00000"/>
                <w:sz w:val="20"/>
              </w:rPr>
              <w:t>DCTA/ITA/DM - XXX/2026</w:t>
            </w:r>
          </w:p>
        </w:tc>
        <w:tc>
          <w:tcPr>
            <w:tcW w:type="dxa" w:w="2493"/>
          </w:tcPr>
          <w:p>
            <w:pPr>
              <w:spacing w:after="20"/>
            </w:pPr>
            <w:r/>
            <w:r>
              <w:rPr>
                <w:rFonts w:ascii="Times New Roman" w:hAnsi="Times New Roman"/>
                <w:caps/>
                <w:sz w:val="15"/>
              </w:rPr>
              <w:t>4. Nº DE PÁGINAS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20"/>
              </w:rPr>
              <w:t>155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caps/>
                <w:sz w:val="15"/>
              </w:rPr>
              <w:t>5. TÍTULO E SUBTÍTULO: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20"/>
              </w:rPr>
              <w:t>Object Detection and Tracking Using an Unmanned Aerial Vehicle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caps/>
                <w:sz w:val="15"/>
              </w:rPr>
              <w:t>6. AUTOR(ES):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20"/>
              </w:rPr>
              <w:t>Eric Ezequiel Yoshida de Lima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caps/>
                <w:sz w:val="15"/>
              </w:rPr>
              <w:t>7. INSTITUIÇÃO(ÕES)/ÓRGÃO(S) INTERNO(S)/DIVISÃO(ÕES):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20"/>
              </w:rPr>
              <w:t>Instituto Tecnológico de Aeronáutica – ITA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caps/>
                <w:sz w:val="15"/>
              </w:rPr>
              <w:t>8. PALAVRAS-CHAVE SUGERIDAS PELO AUTOR: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20"/>
              </w:rPr>
              <w:t>Unmanned aerial vehicles; Detect-and-avoid; Object tracking; Extended Kalman filter; 3D object detection; Sensor fusion; Convolutional neural networks.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caps/>
                <w:sz w:val="15"/>
              </w:rPr>
              <w:t>9. PALAVRAS-CHAVE RESULTANTES DE INDEXAÇÃO: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20"/>
              </w:rPr>
              <w:t>Aeronaves não-tripuladas; Rastreamento; Filtro de Kalman estendido; Redes neurais convolucionais; Visão computacional; Fusão de sensores; Métodos computacionais.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caps/>
                <w:sz w:val="15"/>
              </w:rPr>
              <w:t>10. APRESENTAÇÃO:                                                          (X) Nacional     ( ) Internacional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20"/>
              </w:rPr>
              <w:t>ITA, São José dos Campos. Curso de Mestrado. Programa de Pós-Graduação em Electronic Engineering and Computer Science. Área de Informatics. Orientador: Prof. Dr. Marcos Ricardo Omena de Albuquerque Maximo; Coorientador: Dr. Stiven Schwanz Dias. Defesa em 28/07/2026.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caps/>
                <w:sz w:val="15"/>
              </w:rPr>
              <w:t>11. RESUMO: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20"/>
              </w:rPr>
              <w:t>This dissertation develops the perception (sense) layer of detect-and-avoid for urban unmanned aerial vehicles, structured as a modular camera–point-cloud pipeline: a convolutional neural network locates the obstacle in the image, the detected region is extended into space as a viewing frustum that crops the point cloud, a second network fits a metric three-dimensional box, and an Extended Kalman Filter turns the detections into trajectories with calibrated uncertainty. Three self-contained studies validate the pipeline. The first formulates tracking from a moving platform in the global and local reference frames, proves that the two formulations are mathematically equivalent under a known pose and isotropic process noise, characterizes the regimes in which that equivalence fails, and shows the filter to be near-optimal against the posterior Cramér–Rao bound. The second takes the same estimator onto real quadrotor flights, tracking a person with a single camera and an onboard pose estimate, and demonstrates that propagating the pose uncertainty into the innovation is necessary for statistical consistency. The third builds a synthetic dataset in the AirSim simulator, trains the detection stages, and identifies foreground extraction, rather than the box regressor, as the dominant factor in 3D localization accuracy.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caps/>
                <w:sz w:val="15"/>
              </w:rPr>
              <w:t>12. GRAU DE SIGILO: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20"/>
              </w:rPr>
              <w:t>(X) OSTENSIVO                    ( ) RESERVADO                    ( ) SECRETO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