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Noto Sans" w:hAnsi="Noto Sans" w:eastAsia="Noto Sans"/>
          <w:b/>
          <w:i w:val="0"/>
          <w:color w:val="1F4E79"/>
          <w:sz w:val="52"/>
        </w:rPr>
        <w:t>GSE143758 Explained</w:t>
      </w:r>
    </w:p>
    <w:p>
      <w:pPr>
        <w:spacing w:before="100"/>
        <w:jc w:val="center"/>
      </w:pPr>
      <w:r>
        <w:rPr>
          <w:rFonts w:ascii="Noto Sans" w:hAnsi="Noto Sans" w:eastAsia="Noto Sans"/>
          <w:b w:val="0"/>
          <w:i w:val="0"/>
          <w:color w:val="3F3F3F"/>
          <w:sz w:val="28"/>
        </w:rPr>
        <w:t>Dataset design, sample counts, biological findings, and appropriate use</w:t>
      </w:r>
    </w:p>
    <w:p>
      <w:pPr>
        <w:spacing w:before="360"/>
        <w:jc w:val="center"/>
      </w:pPr>
      <w:r>
        <w:rPr>
          <w:rFonts w:ascii="Noto Sans" w:hAnsi="Noto Sans" w:eastAsia="Noto Sans"/>
          <w:b/>
          <w:i w:val="0"/>
          <w:color w:val="C65911"/>
          <w:sz w:val="23"/>
        </w:rPr>
        <w:t>A clear guide to why GEO lists 37 samples while the main comparison contains 8 independent mice</w:t>
      </w:r>
    </w:p>
    <w:p>
      <w:pPr>
        <w:spacing w:before="800"/>
        <w:jc w:val="center"/>
      </w:pPr>
      <w:r>
        <w:rPr>
          <w:rFonts w:ascii="Noto Sans" w:hAnsi="Noto Sans" w:eastAsia="Noto Sans"/>
          <w:b w:val="0"/>
          <w:i/>
          <w:color w:val="666666"/>
          <w:sz w:val="21"/>
        </w:rPr>
        <w:t>Prepared for secondary analysis of Alzheimer-related mouse single-nucleus RNA-seq data</w:t>
      </w:r>
    </w:p>
    <w:p>
      <w:pPr>
        <w:spacing w:before="160"/>
        <w:jc w:val="center"/>
      </w:pPr>
      <w:r>
        <w:rPr>
          <w:rFonts w:ascii="Noto Sans" w:hAnsi="Noto Sans" w:eastAsia="Noto Sans"/>
          <w:b w:val="0"/>
          <w:i w:val="0"/>
          <w:color w:val="777777"/>
          <w:sz w:val="19"/>
        </w:rPr>
        <w:t>Prepared August 22, 2026</w:t>
      </w:r>
    </w:p>
    <w:p>
      <w:r>
        <w:rPr>
          <w:rFonts w:ascii="Noto Sans" w:hAnsi="Noto Sans" w:eastAsia="Noto Sans"/>
        </w:rPr>
        <w:br w:type="page"/>
      </w:r>
    </w:p>
    <w:p>
      <w:pPr>
        <w:pStyle w:val="Heading1"/>
        <w:keepNext/>
        <w:spacing w:before="240" w:after="100"/>
      </w:pPr>
      <w:r>
        <w:rPr>
          <w:rFonts w:ascii="Noto Sans" w:hAnsi="Noto Sans" w:eastAsia="Noto Sans"/>
        </w:rPr>
        <w:t>Executive summary</w:t>
      </w:r>
    </w:p>
    <w:tbl>
      <w:tblPr>
        <w:tblW w:type="auto" w:w="0"/>
        <w:jc w:val="center"/>
        <w:tblLayout w:type="fixed"/>
        <w:tblLook w:firstColumn="1" w:firstRow="1" w:lastColumn="0" w:lastRow="0" w:noHBand="0" w:noVBand="1" w:val="04A0"/>
      </w:tblPr>
      <w:tblGrid>
        <w:gridCol w:w="9354"/>
      </w:tblGrid>
      <w:tr>
        <w:trPr>
          <w:cantSplit/>
        </w:trPr>
        <w:tc>
          <w:tcPr>
            <w:tcW w:type="dxa" w:w="9972"/>
            <w:shd w:fill="EDF4FA"/>
            <w:tcBorders>
              <w:top w:val="single" w:sz="14" w:color="1F4E79"/>
              <w:left w:val="single" w:sz="14" w:color="1F4E79"/>
              <w:bottom w:val="single" w:sz="14" w:color="1F4E79"/>
              <w:right w:val="single" w:sz="14" w:color="1F4E79"/>
            </w:tcBorders>
            <w:tcMar>
              <w:top w:w="120" w:type="dxa"/>
              <w:start w:w="160" w:type="dxa"/>
              <w:bottom w:w="120" w:type="dxa"/>
              <w:end w:w="160" w:type="dxa"/>
            </w:tcMar>
          </w:tcPr>
          <w:p>
            <w:pPr>
              <w:spacing w:after="80"/>
            </w:pPr>
            <w:r>
              <w:rPr>
                <w:rFonts w:ascii="Noto Sans" w:hAnsi="Noto Sans" w:eastAsia="Noto Sans"/>
                <w:b/>
                <w:i w:val="0"/>
                <w:color w:val="1F4E79"/>
                <w:sz w:val="21"/>
              </w:rPr>
              <w:t>Bottom line</w:t>
            </w:r>
          </w:p>
          <w:p>
            <w:pPr>
              <w:spacing w:after="0"/>
            </w:pPr>
            <w:r>
              <w:rPr>
                <w:rFonts w:ascii="Noto Sans" w:hAnsi="Noto Sans" w:eastAsia="Noto Sans"/>
                <w:b w:val="0"/>
                <w:i w:val="0"/>
                <w:sz w:val="20"/>
              </w:rPr>
              <w:t>GSE143758 is a valuable 5xFAD-versus-WT mouse-brain snRNA-seq resource, especially for disease-associated astrocytes, age progression, and broad cell-type localization at seven months. It is not a human APOE3-versus-APOE4 dataset, and its female sample size is far too small for a reliable sex comparison.</w:t>
            </w:r>
          </w:p>
        </w:tc>
      </w:tr>
    </w:tbl>
    <w:p>
      <w:pPr>
        <w:spacing w:after="0"/>
      </w:pPr>
    </w:p>
    <w:p>
      <w:r>
        <w:rPr>
          <w:rFonts w:ascii="Noto Sans" w:hAnsi="Noto Sans" w:eastAsia="Noto Sans"/>
          <w:b/>
          <w:i w:val="0"/>
        </w:rPr>
        <w:t xml:space="preserve">The apparent sample-size contradiction is caused by counting different things. </w:t>
      </w:r>
      <w:r>
        <w:rPr>
          <w:rFonts w:ascii="Noto Sans" w:hAnsi="Noto Sans" w:eastAsia="Noto Sans"/>
          <w:b w:val="0"/>
          <w:i w:val="0"/>
        </w:rPr>
        <w:t>GEO lists 37 GSM records for the entire series, which contains several ages, brain regions, and validation experiments. The principal seven-month male hippocampal comparison is only one subset: it used 8 independent mice - 4 WT and 4 5xFAD - and generated 10 sample/library preparations. The study then measured tens of thousands of nuclei from those animals. For biological inference, the mouse is the independent unit.</w:t>
      </w:r>
    </w:p>
    <w:p>
      <w:pPr>
        <w:pStyle w:val="Heading1"/>
        <w:keepNext/>
        <w:spacing w:before="240" w:after="100"/>
      </w:pPr>
      <w:r>
        <w:rPr>
          <w:rFonts w:ascii="Noto Sans" w:hAnsi="Noto Sans" w:eastAsia="Noto Sans"/>
        </w:rPr>
        <w:t>1. Dataset at a glance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32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Item</w:t>
            </w:r>
          </w:p>
        </w:tc>
        <w:tc>
          <w:tcPr>
            <w:tcW w:type="dxa" w:w="6860"/>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What GSE143758 contains</w:t>
            </w:r>
          </w:p>
        </w:tc>
      </w:tr>
      <w:tr>
        <w:trPr>
          <w:cantSplit/>
        </w:trPr>
        <w:tc>
          <w:tcPr>
            <w:tcW w:type="dxa" w:w="2324"/>
            <w:vAlign w:val="top"/>
            <w:tcMar>
              <w:top w:w="90" w:type="dxa"/>
              <w:start w:w="90" w:type="dxa"/>
              <w:bottom w:w="90" w:type="dxa"/>
              <w:end w:w="90" w:type="dxa"/>
            </w:tcMar>
          </w:tcPr>
          <w:p>
            <w:pPr>
              <w:spacing w:after="0"/>
            </w:pPr>
            <w:r>
              <w:rPr>
                <w:rFonts w:ascii="Noto Sans" w:hAnsi="Noto Sans" w:eastAsia="Noto Sans"/>
                <w:b w:val="0"/>
                <w:i w:val="0"/>
                <w:sz w:val="18"/>
              </w:rPr>
              <w:t>GEO accession</w:t>
            </w:r>
          </w:p>
        </w:tc>
        <w:tc>
          <w:tcPr>
            <w:tcW w:type="dxa" w:w="6860"/>
            <w:vAlign w:val="top"/>
            <w:tcMar>
              <w:top w:w="90" w:type="dxa"/>
              <w:start w:w="90" w:type="dxa"/>
              <w:bottom w:w="90" w:type="dxa"/>
              <w:end w:w="90" w:type="dxa"/>
            </w:tcMar>
          </w:tcPr>
          <w:p>
            <w:pPr>
              <w:spacing w:after="0"/>
            </w:pPr>
            <w:r>
              <w:rPr>
                <w:rFonts w:ascii="Noto Sans" w:hAnsi="Noto Sans" w:eastAsia="Noto Sans"/>
                <w:b w:val="0"/>
                <w:i w:val="0"/>
                <w:sz w:val="18"/>
              </w:rPr>
              <w:t>GSE143758</w:t>
            </w:r>
          </w:p>
        </w:tc>
      </w:tr>
      <w:tr>
        <w:trPr>
          <w:cantSplit/>
        </w:trPr>
        <w:tc>
          <w:tcPr>
            <w:tcW w:type="dxa" w:w="2324"/>
            <w:shd w:fill="F7FAFC"/>
            <w:vAlign w:val="top"/>
            <w:tcMar>
              <w:top w:w="90" w:type="dxa"/>
              <w:start w:w="90" w:type="dxa"/>
              <w:bottom w:w="90" w:type="dxa"/>
              <w:end w:w="90" w:type="dxa"/>
            </w:tcMar>
          </w:tcPr>
          <w:p>
            <w:pPr>
              <w:spacing w:after="0"/>
            </w:pPr>
            <w:r>
              <w:rPr>
                <w:rFonts w:ascii="Noto Sans" w:hAnsi="Noto Sans" w:eastAsia="Noto Sans"/>
                <w:b w:val="0"/>
                <w:i w:val="0"/>
                <w:sz w:val="18"/>
              </w:rPr>
              <w:t>Study</w:t>
            </w:r>
          </w:p>
        </w:tc>
        <w:tc>
          <w:tcPr>
            <w:tcW w:type="dxa" w:w="6860"/>
            <w:shd w:fill="F7FAFC"/>
            <w:vAlign w:val="top"/>
            <w:tcMar>
              <w:top w:w="90" w:type="dxa"/>
              <w:start w:w="90" w:type="dxa"/>
              <w:bottom w:w="90" w:type="dxa"/>
              <w:end w:w="90" w:type="dxa"/>
            </w:tcMar>
          </w:tcPr>
          <w:p>
            <w:pPr>
              <w:spacing w:after="0"/>
            </w:pPr>
            <w:r>
              <w:rPr>
                <w:rFonts w:ascii="Noto Sans" w:hAnsi="Noto Sans" w:eastAsia="Noto Sans"/>
                <w:b w:val="0"/>
                <w:i w:val="0"/>
                <w:sz w:val="18"/>
              </w:rPr>
              <w:t>Habib et al., "Disease-associated astrocytes in Alzheimer's disease and aging," Nature Neuroscience (2020)</w:t>
            </w:r>
          </w:p>
        </w:tc>
      </w:tr>
      <w:tr>
        <w:trPr>
          <w:cantSplit/>
        </w:trPr>
        <w:tc>
          <w:tcPr>
            <w:tcW w:type="dxa" w:w="2324"/>
            <w:vAlign w:val="top"/>
            <w:tcMar>
              <w:top w:w="90" w:type="dxa"/>
              <w:start w:w="90" w:type="dxa"/>
              <w:bottom w:w="90" w:type="dxa"/>
              <w:end w:w="90" w:type="dxa"/>
            </w:tcMar>
          </w:tcPr>
          <w:p>
            <w:pPr>
              <w:spacing w:after="0"/>
            </w:pPr>
            <w:r>
              <w:rPr>
                <w:rFonts w:ascii="Noto Sans" w:hAnsi="Noto Sans" w:eastAsia="Noto Sans"/>
                <w:b w:val="0"/>
                <w:i w:val="0"/>
                <w:sz w:val="18"/>
              </w:rPr>
              <w:t>Organism</w:t>
            </w:r>
          </w:p>
        </w:tc>
        <w:tc>
          <w:tcPr>
            <w:tcW w:type="dxa" w:w="6860"/>
            <w:vAlign w:val="top"/>
            <w:tcMar>
              <w:top w:w="90" w:type="dxa"/>
              <w:start w:w="90" w:type="dxa"/>
              <w:bottom w:w="90" w:type="dxa"/>
              <w:end w:w="90" w:type="dxa"/>
            </w:tcMar>
          </w:tcPr>
          <w:p>
            <w:pPr>
              <w:spacing w:after="0"/>
            </w:pPr>
            <w:r>
              <w:rPr>
                <w:rFonts w:ascii="Noto Sans" w:hAnsi="Noto Sans" w:eastAsia="Noto Sans"/>
                <w:b w:val="0"/>
                <w:i w:val="0"/>
                <w:sz w:val="18"/>
              </w:rPr>
              <w:t>Mus musculus (laboratory mouse)</w:t>
            </w:r>
          </w:p>
        </w:tc>
      </w:tr>
      <w:tr>
        <w:trPr>
          <w:cantSplit/>
        </w:trPr>
        <w:tc>
          <w:tcPr>
            <w:tcW w:type="dxa" w:w="2324"/>
            <w:shd w:fill="F7FAFC"/>
            <w:vAlign w:val="top"/>
            <w:tcMar>
              <w:top w:w="90" w:type="dxa"/>
              <w:start w:w="90" w:type="dxa"/>
              <w:bottom w:w="90" w:type="dxa"/>
              <w:end w:w="90" w:type="dxa"/>
            </w:tcMar>
          </w:tcPr>
          <w:p>
            <w:pPr>
              <w:spacing w:after="0"/>
            </w:pPr>
            <w:r>
              <w:rPr>
                <w:rFonts w:ascii="Noto Sans" w:hAnsi="Noto Sans" w:eastAsia="Noto Sans"/>
                <w:b w:val="0"/>
                <w:i w:val="0"/>
                <w:sz w:val="18"/>
              </w:rPr>
              <w:t>Disease model</w:t>
            </w:r>
          </w:p>
        </w:tc>
        <w:tc>
          <w:tcPr>
            <w:tcW w:type="dxa" w:w="6860"/>
            <w:shd w:fill="F7FAFC"/>
            <w:vAlign w:val="top"/>
            <w:tcMar>
              <w:top w:w="90" w:type="dxa"/>
              <w:start w:w="90" w:type="dxa"/>
              <w:bottom w:w="90" w:type="dxa"/>
              <w:end w:w="90" w:type="dxa"/>
            </w:tcMar>
          </w:tcPr>
          <w:p>
            <w:pPr>
              <w:spacing w:after="0"/>
            </w:pPr>
            <w:r>
              <w:rPr>
                <w:rFonts w:ascii="Noto Sans" w:hAnsi="Noto Sans" w:eastAsia="Noto Sans"/>
                <w:b w:val="0"/>
                <w:i w:val="0"/>
                <w:sz w:val="18"/>
              </w:rPr>
              <w:t>5xFAD transgenic amyloid model compared with non-transgenic WT littermates</w:t>
            </w:r>
          </w:p>
        </w:tc>
      </w:tr>
      <w:tr>
        <w:trPr>
          <w:cantSplit/>
        </w:trPr>
        <w:tc>
          <w:tcPr>
            <w:tcW w:type="dxa" w:w="2324"/>
            <w:vAlign w:val="top"/>
            <w:tcMar>
              <w:top w:w="90" w:type="dxa"/>
              <w:start w:w="90" w:type="dxa"/>
              <w:bottom w:w="90" w:type="dxa"/>
              <w:end w:w="90" w:type="dxa"/>
            </w:tcMar>
          </w:tcPr>
          <w:p>
            <w:pPr>
              <w:spacing w:after="0"/>
            </w:pPr>
            <w:r>
              <w:rPr>
                <w:rFonts w:ascii="Noto Sans" w:hAnsi="Noto Sans" w:eastAsia="Noto Sans"/>
                <w:b w:val="0"/>
                <w:i w:val="0"/>
                <w:sz w:val="18"/>
              </w:rPr>
              <w:t>Assay</w:t>
            </w:r>
          </w:p>
        </w:tc>
        <w:tc>
          <w:tcPr>
            <w:tcW w:type="dxa" w:w="6860"/>
            <w:vAlign w:val="top"/>
            <w:tcMar>
              <w:top w:w="90" w:type="dxa"/>
              <w:start w:w="90" w:type="dxa"/>
              <w:bottom w:w="90" w:type="dxa"/>
              <w:end w:w="90" w:type="dxa"/>
            </w:tcMar>
          </w:tcPr>
          <w:p>
            <w:pPr>
              <w:spacing w:after="0"/>
            </w:pPr>
            <w:r>
              <w:rPr>
                <w:rFonts w:ascii="Noto Sans" w:hAnsi="Noto Sans" w:eastAsia="Noto Sans"/>
                <w:b w:val="0"/>
                <w:i w:val="0"/>
                <w:sz w:val="18"/>
              </w:rPr>
              <w:t>Single-nucleus RNA sequencing (snRNA-seq; called sNuc-seq in the paper)</w:t>
            </w:r>
          </w:p>
        </w:tc>
      </w:tr>
      <w:tr>
        <w:trPr>
          <w:cantSplit/>
        </w:trPr>
        <w:tc>
          <w:tcPr>
            <w:tcW w:type="dxa" w:w="2324"/>
            <w:shd w:fill="F7FAFC"/>
            <w:vAlign w:val="top"/>
            <w:tcMar>
              <w:top w:w="90" w:type="dxa"/>
              <w:start w:w="90" w:type="dxa"/>
              <w:bottom w:w="90" w:type="dxa"/>
              <w:end w:w="90" w:type="dxa"/>
            </w:tcMar>
          </w:tcPr>
          <w:p>
            <w:pPr>
              <w:spacing w:after="0"/>
            </w:pPr>
            <w:r>
              <w:rPr>
                <w:rFonts w:ascii="Noto Sans" w:hAnsi="Noto Sans" w:eastAsia="Noto Sans"/>
                <w:b w:val="0"/>
                <w:i w:val="0"/>
                <w:sz w:val="18"/>
              </w:rPr>
              <w:t>Primary tissue</w:t>
            </w:r>
          </w:p>
        </w:tc>
        <w:tc>
          <w:tcPr>
            <w:tcW w:type="dxa" w:w="6860"/>
            <w:shd w:fill="F7FAFC"/>
            <w:vAlign w:val="top"/>
            <w:tcMar>
              <w:top w:w="90" w:type="dxa"/>
              <w:start w:w="90" w:type="dxa"/>
              <w:bottom w:w="90" w:type="dxa"/>
              <w:end w:w="90" w:type="dxa"/>
            </w:tcMar>
          </w:tcPr>
          <w:p>
            <w:pPr>
              <w:spacing w:after="0"/>
            </w:pPr>
            <w:r>
              <w:rPr>
                <w:rFonts w:ascii="Noto Sans" w:hAnsi="Noto Sans" w:eastAsia="Noto Sans"/>
                <w:b w:val="0"/>
                <w:i w:val="0"/>
                <w:sz w:val="18"/>
              </w:rPr>
              <w:t>Hippocampus; smaller validation components also include prefrontal cortex</w:t>
            </w:r>
          </w:p>
        </w:tc>
      </w:tr>
      <w:tr>
        <w:trPr>
          <w:cantSplit/>
        </w:trPr>
        <w:tc>
          <w:tcPr>
            <w:tcW w:type="dxa" w:w="2324"/>
            <w:vAlign w:val="top"/>
            <w:tcMar>
              <w:top w:w="90" w:type="dxa"/>
              <w:start w:w="90" w:type="dxa"/>
              <w:bottom w:w="90" w:type="dxa"/>
              <w:end w:w="90" w:type="dxa"/>
            </w:tcMar>
          </w:tcPr>
          <w:p>
            <w:pPr>
              <w:spacing w:after="0"/>
            </w:pPr>
            <w:r>
              <w:rPr>
                <w:rFonts w:ascii="Noto Sans" w:hAnsi="Noto Sans" w:eastAsia="Noto Sans"/>
                <w:b w:val="0"/>
                <w:i w:val="0"/>
                <w:sz w:val="18"/>
              </w:rPr>
              <w:t>Main atlas</w:t>
            </w:r>
          </w:p>
        </w:tc>
        <w:tc>
          <w:tcPr>
            <w:tcW w:type="dxa" w:w="6860"/>
            <w:vAlign w:val="top"/>
            <w:tcMar>
              <w:top w:w="90" w:type="dxa"/>
              <w:start w:w="90" w:type="dxa"/>
              <w:bottom w:w="90" w:type="dxa"/>
              <w:end w:w="90" w:type="dxa"/>
            </w:tcMar>
          </w:tcPr>
          <w:p>
            <w:pPr>
              <w:spacing w:after="0"/>
            </w:pPr>
            <w:r>
              <w:rPr>
                <w:rFonts w:ascii="Noto Sans" w:hAnsi="Noto Sans" w:eastAsia="Noto Sans"/>
                <w:b w:val="0"/>
                <w:i w:val="0"/>
                <w:sz w:val="18"/>
              </w:rPr>
              <w:t>Seven-month male mice: 4 WT + 4 5xFAD; 10 sample/library preparations; 54,769 high-quality nuclei</w:t>
            </w:r>
          </w:p>
        </w:tc>
      </w:tr>
      <w:tr>
        <w:trPr>
          <w:cantSplit/>
        </w:trPr>
        <w:tc>
          <w:tcPr>
            <w:tcW w:type="dxa" w:w="2324"/>
            <w:shd w:fill="F7FAFC"/>
            <w:vAlign w:val="top"/>
            <w:tcMar>
              <w:top w:w="90" w:type="dxa"/>
              <w:start w:w="90" w:type="dxa"/>
              <w:bottom w:w="90" w:type="dxa"/>
              <w:end w:w="90" w:type="dxa"/>
            </w:tcMar>
          </w:tcPr>
          <w:p>
            <w:pPr>
              <w:spacing w:after="0"/>
            </w:pPr>
            <w:r>
              <w:rPr>
                <w:rFonts w:ascii="Noto Sans" w:hAnsi="Noto Sans" w:eastAsia="Noto Sans"/>
                <w:b w:val="0"/>
                <w:i w:val="0"/>
                <w:sz w:val="18"/>
              </w:rPr>
              <w:t>Age component</w:t>
            </w:r>
          </w:p>
        </w:tc>
        <w:tc>
          <w:tcPr>
            <w:tcW w:type="dxa" w:w="6860"/>
            <w:shd w:fill="F7FAFC"/>
            <w:vAlign w:val="top"/>
            <w:tcMar>
              <w:top w:w="90" w:type="dxa"/>
              <w:start w:w="90" w:type="dxa"/>
              <w:bottom w:w="90" w:type="dxa"/>
              <w:end w:w="90" w:type="dxa"/>
            </w:tcMar>
          </w:tcPr>
          <w:p>
            <w:pPr>
              <w:spacing w:after="0"/>
            </w:pPr>
            <w:r>
              <w:rPr>
                <w:rFonts w:ascii="Noto Sans" w:hAnsi="Noto Sans" w:eastAsia="Noto Sans"/>
                <w:b w:val="0"/>
                <w:i w:val="0"/>
                <w:sz w:val="18"/>
              </w:rPr>
              <w:t>Six age ranges; the published age-course analysis reports 28 mice and 23,863 astrocyte nuclei</w:t>
            </w:r>
          </w:p>
        </w:tc>
      </w:tr>
      <w:tr>
        <w:trPr>
          <w:cantSplit/>
        </w:trPr>
        <w:tc>
          <w:tcPr>
            <w:tcW w:type="dxa" w:w="2324"/>
            <w:vAlign w:val="top"/>
            <w:tcMar>
              <w:top w:w="90" w:type="dxa"/>
              <w:start w:w="90" w:type="dxa"/>
              <w:bottom w:w="90" w:type="dxa"/>
              <w:end w:w="90" w:type="dxa"/>
            </w:tcMar>
          </w:tcPr>
          <w:p>
            <w:pPr>
              <w:spacing w:after="0"/>
            </w:pPr>
            <w:r>
              <w:rPr>
                <w:rFonts w:ascii="Noto Sans" w:hAnsi="Noto Sans" w:eastAsia="Noto Sans"/>
                <w:b w:val="0"/>
                <w:i w:val="0"/>
                <w:sz w:val="18"/>
              </w:rPr>
              <w:t>Sex component</w:t>
            </w:r>
          </w:p>
        </w:tc>
        <w:tc>
          <w:tcPr>
            <w:tcW w:type="dxa" w:w="6860"/>
            <w:vAlign w:val="top"/>
            <w:tcMar>
              <w:top w:w="90" w:type="dxa"/>
              <w:start w:w="90" w:type="dxa"/>
              <w:bottom w:w="90" w:type="dxa"/>
              <w:end w:w="90" w:type="dxa"/>
            </w:tcMar>
          </w:tcPr>
          <w:p>
            <w:pPr>
              <w:spacing w:after="0"/>
            </w:pPr>
            <w:r>
              <w:rPr>
                <w:rFonts w:ascii="Noto Sans" w:hAnsi="Noto Sans" w:eastAsia="Noto Sans"/>
                <w:b w:val="0"/>
                <w:i w:val="0"/>
                <w:sz w:val="18"/>
              </w:rPr>
              <w:t>Mostly male; only one female WT and one female 5xFAD mouse</w:t>
            </w:r>
          </w:p>
        </w:tc>
      </w:tr>
      <w:tr>
        <w:trPr>
          <w:cantSplit/>
        </w:trPr>
        <w:tc>
          <w:tcPr>
            <w:tcW w:type="dxa" w:w="2324"/>
            <w:shd w:fill="F7FAFC"/>
            <w:vAlign w:val="top"/>
            <w:tcMar>
              <w:top w:w="90" w:type="dxa"/>
              <w:start w:w="90" w:type="dxa"/>
              <w:bottom w:w="90" w:type="dxa"/>
              <w:end w:w="90" w:type="dxa"/>
            </w:tcMar>
          </w:tcPr>
          <w:p>
            <w:pPr>
              <w:spacing w:after="0"/>
            </w:pPr>
            <w:r>
              <w:rPr>
                <w:rFonts w:ascii="Noto Sans" w:hAnsi="Noto Sans" w:eastAsia="Noto Sans"/>
                <w:b w:val="0"/>
                <w:i w:val="0"/>
                <w:sz w:val="18"/>
              </w:rPr>
              <w:t>Human APOE isoforms</w:t>
            </w:r>
          </w:p>
        </w:tc>
        <w:tc>
          <w:tcPr>
            <w:tcW w:type="dxa" w:w="6860"/>
            <w:shd w:fill="F7FAFC"/>
            <w:vAlign w:val="top"/>
            <w:tcMar>
              <w:top w:w="90" w:type="dxa"/>
              <w:start w:w="90" w:type="dxa"/>
              <w:bottom w:w="90" w:type="dxa"/>
              <w:end w:w="90" w:type="dxa"/>
            </w:tcMar>
          </w:tcPr>
          <w:p>
            <w:pPr>
              <w:spacing w:after="0"/>
            </w:pPr>
            <w:r>
              <w:rPr>
                <w:rFonts w:ascii="Noto Sans" w:hAnsi="Noto Sans" w:eastAsia="Noto Sans"/>
                <w:b w:val="0"/>
                <w:i w:val="0"/>
                <w:sz w:val="18"/>
              </w:rPr>
              <w:t>None. The dataset measures endogenous mouse Apoe expression but does not compare human APOE2, APOE3, or APOE4 genotypes.</w:t>
            </w:r>
          </w:p>
        </w:tc>
      </w:tr>
    </w:tbl>
    <w:p>
      <w:pPr>
        <w:spacing w:after="0"/>
      </w:pPr>
    </w:p>
    <w:p>
      <w:pPr>
        <w:spacing w:before="40" w:after="160"/>
        <w:jc w:val="center"/>
      </w:pPr>
      <w:r>
        <w:rPr>
          <w:rFonts w:ascii="Noto Sans" w:hAnsi="Noto Sans" w:eastAsia="Noto Sans"/>
          <w:b/>
          <w:i w:val="0"/>
          <w:color w:val="555555"/>
          <w:sz w:val="18"/>
        </w:rPr>
        <w:t>Table 1. High-level summary of GSE143758.</w:t>
      </w:r>
    </w:p>
    <w:p>
      <w:pPr>
        <w:pStyle w:val="Heading1"/>
        <w:keepNext/>
        <w:spacing w:before="240" w:after="100"/>
      </w:pPr>
      <w:r>
        <w:rPr>
          <w:rFonts w:ascii="Noto Sans" w:hAnsi="Noto Sans" w:eastAsia="Noto Sans"/>
        </w:rPr>
        <w:t>2. How well does it match the APOE-by-sex validation goal?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381"/>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Requirement</w:t>
            </w:r>
          </w:p>
        </w:tc>
        <w:tc>
          <w:tcPr>
            <w:tcW w:type="dxa" w:w="1417"/>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Match?</w:t>
            </w:r>
          </w:p>
        </w:tc>
        <w:tc>
          <w:tcPr>
            <w:tcW w:type="dxa" w:w="5386"/>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Interpretation</w:t>
            </w:r>
          </w:p>
        </w:tc>
      </w:tr>
      <w:tr>
        <w:trPr>
          <w:cantSplit/>
        </w:trPr>
        <w:tc>
          <w:tcPr>
            <w:tcW w:type="dxa" w:w="2381"/>
            <w:vAlign w:val="top"/>
            <w:tcMar>
              <w:top w:w="90" w:type="dxa"/>
              <w:start w:w="90" w:type="dxa"/>
              <w:bottom w:w="90" w:type="dxa"/>
              <w:end w:w="90" w:type="dxa"/>
            </w:tcMar>
          </w:tcPr>
          <w:p>
            <w:pPr>
              <w:spacing w:after="0"/>
            </w:pPr>
            <w:r>
              <w:rPr>
                <w:rFonts w:ascii="Noto Sans" w:hAnsi="Noto Sans" w:eastAsia="Noto Sans"/>
                <w:b w:val="0"/>
                <w:i w:val="0"/>
                <w:sz w:val="18"/>
              </w:rPr>
              <w:t>Alzheimer-related mouse data</w:t>
            </w:r>
          </w:p>
        </w:tc>
        <w:tc>
          <w:tcPr>
            <w:tcW w:type="dxa" w:w="1417"/>
            <w:vAlign w:val="top"/>
            <w:tcMar>
              <w:top w:w="90" w:type="dxa"/>
              <w:start w:w="90" w:type="dxa"/>
              <w:bottom w:w="90" w:type="dxa"/>
              <w:end w:w="90" w:type="dxa"/>
            </w:tcMar>
          </w:tcPr>
          <w:p>
            <w:pPr>
              <w:spacing w:after="0"/>
            </w:pPr>
            <w:r>
              <w:rPr>
                <w:rFonts w:ascii="Noto Sans" w:hAnsi="Noto Sans" w:eastAsia="Noto Sans"/>
                <w:b w:val="0"/>
                <w:i w:val="0"/>
                <w:sz w:val="18"/>
              </w:rPr>
              <w:t>Yes</w:t>
            </w:r>
          </w:p>
        </w:tc>
        <w:tc>
          <w:tcPr>
            <w:tcW w:type="dxa" w:w="5386"/>
            <w:vAlign w:val="top"/>
            <w:tcMar>
              <w:top w:w="90" w:type="dxa"/>
              <w:start w:w="90" w:type="dxa"/>
              <w:bottom w:w="90" w:type="dxa"/>
              <w:end w:w="90" w:type="dxa"/>
            </w:tcMar>
          </w:tcPr>
          <w:p>
            <w:pPr>
              <w:spacing w:after="0"/>
            </w:pPr>
            <w:r>
              <w:rPr>
                <w:rFonts w:ascii="Noto Sans" w:hAnsi="Noto Sans" w:eastAsia="Noto Sans"/>
                <w:b w:val="0"/>
                <w:i w:val="0"/>
                <w:sz w:val="18"/>
              </w:rPr>
              <w:t>5xFAD versus WT mice within the same study.</w:t>
            </w:r>
          </w:p>
        </w:tc>
      </w:tr>
      <w:tr>
        <w:trPr>
          <w:cantSplit/>
        </w:trPr>
        <w:tc>
          <w:tcPr>
            <w:tcW w:type="dxa" w:w="2381"/>
            <w:shd w:fill="F7FAFC"/>
            <w:vAlign w:val="top"/>
            <w:tcMar>
              <w:top w:w="90" w:type="dxa"/>
              <w:start w:w="90" w:type="dxa"/>
              <w:bottom w:w="90" w:type="dxa"/>
              <w:end w:w="90" w:type="dxa"/>
            </w:tcMar>
          </w:tcPr>
          <w:p>
            <w:pPr>
              <w:spacing w:after="0"/>
            </w:pPr>
            <w:r>
              <w:rPr>
                <w:rFonts w:ascii="Noto Sans" w:hAnsi="Noto Sans" w:eastAsia="Noto Sans"/>
                <w:b w:val="0"/>
                <w:i w:val="0"/>
                <w:sz w:val="18"/>
              </w:rPr>
              <w:t>Single-nucleus RNA-seq</w:t>
            </w:r>
          </w:p>
        </w:tc>
        <w:tc>
          <w:tcPr>
            <w:tcW w:type="dxa" w:w="1417"/>
            <w:shd w:fill="F7FAFC"/>
            <w:vAlign w:val="top"/>
            <w:tcMar>
              <w:top w:w="90" w:type="dxa"/>
              <w:start w:w="90" w:type="dxa"/>
              <w:bottom w:w="90" w:type="dxa"/>
              <w:end w:w="90" w:type="dxa"/>
            </w:tcMar>
          </w:tcPr>
          <w:p>
            <w:pPr>
              <w:spacing w:after="0"/>
            </w:pPr>
            <w:r>
              <w:rPr>
                <w:rFonts w:ascii="Noto Sans" w:hAnsi="Noto Sans" w:eastAsia="Noto Sans"/>
                <w:b w:val="0"/>
                <w:i w:val="0"/>
                <w:sz w:val="18"/>
              </w:rPr>
              <w:t>Yes</w:t>
            </w:r>
          </w:p>
        </w:tc>
        <w:tc>
          <w:tcPr>
            <w:tcW w:type="dxa" w:w="5386"/>
            <w:shd w:fill="F7FAFC"/>
            <w:vAlign w:val="top"/>
            <w:tcMar>
              <w:top w:w="90" w:type="dxa"/>
              <w:start w:w="90" w:type="dxa"/>
              <w:bottom w:w="90" w:type="dxa"/>
              <w:end w:w="90" w:type="dxa"/>
            </w:tcMar>
          </w:tcPr>
          <w:p>
            <w:pPr>
              <w:spacing w:after="0"/>
            </w:pPr>
            <w:r>
              <w:rPr>
                <w:rFonts w:ascii="Noto Sans" w:hAnsi="Noto Sans" w:eastAsia="Noto Sans"/>
                <w:b w:val="0"/>
                <w:i w:val="0"/>
                <w:sz w:val="18"/>
              </w:rPr>
              <w:t>The main data are true snRNA-seq from brain nuclei.</w:t>
            </w:r>
          </w:p>
        </w:tc>
      </w:tr>
      <w:tr>
        <w:trPr>
          <w:cantSplit/>
        </w:trPr>
        <w:tc>
          <w:tcPr>
            <w:tcW w:type="dxa" w:w="2381"/>
            <w:vAlign w:val="top"/>
            <w:tcMar>
              <w:top w:w="90" w:type="dxa"/>
              <w:start w:w="90" w:type="dxa"/>
              <w:bottom w:w="90" w:type="dxa"/>
              <w:end w:w="90" w:type="dxa"/>
            </w:tcMar>
          </w:tcPr>
          <w:p>
            <w:pPr>
              <w:spacing w:after="0"/>
            </w:pPr>
            <w:r>
              <w:rPr>
                <w:rFonts w:ascii="Noto Sans" w:hAnsi="Noto Sans" w:eastAsia="Noto Sans"/>
                <w:b w:val="0"/>
                <w:i w:val="0"/>
                <w:sz w:val="18"/>
              </w:rPr>
              <w:t>Multiple brain cell types</w:t>
            </w:r>
          </w:p>
        </w:tc>
        <w:tc>
          <w:tcPr>
            <w:tcW w:type="dxa" w:w="1417"/>
            <w:vAlign w:val="top"/>
            <w:tcMar>
              <w:top w:w="90" w:type="dxa"/>
              <w:start w:w="90" w:type="dxa"/>
              <w:bottom w:w="90" w:type="dxa"/>
              <w:end w:w="90" w:type="dxa"/>
            </w:tcMar>
          </w:tcPr>
          <w:p>
            <w:pPr>
              <w:spacing w:after="0"/>
            </w:pPr>
            <w:r>
              <w:rPr>
                <w:rFonts w:ascii="Noto Sans" w:hAnsi="Noto Sans" w:eastAsia="Noto Sans"/>
                <w:b w:val="0"/>
                <w:i w:val="0"/>
                <w:sz w:val="18"/>
              </w:rPr>
              <w:t>Yes at 7 months</w:t>
            </w:r>
          </w:p>
        </w:tc>
        <w:tc>
          <w:tcPr>
            <w:tcW w:type="dxa" w:w="5386"/>
            <w:vAlign w:val="top"/>
            <w:tcMar>
              <w:top w:w="90" w:type="dxa"/>
              <w:start w:w="90" w:type="dxa"/>
              <w:bottom w:w="90" w:type="dxa"/>
              <w:end w:w="90" w:type="dxa"/>
            </w:tcMar>
          </w:tcPr>
          <w:p>
            <w:pPr>
              <w:spacing w:after="0"/>
            </w:pPr>
            <w:r>
              <w:rPr>
                <w:rFonts w:ascii="Noto Sans" w:hAnsi="Noto Sans" w:eastAsia="Noto Sans"/>
                <w:b w:val="0"/>
                <w:i w:val="0"/>
                <w:sz w:val="18"/>
              </w:rPr>
              <w:t>The all-nuclei atlas includes neurons, glia, and vascular/stromal populations.</w:t>
            </w:r>
          </w:p>
        </w:tc>
      </w:tr>
      <w:tr>
        <w:trPr>
          <w:cantSplit/>
        </w:trPr>
        <w:tc>
          <w:tcPr>
            <w:tcW w:type="dxa" w:w="2381"/>
            <w:shd w:fill="F7FAFC"/>
            <w:vAlign w:val="top"/>
            <w:tcMar>
              <w:top w:w="90" w:type="dxa"/>
              <w:start w:w="90" w:type="dxa"/>
              <w:bottom w:w="90" w:type="dxa"/>
              <w:end w:w="90" w:type="dxa"/>
            </w:tcMar>
          </w:tcPr>
          <w:p>
            <w:pPr>
              <w:spacing w:after="0"/>
            </w:pPr>
            <w:r>
              <w:rPr>
                <w:rFonts w:ascii="Noto Sans" w:hAnsi="Noto Sans" w:eastAsia="Noto Sans"/>
                <w:b w:val="0"/>
                <w:i w:val="0"/>
                <w:sz w:val="18"/>
              </w:rPr>
              <w:t>Independent mice</w:t>
            </w:r>
          </w:p>
        </w:tc>
        <w:tc>
          <w:tcPr>
            <w:tcW w:type="dxa" w:w="1417"/>
            <w:shd w:fill="F7FAFC"/>
            <w:vAlign w:val="top"/>
            <w:tcMar>
              <w:top w:w="90" w:type="dxa"/>
              <w:start w:w="90" w:type="dxa"/>
              <w:bottom w:w="90" w:type="dxa"/>
              <w:end w:w="90" w:type="dxa"/>
            </w:tcMar>
          </w:tcPr>
          <w:p>
            <w:pPr>
              <w:spacing w:after="0"/>
            </w:pPr>
            <w:r>
              <w:rPr>
                <w:rFonts w:ascii="Noto Sans" w:hAnsi="Noto Sans" w:eastAsia="Noto Sans"/>
                <w:b w:val="0"/>
                <w:i w:val="0"/>
                <w:sz w:val="18"/>
              </w:rPr>
              <w:t>Yes for the main disease contrast</w:t>
            </w:r>
          </w:p>
        </w:tc>
        <w:tc>
          <w:tcPr>
            <w:tcW w:type="dxa" w:w="5386"/>
            <w:shd w:fill="F7FAFC"/>
            <w:vAlign w:val="top"/>
            <w:tcMar>
              <w:top w:w="90" w:type="dxa"/>
              <w:start w:w="90" w:type="dxa"/>
              <w:bottom w:w="90" w:type="dxa"/>
              <w:end w:w="90" w:type="dxa"/>
            </w:tcMar>
          </w:tcPr>
          <w:p>
            <w:pPr>
              <w:spacing w:after="0"/>
            </w:pPr>
            <w:r>
              <w:rPr>
                <w:rFonts w:ascii="Noto Sans" w:hAnsi="Noto Sans" w:eastAsia="Noto Sans"/>
                <w:b w:val="0"/>
                <w:i w:val="0"/>
                <w:sz w:val="18"/>
              </w:rPr>
              <w:t>The main atlas has 4 WT and 4 5xFAD mice. Extra libraries and nuclei do not increase mouse n.</w:t>
            </w:r>
          </w:p>
        </w:tc>
      </w:tr>
      <w:tr>
        <w:trPr>
          <w:cantSplit/>
        </w:trPr>
        <w:tc>
          <w:tcPr>
            <w:tcW w:type="dxa" w:w="2381"/>
            <w:vAlign w:val="top"/>
            <w:tcMar>
              <w:top w:w="90" w:type="dxa"/>
              <w:start w:w="90" w:type="dxa"/>
              <w:bottom w:w="90" w:type="dxa"/>
              <w:end w:w="90" w:type="dxa"/>
            </w:tcMar>
          </w:tcPr>
          <w:p>
            <w:pPr>
              <w:spacing w:after="0"/>
            </w:pPr>
            <w:r>
              <w:rPr>
                <w:rFonts w:ascii="Noto Sans" w:hAnsi="Noto Sans" w:eastAsia="Noto Sans"/>
                <w:b w:val="0"/>
                <w:i w:val="0"/>
                <w:sz w:val="18"/>
              </w:rPr>
              <w:t>Both sexes</w:t>
            </w:r>
          </w:p>
        </w:tc>
        <w:tc>
          <w:tcPr>
            <w:tcW w:type="dxa" w:w="1417"/>
            <w:vAlign w:val="top"/>
            <w:tcMar>
              <w:top w:w="90" w:type="dxa"/>
              <w:start w:w="90" w:type="dxa"/>
              <w:bottom w:w="90" w:type="dxa"/>
              <w:end w:w="90" w:type="dxa"/>
            </w:tcMar>
          </w:tcPr>
          <w:p>
            <w:pPr>
              <w:spacing w:after="0"/>
            </w:pPr>
            <w:r>
              <w:rPr>
                <w:rFonts w:ascii="Noto Sans" w:hAnsi="Noto Sans" w:eastAsia="Noto Sans"/>
                <w:b w:val="0"/>
                <w:i w:val="0"/>
                <w:sz w:val="18"/>
              </w:rPr>
              <w:t>Only minimally</w:t>
            </w:r>
          </w:p>
        </w:tc>
        <w:tc>
          <w:tcPr>
            <w:tcW w:type="dxa" w:w="5386"/>
            <w:vAlign w:val="top"/>
            <w:tcMar>
              <w:top w:w="90" w:type="dxa"/>
              <w:start w:w="90" w:type="dxa"/>
              <w:bottom w:w="90" w:type="dxa"/>
              <w:end w:w="90" w:type="dxa"/>
            </w:tcMar>
          </w:tcPr>
          <w:p>
            <w:pPr>
              <w:spacing w:after="0"/>
            </w:pPr>
            <w:r>
              <w:rPr>
                <w:rFonts w:ascii="Noto Sans" w:hAnsi="Noto Sans" w:eastAsia="Noto Sans"/>
                <w:b w:val="0"/>
                <w:i w:val="0"/>
                <w:sz w:val="18"/>
              </w:rPr>
              <w:t>One female WT and one female 5xFAD mouse provide qualitative confirmation, not a powered sex comparison.</w:t>
            </w:r>
          </w:p>
        </w:tc>
      </w:tr>
      <w:tr>
        <w:trPr>
          <w:cantSplit/>
        </w:trPr>
        <w:tc>
          <w:tcPr>
            <w:tcW w:type="dxa" w:w="2381"/>
            <w:shd w:fill="F7FAFC"/>
            <w:vAlign w:val="top"/>
            <w:tcMar>
              <w:top w:w="90" w:type="dxa"/>
              <w:start w:w="90" w:type="dxa"/>
              <w:bottom w:w="90" w:type="dxa"/>
              <w:end w:w="90" w:type="dxa"/>
            </w:tcMar>
          </w:tcPr>
          <w:p>
            <w:pPr>
              <w:spacing w:after="0"/>
            </w:pPr>
            <w:r>
              <w:rPr>
                <w:rFonts w:ascii="Noto Sans" w:hAnsi="Noto Sans" w:eastAsia="Noto Sans"/>
                <w:b w:val="0"/>
                <w:i w:val="0"/>
                <w:sz w:val="18"/>
              </w:rPr>
              <w:t>Human APOE3 versus APOE4</w:t>
            </w:r>
          </w:p>
        </w:tc>
        <w:tc>
          <w:tcPr>
            <w:tcW w:type="dxa" w:w="1417"/>
            <w:shd w:fill="F7FAFC"/>
            <w:vAlign w:val="top"/>
            <w:tcMar>
              <w:top w:w="90" w:type="dxa"/>
              <w:start w:w="90" w:type="dxa"/>
              <w:bottom w:w="90" w:type="dxa"/>
              <w:end w:w="90" w:type="dxa"/>
            </w:tcMar>
          </w:tcPr>
          <w:p>
            <w:pPr>
              <w:spacing w:after="0"/>
            </w:pPr>
            <w:r>
              <w:rPr>
                <w:rFonts w:ascii="Noto Sans" w:hAnsi="Noto Sans" w:eastAsia="Noto Sans"/>
                <w:b w:val="0"/>
                <w:i w:val="0"/>
                <w:sz w:val="18"/>
              </w:rPr>
              <w:t>No</w:t>
            </w:r>
          </w:p>
        </w:tc>
        <w:tc>
          <w:tcPr>
            <w:tcW w:type="dxa" w:w="5386"/>
            <w:shd w:fill="F7FAFC"/>
            <w:vAlign w:val="top"/>
            <w:tcMar>
              <w:top w:w="90" w:type="dxa"/>
              <w:start w:w="90" w:type="dxa"/>
              <w:bottom w:w="90" w:type="dxa"/>
              <w:end w:w="90" w:type="dxa"/>
            </w:tcMar>
          </w:tcPr>
          <w:p>
            <w:pPr>
              <w:spacing w:after="0"/>
            </w:pPr>
            <w:r>
              <w:rPr>
                <w:rFonts w:ascii="Noto Sans" w:hAnsi="Noto Sans" w:eastAsia="Noto Sans"/>
                <w:b w:val="0"/>
                <w:i w:val="0"/>
                <w:sz w:val="18"/>
              </w:rPr>
              <w:t>The mice are not stratified by human APOE isoform.</w:t>
            </w:r>
          </w:p>
        </w:tc>
      </w:tr>
      <w:tr>
        <w:trPr>
          <w:cantSplit/>
        </w:trPr>
        <w:tc>
          <w:tcPr>
            <w:tcW w:type="dxa" w:w="2381"/>
            <w:vAlign w:val="top"/>
            <w:tcMar>
              <w:top w:w="90" w:type="dxa"/>
              <w:start w:w="90" w:type="dxa"/>
              <w:bottom w:w="90" w:type="dxa"/>
              <w:end w:w="90" w:type="dxa"/>
            </w:tcMar>
          </w:tcPr>
          <w:p>
            <w:pPr>
              <w:spacing w:after="0"/>
            </w:pPr>
            <w:r>
              <w:rPr>
                <w:rFonts w:ascii="Noto Sans" w:hAnsi="Noto Sans" w:eastAsia="Noto Sans"/>
                <w:b w:val="0"/>
                <w:i w:val="0"/>
                <w:sz w:val="18"/>
              </w:rPr>
              <w:t>APOE x sex x disease interaction</w:t>
            </w:r>
          </w:p>
        </w:tc>
        <w:tc>
          <w:tcPr>
            <w:tcW w:type="dxa" w:w="1417"/>
            <w:vAlign w:val="top"/>
            <w:tcMar>
              <w:top w:w="90" w:type="dxa"/>
              <w:start w:w="90" w:type="dxa"/>
              <w:bottom w:w="90" w:type="dxa"/>
              <w:end w:w="90" w:type="dxa"/>
            </w:tcMar>
          </w:tcPr>
          <w:p>
            <w:pPr>
              <w:spacing w:after="0"/>
            </w:pPr>
            <w:r>
              <w:rPr>
                <w:rFonts w:ascii="Noto Sans" w:hAnsi="Noto Sans" w:eastAsia="Noto Sans"/>
                <w:b w:val="0"/>
                <w:i w:val="0"/>
                <w:sz w:val="18"/>
              </w:rPr>
              <w:t>No</w:t>
            </w:r>
          </w:p>
        </w:tc>
        <w:tc>
          <w:tcPr>
            <w:tcW w:type="dxa" w:w="5386"/>
            <w:vAlign w:val="top"/>
            <w:tcMar>
              <w:top w:w="90" w:type="dxa"/>
              <w:start w:w="90" w:type="dxa"/>
              <w:bottom w:w="90" w:type="dxa"/>
              <w:end w:w="90" w:type="dxa"/>
            </w:tcMar>
          </w:tcPr>
          <w:p>
            <w:pPr>
              <w:spacing w:after="0"/>
            </w:pPr>
            <w:r>
              <w:rPr>
                <w:rFonts w:ascii="Noto Sans" w:hAnsi="Noto Sans" w:eastAsia="Noto Sans"/>
                <w:b w:val="0"/>
                <w:i w:val="0"/>
                <w:sz w:val="18"/>
              </w:rPr>
              <w:t>There is no APOE isoform factor, and female replication is insufficient.</w:t>
            </w:r>
          </w:p>
        </w:tc>
      </w:tr>
    </w:tbl>
    <w:p>
      <w:pPr>
        <w:spacing w:after="0"/>
      </w:pPr>
    </w:p>
    <w:p>
      <w:pPr>
        <w:spacing w:before="40" w:after="160"/>
        <w:jc w:val="center"/>
      </w:pPr>
      <w:r>
        <w:rPr>
          <w:rFonts w:ascii="Noto Sans" w:hAnsi="Noto Sans" w:eastAsia="Noto Sans"/>
          <w:b/>
          <w:i w:val="0"/>
          <w:color w:val="555555"/>
          <w:sz w:val="18"/>
        </w:rPr>
        <w:t>Table 2. Fitness of GSE143758 for the original validation requirements.</w:t>
      </w:r>
    </w:p>
    <w:p>
      <w:pPr>
        <w:pStyle w:val="Heading1"/>
        <w:keepNext/>
        <w:spacing w:before="240" w:after="100"/>
      </w:pPr>
      <w:r>
        <w:rPr>
          <w:rFonts w:ascii="Noto Sans" w:hAnsi="Noto Sans" w:eastAsia="Noto Sans"/>
        </w:rPr>
        <w:t>3. The vocabulary needed to understand the sample counts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097"/>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Term</w:t>
            </w:r>
          </w:p>
        </w:tc>
        <w:tc>
          <w:tcPr>
            <w:tcW w:type="dxa" w:w="7087"/>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Plain-language meaning</w:t>
            </w:r>
          </w:p>
        </w:tc>
      </w:tr>
      <w:tr>
        <w:trPr>
          <w:cantSplit/>
        </w:trPr>
        <w:tc>
          <w:tcPr>
            <w:tcW w:type="dxa" w:w="2097"/>
            <w:vAlign w:val="top"/>
            <w:tcMar>
              <w:top w:w="90" w:type="dxa"/>
              <w:start w:w="90" w:type="dxa"/>
              <w:bottom w:w="90" w:type="dxa"/>
              <w:end w:w="90" w:type="dxa"/>
            </w:tcMar>
          </w:tcPr>
          <w:p>
            <w:pPr>
              <w:spacing w:after="0"/>
            </w:pPr>
            <w:r>
              <w:rPr>
                <w:rFonts w:ascii="Noto Sans" w:hAnsi="Noto Sans" w:eastAsia="Noto Sans"/>
                <w:b w:val="0"/>
                <w:i w:val="0"/>
                <w:sz w:val="18"/>
              </w:rPr>
              <w:t>GSE</w:t>
            </w:r>
          </w:p>
        </w:tc>
        <w:tc>
          <w:tcPr>
            <w:tcW w:type="dxa" w:w="7087"/>
            <w:vAlign w:val="top"/>
            <w:tcMar>
              <w:top w:w="90" w:type="dxa"/>
              <w:start w:w="90" w:type="dxa"/>
              <w:bottom w:w="90" w:type="dxa"/>
              <w:end w:w="90" w:type="dxa"/>
            </w:tcMar>
          </w:tcPr>
          <w:p>
            <w:pPr>
              <w:spacing w:after="0"/>
            </w:pPr>
            <w:r>
              <w:rPr>
                <w:rFonts w:ascii="Noto Sans" w:hAnsi="Noto Sans" w:eastAsia="Noto Sans"/>
                <w:b w:val="0"/>
                <w:i w:val="0"/>
                <w:sz w:val="18"/>
              </w:rPr>
              <w:t>A GEO Series. It is an umbrella record for a complete study or a related collection of experiments.</w:t>
            </w:r>
          </w:p>
        </w:tc>
      </w:tr>
      <w:tr>
        <w:trPr>
          <w:cantSplit/>
        </w:trPr>
        <w:tc>
          <w:tcPr>
            <w:tcW w:type="dxa" w:w="2097"/>
            <w:shd w:fill="F7FAFC"/>
            <w:vAlign w:val="top"/>
            <w:tcMar>
              <w:top w:w="90" w:type="dxa"/>
              <w:start w:w="90" w:type="dxa"/>
              <w:bottom w:w="90" w:type="dxa"/>
              <w:end w:w="90" w:type="dxa"/>
            </w:tcMar>
          </w:tcPr>
          <w:p>
            <w:pPr>
              <w:spacing w:after="0"/>
            </w:pPr>
            <w:r>
              <w:rPr>
                <w:rFonts w:ascii="Noto Sans" w:hAnsi="Noto Sans" w:eastAsia="Noto Sans"/>
                <w:b w:val="0"/>
                <w:i w:val="0"/>
                <w:sz w:val="18"/>
              </w:rPr>
              <w:t>GSM</w:t>
            </w:r>
          </w:p>
        </w:tc>
        <w:tc>
          <w:tcPr>
            <w:tcW w:type="dxa" w:w="7087"/>
            <w:shd w:fill="F7FAFC"/>
            <w:vAlign w:val="top"/>
            <w:tcMar>
              <w:top w:w="90" w:type="dxa"/>
              <w:start w:w="90" w:type="dxa"/>
              <w:bottom w:w="90" w:type="dxa"/>
              <w:end w:w="90" w:type="dxa"/>
            </w:tcMar>
          </w:tcPr>
          <w:p>
            <w:pPr>
              <w:spacing w:after="0"/>
            </w:pPr>
            <w:r>
              <w:rPr>
                <w:rFonts w:ascii="Noto Sans" w:hAnsi="Noto Sans" w:eastAsia="Noto Sans"/>
                <w:b w:val="0"/>
                <w:i w:val="0"/>
                <w:sz w:val="18"/>
              </w:rPr>
              <w:t>A GEO Sample record. It usually represents a submitted specimen or sequencing-library record. It is not guaranteed to equal one animal.</w:t>
            </w:r>
          </w:p>
        </w:tc>
      </w:tr>
      <w:tr>
        <w:trPr>
          <w:cantSplit/>
        </w:trPr>
        <w:tc>
          <w:tcPr>
            <w:tcW w:type="dxa" w:w="2097"/>
            <w:vAlign w:val="top"/>
            <w:tcMar>
              <w:top w:w="90" w:type="dxa"/>
              <w:start w:w="90" w:type="dxa"/>
              <w:bottom w:w="90" w:type="dxa"/>
              <w:end w:w="90" w:type="dxa"/>
            </w:tcMar>
          </w:tcPr>
          <w:p>
            <w:pPr>
              <w:spacing w:after="0"/>
            </w:pPr>
            <w:r>
              <w:rPr>
                <w:rFonts w:ascii="Noto Sans" w:hAnsi="Noto Sans" w:eastAsia="Noto Sans"/>
                <w:b w:val="0"/>
                <w:i w:val="0"/>
                <w:sz w:val="18"/>
              </w:rPr>
              <w:t>Biological replicate</w:t>
            </w:r>
          </w:p>
        </w:tc>
        <w:tc>
          <w:tcPr>
            <w:tcW w:type="dxa" w:w="7087"/>
            <w:vAlign w:val="top"/>
            <w:tcMar>
              <w:top w:w="90" w:type="dxa"/>
              <w:start w:w="90" w:type="dxa"/>
              <w:bottom w:w="90" w:type="dxa"/>
              <w:end w:w="90" w:type="dxa"/>
            </w:tcMar>
          </w:tcPr>
          <w:p>
            <w:pPr>
              <w:spacing w:after="0"/>
            </w:pPr>
            <w:r>
              <w:rPr>
                <w:rFonts w:ascii="Noto Sans" w:hAnsi="Noto Sans" w:eastAsia="Noto Sans"/>
                <w:b w:val="0"/>
                <w:i w:val="0"/>
                <w:sz w:val="18"/>
              </w:rPr>
              <w:t>An independently sampled mouse. This is normally the unit that provides evidence that a biological effect generalizes beyond one animal.</w:t>
            </w:r>
          </w:p>
        </w:tc>
      </w:tr>
      <w:tr>
        <w:trPr>
          <w:cantSplit/>
        </w:trPr>
        <w:tc>
          <w:tcPr>
            <w:tcW w:type="dxa" w:w="2097"/>
            <w:shd w:fill="F7FAFC"/>
            <w:vAlign w:val="top"/>
            <w:tcMar>
              <w:top w:w="90" w:type="dxa"/>
              <w:start w:w="90" w:type="dxa"/>
              <w:bottom w:w="90" w:type="dxa"/>
              <w:end w:w="90" w:type="dxa"/>
            </w:tcMar>
          </w:tcPr>
          <w:p>
            <w:pPr>
              <w:spacing w:after="0"/>
            </w:pPr>
            <w:r>
              <w:rPr>
                <w:rFonts w:ascii="Noto Sans" w:hAnsi="Noto Sans" w:eastAsia="Noto Sans"/>
                <w:b w:val="0"/>
                <w:i w:val="0"/>
                <w:sz w:val="18"/>
              </w:rPr>
              <w:t>Technical replicate</w:t>
            </w:r>
          </w:p>
        </w:tc>
        <w:tc>
          <w:tcPr>
            <w:tcW w:type="dxa" w:w="7087"/>
            <w:shd w:fill="F7FAFC"/>
            <w:vAlign w:val="top"/>
            <w:tcMar>
              <w:top w:w="90" w:type="dxa"/>
              <w:start w:w="90" w:type="dxa"/>
              <w:bottom w:w="90" w:type="dxa"/>
              <w:end w:w="90" w:type="dxa"/>
            </w:tcMar>
          </w:tcPr>
          <w:p>
            <w:pPr>
              <w:spacing w:after="0"/>
            </w:pPr>
            <w:r>
              <w:rPr>
                <w:rFonts w:ascii="Noto Sans" w:hAnsi="Noto Sans" w:eastAsia="Noto Sans"/>
                <w:b w:val="0"/>
                <w:i w:val="0"/>
                <w:sz w:val="18"/>
              </w:rPr>
              <w:t>A repeated measurement or preparation from the same mouse, such as separate left and right hemispheres. It improves measurement reliability but is not a new animal.</w:t>
            </w:r>
          </w:p>
        </w:tc>
      </w:tr>
      <w:tr>
        <w:trPr>
          <w:cantSplit/>
        </w:trPr>
        <w:tc>
          <w:tcPr>
            <w:tcW w:type="dxa" w:w="2097"/>
            <w:vAlign w:val="top"/>
            <w:tcMar>
              <w:top w:w="90" w:type="dxa"/>
              <w:start w:w="90" w:type="dxa"/>
              <w:bottom w:w="90" w:type="dxa"/>
              <w:end w:w="90" w:type="dxa"/>
            </w:tcMar>
          </w:tcPr>
          <w:p>
            <w:pPr>
              <w:spacing w:after="0"/>
            </w:pPr>
            <w:r>
              <w:rPr>
                <w:rFonts w:ascii="Noto Sans" w:hAnsi="Noto Sans" w:eastAsia="Noto Sans"/>
                <w:b w:val="0"/>
                <w:i w:val="0"/>
                <w:sz w:val="18"/>
              </w:rPr>
              <w:t>Sequencing library</w:t>
            </w:r>
          </w:p>
        </w:tc>
        <w:tc>
          <w:tcPr>
            <w:tcW w:type="dxa" w:w="7087"/>
            <w:vAlign w:val="top"/>
            <w:tcMar>
              <w:top w:w="90" w:type="dxa"/>
              <w:start w:w="90" w:type="dxa"/>
              <w:bottom w:w="90" w:type="dxa"/>
              <w:end w:w="90" w:type="dxa"/>
            </w:tcMar>
          </w:tcPr>
          <w:p>
            <w:pPr>
              <w:spacing w:after="0"/>
            </w:pPr>
            <w:r>
              <w:rPr>
                <w:rFonts w:ascii="Noto Sans" w:hAnsi="Noto Sans" w:eastAsia="Noto Sans"/>
                <w:b w:val="0"/>
                <w:i w:val="0"/>
                <w:sz w:val="18"/>
              </w:rPr>
              <w:t>A prepared collection of RNA-derived DNA fragments that is loaded onto a sequencer. One mouse can contribute more than one library.</w:t>
            </w:r>
          </w:p>
        </w:tc>
      </w:tr>
      <w:tr>
        <w:trPr>
          <w:cantSplit/>
        </w:trPr>
        <w:tc>
          <w:tcPr>
            <w:tcW w:type="dxa" w:w="2097"/>
            <w:shd w:fill="F7FAFC"/>
            <w:vAlign w:val="top"/>
            <w:tcMar>
              <w:top w:w="90" w:type="dxa"/>
              <w:start w:w="90" w:type="dxa"/>
              <w:bottom w:w="90" w:type="dxa"/>
              <w:end w:w="90" w:type="dxa"/>
            </w:tcMar>
          </w:tcPr>
          <w:p>
            <w:pPr>
              <w:spacing w:after="0"/>
            </w:pPr>
            <w:r>
              <w:rPr>
                <w:rFonts w:ascii="Noto Sans" w:hAnsi="Noto Sans" w:eastAsia="Noto Sans"/>
                <w:b w:val="0"/>
                <w:i w:val="0"/>
                <w:sz w:val="18"/>
              </w:rPr>
              <w:t>Nucleus</w:t>
            </w:r>
          </w:p>
        </w:tc>
        <w:tc>
          <w:tcPr>
            <w:tcW w:type="dxa" w:w="7087"/>
            <w:shd w:fill="F7FAFC"/>
            <w:vAlign w:val="top"/>
            <w:tcMar>
              <w:top w:w="90" w:type="dxa"/>
              <w:start w:w="90" w:type="dxa"/>
              <w:bottom w:w="90" w:type="dxa"/>
              <w:end w:w="90" w:type="dxa"/>
            </w:tcMar>
          </w:tcPr>
          <w:p>
            <w:pPr>
              <w:spacing w:after="0"/>
            </w:pPr>
            <w:r>
              <w:rPr>
                <w:rFonts w:ascii="Noto Sans" w:hAnsi="Noto Sans" w:eastAsia="Noto Sans"/>
                <w:b w:val="0"/>
                <w:i w:val="0"/>
                <w:sz w:val="18"/>
              </w:rPr>
              <w:t>One measured cell nucleus. Thousands of nuclei can come from one mouse, but those nuclei share that mouse's genotype, age, sex, environment, and disease state.</w:t>
            </w:r>
          </w:p>
        </w:tc>
      </w:tr>
      <w:tr>
        <w:trPr>
          <w:cantSplit/>
        </w:trPr>
        <w:tc>
          <w:tcPr>
            <w:tcW w:type="dxa" w:w="2097"/>
            <w:vAlign w:val="top"/>
            <w:tcMar>
              <w:top w:w="90" w:type="dxa"/>
              <w:start w:w="90" w:type="dxa"/>
              <w:bottom w:w="90" w:type="dxa"/>
              <w:end w:w="90" w:type="dxa"/>
            </w:tcMar>
          </w:tcPr>
          <w:p>
            <w:pPr>
              <w:spacing w:after="0"/>
            </w:pPr>
            <w:r>
              <w:rPr>
                <w:rFonts w:ascii="Noto Sans" w:hAnsi="Noto Sans" w:eastAsia="Noto Sans"/>
                <w:b w:val="0"/>
                <w:i w:val="0"/>
                <w:sz w:val="18"/>
              </w:rPr>
              <w:t>Pseudoreplication</w:t>
            </w:r>
          </w:p>
        </w:tc>
        <w:tc>
          <w:tcPr>
            <w:tcW w:type="dxa" w:w="7087"/>
            <w:vAlign w:val="top"/>
            <w:tcMar>
              <w:top w:w="90" w:type="dxa"/>
              <w:start w:w="90" w:type="dxa"/>
              <w:bottom w:w="90" w:type="dxa"/>
              <w:end w:w="90" w:type="dxa"/>
            </w:tcMar>
          </w:tcPr>
          <w:p>
            <w:pPr>
              <w:spacing w:after="0"/>
            </w:pPr>
            <w:r>
              <w:rPr>
                <w:rFonts w:ascii="Noto Sans" w:hAnsi="Noto Sans" w:eastAsia="Noto Sans"/>
                <w:b w:val="0"/>
                <w:i w:val="0"/>
                <w:sz w:val="18"/>
              </w:rPr>
              <w:t>A statistical mistake in which repeated measurements from the same mouse are treated as independent animals. This makes uncertainty look smaller than it really is.</w:t>
            </w:r>
          </w:p>
        </w:tc>
      </w:tr>
    </w:tbl>
    <w:p>
      <w:pPr>
        <w:spacing w:after="0"/>
      </w:pPr>
    </w:p>
    <w:p>
      <w:pPr>
        <w:spacing w:before="40" w:after="160"/>
        <w:jc w:val="center"/>
      </w:pPr>
      <w:r>
        <w:rPr>
          <w:rFonts w:ascii="Noto Sans" w:hAnsi="Noto Sans" w:eastAsia="Noto Sans"/>
          <w:b/>
          <w:i w:val="0"/>
          <w:color w:val="555555"/>
          <w:sz w:val="18"/>
        </w:rPr>
        <w:t>Table 3. Key terms used in GEO and single-nucleus studies.</w:t>
      </w:r>
    </w:p>
    <w:p>
      <w:pPr>
        <w:pStyle w:val="Heading1"/>
        <w:keepNext/>
        <w:spacing w:before="240" w:after="100"/>
      </w:pPr>
      <w:r>
        <w:rPr>
          <w:rFonts w:ascii="Noto Sans" w:hAnsi="Noto Sans" w:eastAsia="Noto Sans"/>
        </w:rPr>
        <w:t>4. Why GEO says 37 samples but the main comparison has 8 mice</w:t>
      </w:r>
    </w:p>
    <w:p>
      <w:r>
        <w:rPr>
          <w:rFonts w:ascii="Noto Sans" w:hAnsi="Noto Sans" w:eastAsia="Noto Sans"/>
          <w:b/>
          <w:i w:val="0"/>
        </w:rPr>
        <w:t xml:space="preserve">Both numbers are correct, but they describe different scopes and units. </w:t>
      </w:r>
      <w:r>
        <w:rPr>
          <w:rFonts w:ascii="Noto Sans" w:hAnsi="Noto Sans" w:eastAsia="Noto Sans"/>
          <w:b w:val="0"/>
          <w:i w:val="0"/>
        </w:rPr>
        <w:t>The 37 value is the number of GSM records attached to the entire GSE143758 series. The 8 value is the number of independent animals in the principal seven-month male hippocampal WT-versus-5xFAD comparison.</w:t>
      </w:r>
    </w:p>
    <w:p>
      <w:r>
        <w:rPr>
          <w:rFonts w:ascii="Noto Sans" w:hAnsi="Noto Sans" w:eastAsia="Noto Sans"/>
        </w:rPr>
        <w:drawing>
          <wp:inline xmlns:a="http://schemas.openxmlformats.org/drawingml/2006/main" xmlns:pic="http://schemas.openxmlformats.org/drawingml/2006/picture">
            <wp:extent cx="5976000" cy="2067846"/>
            <wp:docPr id="1" name="Picture 1" title="GSE143758 counting hierarchy" descr="Diagram showing 37 GEO sample records for the full series, 10 sample or library preparations in the main seven-month atlas, 8 independent mice, and 54,769 high-quality nuclei after filtering."/>
            <wp:cNvGraphicFramePr>
              <a:graphicFrameLocks noChangeAspect="1"/>
            </wp:cNvGraphicFramePr>
            <a:graphic>
              <a:graphicData uri="http://schemas.openxmlformats.org/drawingml/2006/picture">
                <pic:pic>
                  <pic:nvPicPr>
                    <pic:cNvPr id="0" name="gse143758_counting_units.png"/>
                    <pic:cNvPicPr/>
                  </pic:nvPicPr>
                  <pic:blipFill>
                    <a:blip r:embed="rId11"/>
                    <a:stretch>
                      <a:fillRect/>
                    </a:stretch>
                  </pic:blipFill>
                  <pic:spPr>
                    <a:xfrm>
                      <a:off x="0" y="0"/>
                      <a:ext cx="5976000" cy="2067846"/>
                    </a:xfrm>
                    <a:prstGeom prst="rect"/>
                  </pic:spPr>
                </pic:pic>
              </a:graphicData>
            </a:graphic>
          </wp:inline>
        </w:drawing>
      </w:r>
    </w:p>
    <w:p>
      <w:pPr>
        <w:spacing w:before="40" w:after="160"/>
        <w:jc w:val="center"/>
      </w:pPr>
      <w:r>
        <w:rPr>
          <w:rFonts w:ascii="Noto Sans" w:hAnsi="Noto Sans" w:eastAsia="Noto Sans"/>
          <w:b/>
          <w:i w:val="0"/>
          <w:color w:val="555555"/>
          <w:sz w:val="18"/>
        </w:rPr>
        <w:t>Figure 1. The counting hierarchy for GSE143758. Moving to the right narrows from the whole GEO series to the independent mice in the main comparison.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608"/>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Scope or unit</w:t>
            </w:r>
          </w:p>
        </w:tc>
        <w:tc>
          <w:tcPr>
            <w:tcW w:type="dxa" w:w="181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Reported count</w:t>
            </w:r>
          </w:p>
        </w:tc>
        <w:tc>
          <w:tcPr>
            <w:tcW w:type="dxa" w:w="4762"/>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Correct interpretation</w:t>
            </w:r>
          </w:p>
        </w:tc>
      </w:tr>
      <w:tr>
        <w:trPr>
          <w:cantSplit/>
        </w:trPr>
        <w:tc>
          <w:tcPr>
            <w:tcW w:type="dxa" w:w="2608"/>
            <w:vAlign w:val="top"/>
            <w:tcMar>
              <w:top w:w="90" w:type="dxa"/>
              <w:start w:w="90" w:type="dxa"/>
              <w:bottom w:w="90" w:type="dxa"/>
              <w:end w:w="90" w:type="dxa"/>
            </w:tcMar>
          </w:tcPr>
          <w:p>
            <w:pPr>
              <w:spacing w:after="0"/>
            </w:pPr>
            <w:r>
              <w:rPr>
                <w:rFonts w:ascii="Noto Sans" w:hAnsi="Noto Sans" w:eastAsia="Noto Sans"/>
                <w:b w:val="0"/>
                <w:i w:val="0"/>
                <w:sz w:val="17"/>
              </w:rPr>
              <w:t>Entire GSE143758 series</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7"/>
              </w:rPr>
              <w:t>37 GSM records</w:t>
            </w:r>
          </w:p>
        </w:tc>
        <w:tc>
          <w:tcPr>
            <w:tcW w:type="dxa" w:w="4762"/>
            <w:vAlign w:val="top"/>
            <w:tcMar>
              <w:top w:w="90" w:type="dxa"/>
              <w:start w:w="90" w:type="dxa"/>
              <w:bottom w:w="90" w:type="dxa"/>
              <w:end w:w="90" w:type="dxa"/>
            </w:tcMar>
          </w:tcPr>
          <w:p>
            <w:pPr>
              <w:spacing w:after="0"/>
            </w:pPr>
            <w:r>
              <w:rPr>
                <w:rFonts w:ascii="Noto Sans" w:hAnsi="Noto Sans" w:eastAsia="Noto Sans"/>
                <w:b w:val="0"/>
                <w:i w:val="0"/>
                <w:sz w:val="17"/>
              </w:rPr>
              <w:t>All deposited sample records, spanning multiple ages, brain regions, sex validation, and repeated preparations. This is not n=37 mice.</w:t>
            </w:r>
          </w:p>
        </w:tc>
      </w:tr>
      <w:tr>
        <w:trPr>
          <w:cantSplit/>
        </w:trPr>
        <w:tc>
          <w:tcPr>
            <w:tcW w:type="dxa" w:w="2608"/>
            <w:shd w:fill="F7FAFC"/>
            <w:vAlign w:val="top"/>
            <w:tcMar>
              <w:top w:w="90" w:type="dxa"/>
              <w:start w:w="90" w:type="dxa"/>
              <w:bottom w:w="90" w:type="dxa"/>
              <w:end w:w="90" w:type="dxa"/>
            </w:tcMar>
          </w:tcPr>
          <w:p>
            <w:pPr>
              <w:spacing w:after="0"/>
            </w:pPr>
            <w:r>
              <w:rPr>
                <w:rFonts w:ascii="Noto Sans" w:hAnsi="Noto Sans" w:eastAsia="Noto Sans"/>
                <w:b w:val="0"/>
                <w:i w:val="0"/>
                <w:sz w:val="17"/>
              </w:rPr>
              <w:t>Principal seven-month male hippocampal atlas</w:t>
            </w:r>
          </w:p>
        </w:tc>
        <w:tc>
          <w:tcPr>
            <w:tcW w:type="dxa" w:w="1814"/>
            <w:shd w:fill="F7FAFC"/>
            <w:vAlign w:val="top"/>
            <w:tcMar>
              <w:top w:w="90" w:type="dxa"/>
              <w:start w:w="90" w:type="dxa"/>
              <w:bottom w:w="90" w:type="dxa"/>
              <w:end w:w="90" w:type="dxa"/>
            </w:tcMar>
          </w:tcPr>
          <w:p>
            <w:pPr>
              <w:spacing w:after="0"/>
            </w:pPr>
            <w:r>
              <w:rPr>
                <w:rFonts w:ascii="Noto Sans" w:hAnsi="Noto Sans" w:eastAsia="Noto Sans"/>
                <w:b w:val="0"/>
                <w:i w:val="0"/>
                <w:sz w:val="17"/>
              </w:rPr>
              <w:t>10 samples/libraries</w:t>
            </w:r>
          </w:p>
        </w:tc>
        <w:tc>
          <w:tcPr>
            <w:tcW w:type="dxa" w:w="4762"/>
            <w:shd w:fill="F7FAFC"/>
            <w:vAlign w:val="top"/>
            <w:tcMar>
              <w:top w:w="90" w:type="dxa"/>
              <w:start w:w="90" w:type="dxa"/>
              <w:bottom w:w="90" w:type="dxa"/>
              <w:end w:w="90" w:type="dxa"/>
            </w:tcMar>
          </w:tcPr>
          <w:p>
            <w:pPr>
              <w:spacing w:after="0"/>
            </w:pPr>
            <w:r>
              <w:rPr>
                <w:rFonts w:ascii="Noto Sans" w:hAnsi="Noto Sans" w:eastAsia="Noto Sans"/>
                <w:b w:val="0"/>
                <w:i w:val="0"/>
                <w:sz w:val="17"/>
              </w:rPr>
              <w:t>The paper repeatedly labels this subset as 10 samples. Some mice contributed technical replicate preparations.</w:t>
            </w:r>
          </w:p>
        </w:tc>
      </w:tr>
      <w:tr>
        <w:trPr>
          <w:cantSplit/>
        </w:trPr>
        <w:tc>
          <w:tcPr>
            <w:tcW w:type="dxa" w:w="2608"/>
            <w:vAlign w:val="top"/>
            <w:tcMar>
              <w:top w:w="90" w:type="dxa"/>
              <w:start w:w="90" w:type="dxa"/>
              <w:bottom w:w="90" w:type="dxa"/>
              <w:end w:w="90" w:type="dxa"/>
            </w:tcMar>
          </w:tcPr>
          <w:p>
            <w:pPr>
              <w:spacing w:after="0"/>
            </w:pPr>
            <w:r>
              <w:rPr>
                <w:rFonts w:ascii="Noto Sans" w:hAnsi="Noto Sans" w:eastAsia="Noto Sans"/>
                <w:b w:val="0"/>
                <w:i w:val="0"/>
                <w:sz w:val="17"/>
              </w:rPr>
              <w:t>Independent animals in that atlas</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7"/>
              </w:rPr>
              <w:t>8 mice</w:t>
            </w:r>
          </w:p>
        </w:tc>
        <w:tc>
          <w:tcPr>
            <w:tcW w:type="dxa" w:w="4762"/>
            <w:vAlign w:val="top"/>
            <w:tcMar>
              <w:top w:w="90" w:type="dxa"/>
              <w:start w:w="90" w:type="dxa"/>
              <w:bottom w:w="90" w:type="dxa"/>
              <w:end w:w="90" w:type="dxa"/>
            </w:tcMar>
          </w:tcPr>
          <w:p>
            <w:pPr>
              <w:spacing w:after="0"/>
            </w:pPr>
            <w:r>
              <w:rPr>
                <w:rFonts w:ascii="Noto Sans" w:hAnsi="Noto Sans" w:eastAsia="Noto Sans"/>
                <w:b w:val="0"/>
                <w:i w:val="0"/>
                <w:sz w:val="17"/>
              </w:rPr>
              <w:t>4 WT and 4 5xFAD male mice. This is the correct biological n for the main disease comparison.</w:t>
            </w:r>
          </w:p>
        </w:tc>
      </w:tr>
      <w:tr>
        <w:trPr>
          <w:cantSplit/>
        </w:trPr>
        <w:tc>
          <w:tcPr>
            <w:tcW w:type="dxa" w:w="2608"/>
            <w:shd w:fill="F7FAFC"/>
            <w:vAlign w:val="top"/>
            <w:tcMar>
              <w:top w:w="90" w:type="dxa"/>
              <w:start w:w="90" w:type="dxa"/>
              <w:bottom w:w="90" w:type="dxa"/>
              <w:end w:w="90" w:type="dxa"/>
            </w:tcMar>
          </w:tcPr>
          <w:p>
            <w:pPr>
              <w:spacing w:after="0"/>
            </w:pPr>
            <w:r>
              <w:rPr>
                <w:rFonts w:ascii="Noto Sans" w:hAnsi="Noto Sans" w:eastAsia="Noto Sans"/>
                <w:b w:val="0"/>
                <w:i w:val="0"/>
                <w:sz w:val="17"/>
              </w:rPr>
              <w:t>Nuclei before filtering</w:t>
            </w:r>
          </w:p>
        </w:tc>
        <w:tc>
          <w:tcPr>
            <w:tcW w:type="dxa" w:w="1814"/>
            <w:shd w:fill="F7FAFC"/>
            <w:vAlign w:val="top"/>
            <w:tcMar>
              <w:top w:w="90" w:type="dxa"/>
              <w:start w:w="90" w:type="dxa"/>
              <w:bottom w:w="90" w:type="dxa"/>
              <w:end w:w="90" w:type="dxa"/>
            </w:tcMar>
          </w:tcPr>
          <w:p>
            <w:pPr>
              <w:spacing w:after="0"/>
            </w:pPr>
            <w:r>
              <w:rPr>
                <w:rFonts w:ascii="Noto Sans" w:hAnsi="Noto Sans" w:eastAsia="Noto Sans"/>
                <w:b w:val="0"/>
                <w:i w:val="0"/>
                <w:sz w:val="17"/>
              </w:rPr>
              <w:t>60,818 nuclei</w:t>
            </w:r>
          </w:p>
        </w:tc>
        <w:tc>
          <w:tcPr>
            <w:tcW w:type="dxa" w:w="4762"/>
            <w:shd w:fill="F7FAFC"/>
            <w:vAlign w:val="top"/>
            <w:tcMar>
              <w:top w:w="90" w:type="dxa"/>
              <w:start w:w="90" w:type="dxa"/>
              <w:bottom w:w="90" w:type="dxa"/>
              <w:end w:w="90" w:type="dxa"/>
            </w:tcMar>
          </w:tcPr>
          <w:p>
            <w:pPr>
              <w:spacing w:after="0"/>
            </w:pPr>
            <w:r>
              <w:rPr>
                <w:rFonts w:ascii="Noto Sans" w:hAnsi="Noto Sans" w:eastAsia="Noto Sans"/>
                <w:b w:val="0"/>
                <w:i w:val="0"/>
                <w:sz w:val="17"/>
              </w:rPr>
              <w:t>Individual nuclear transcriptomes before doublet and quality filtering.</w:t>
            </w:r>
          </w:p>
        </w:tc>
      </w:tr>
      <w:tr>
        <w:trPr>
          <w:cantSplit/>
        </w:trPr>
        <w:tc>
          <w:tcPr>
            <w:tcW w:type="dxa" w:w="2608"/>
            <w:vAlign w:val="top"/>
            <w:tcMar>
              <w:top w:w="90" w:type="dxa"/>
              <w:start w:w="90" w:type="dxa"/>
              <w:bottom w:w="90" w:type="dxa"/>
              <w:end w:w="90" w:type="dxa"/>
            </w:tcMar>
          </w:tcPr>
          <w:p>
            <w:pPr>
              <w:spacing w:after="0"/>
            </w:pPr>
            <w:r>
              <w:rPr>
                <w:rFonts w:ascii="Noto Sans" w:hAnsi="Noto Sans" w:eastAsia="Noto Sans"/>
                <w:b w:val="0"/>
                <w:i w:val="0"/>
                <w:sz w:val="17"/>
              </w:rPr>
              <w:t>High-quality nuclei after filtering</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7"/>
              </w:rPr>
              <w:t>54,769 nuclei</w:t>
            </w:r>
          </w:p>
        </w:tc>
        <w:tc>
          <w:tcPr>
            <w:tcW w:type="dxa" w:w="4762"/>
            <w:vAlign w:val="top"/>
            <w:tcMar>
              <w:top w:w="90" w:type="dxa"/>
              <w:start w:w="90" w:type="dxa"/>
              <w:bottom w:w="90" w:type="dxa"/>
              <w:end w:w="90" w:type="dxa"/>
            </w:tcMar>
          </w:tcPr>
          <w:p>
            <w:pPr>
              <w:spacing w:after="0"/>
            </w:pPr>
            <w:r>
              <w:rPr>
                <w:rFonts w:ascii="Noto Sans" w:hAnsi="Noto Sans" w:eastAsia="Noto Sans"/>
                <w:b w:val="0"/>
                <w:i w:val="0"/>
                <w:sz w:val="17"/>
              </w:rPr>
              <w:t>The final all-cell atlas used for the main analysis.</w:t>
            </w:r>
          </w:p>
        </w:tc>
      </w:tr>
      <w:tr>
        <w:trPr>
          <w:cantSplit/>
        </w:trPr>
        <w:tc>
          <w:tcPr>
            <w:tcW w:type="dxa" w:w="2608"/>
            <w:shd w:fill="F7FAFC"/>
            <w:vAlign w:val="top"/>
            <w:tcMar>
              <w:top w:w="90" w:type="dxa"/>
              <w:start w:w="90" w:type="dxa"/>
              <w:bottom w:w="90" w:type="dxa"/>
              <w:end w:w="90" w:type="dxa"/>
            </w:tcMar>
          </w:tcPr>
          <w:p>
            <w:pPr>
              <w:spacing w:after="0"/>
            </w:pPr>
            <w:r>
              <w:rPr>
                <w:rFonts w:ascii="Noto Sans" w:hAnsi="Noto Sans" w:eastAsia="Noto Sans"/>
                <w:b w:val="0"/>
                <w:i w:val="0"/>
                <w:sz w:val="17"/>
              </w:rPr>
              <w:t>Astrocytes in the main atlas</w:t>
            </w:r>
          </w:p>
        </w:tc>
        <w:tc>
          <w:tcPr>
            <w:tcW w:type="dxa" w:w="1814"/>
            <w:shd w:fill="F7FAFC"/>
            <w:vAlign w:val="top"/>
            <w:tcMar>
              <w:top w:w="90" w:type="dxa"/>
              <w:start w:w="90" w:type="dxa"/>
              <w:bottom w:w="90" w:type="dxa"/>
              <w:end w:w="90" w:type="dxa"/>
            </w:tcMar>
          </w:tcPr>
          <w:p>
            <w:pPr>
              <w:spacing w:after="0"/>
            </w:pPr>
            <w:r>
              <w:rPr>
                <w:rFonts w:ascii="Noto Sans" w:hAnsi="Noto Sans" w:eastAsia="Noto Sans"/>
                <w:b w:val="0"/>
                <w:i w:val="0"/>
                <w:sz w:val="17"/>
              </w:rPr>
              <w:t>7,345 nuclei</w:t>
            </w:r>
          </w:p>
        </w:tc>
        <w:tc>
          <w:tcPr>
            <w:tcW w:type="dxa" w:w="4762"/>
            <w:shd w:fill="F7FAFC"/>
            <w:vAlign w:val="top"/>
            <w:tcMar>
              <w:top w:w="90" w:type="dxa"/>
              <w:start w:w="90" w:type="dxa"/>
              <w:bottom w:w="90" w:type="dxa"/>
              <w:end w:w="90" w:type="dxa"/>
            </w:tcMar>
          </w:tcPr>
          <w:p>
            <w:pPr>
              <w:spacing w:after="0"/>
            </w:pPr>
            <w:r>
              <w:rPr>
                <w:rFonts w:ascii="Noto Sans" w:hAnsi="Noto Sans" w:eastAsia="Noto Sans"/>
                <w:b w:val="0"/>
                <w:i w:val="0"/>
                <w:sz w:val="17"/>
              </w:rPr>
              <w:t>The astrocyte subset used to identify and characterize disease-associated astrocyte states.</w:t>
            </w:r>
          </w:p>
        </w:tc>
      </w:tr>
      <w:tr>
        <w:trPr>
          <w:cantSplit/>
        </w:trPr>
        <w:tc>
          <w:tcPr>
            <w:tcW w:type="dxa" w:w="2608"/>
            <w:vAlign w:val="top"/>
            <w:tcMar>
              <w:top w:w="90" w:type="dxa"/>
              <w:start w:w="90" w:type="dxa"/>
              <w:bottom w:w="90" w:type="dxa"/>
              <w:end w:w="90" w:type="dxa"/>
            </w:tcMar>
          </w:tcPr>
          <w:p>
            <w:pPr>
              <w:spacing w:after="0"/>
            </w:pPr>
            <w:r>
              <w:rPr>
                <w:rFonts w:ascii="Noto Sans" w:hAnsi="Noto Sans" w:eastAsia="Noto Sans"/>
                <w:b w:val="0"/>
                <w:i w:val="0"/>
                <w:sz w:val="17"/>
              </w:rPr>
              <w:t>Published age-course analysis</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7"/>
              </w:rPr>
              <w:t>28 mice; 23,863 astrocyte nuclei</w:t>
            </w:r>
          </w:p>
        </w:tc>
        <w:tc>
          <w:tcPr>
            <w:tcW w:type="dxa" w:w="4762"/>
            <w:vAlign w:val="top"/>
            <w:tcMar>
              <w:top w:w="90" w:type="dxa"/>
              <w:start w:w="90" w:type="dxa"/>
              <w:bottom w:w="90" w:type="dxa"/>
              <w:end w:w="90" w:type="dxa"/>
            </w:tcMar>
          </w:tcPr>
          <w:p>
            <w:pPr>
              <w:spacing w:after="0"/>
            </w:pPr>
            <w:r>
              <w:rPr>
                <w:rFonts w:ascii="Noto Sans" w:hAnsi="Noto Sans" w:eastAsia="Noto Sans"/>
                <w:b w:val="0"/>
                <w:i w:val="0"/>
                <w:sz w:val="17"/>
              </w:rPr>
              <w:t>A broader analysis across six age ranges; its purpose was age progression, not the same question as the main seven-month atlas.</w:t>
            </w:r>
          </w:p>
        </w:tc>
      </w:tr>
      <w:tr>
        <w:trPr>
          <w:cantSplit/>
        </w:trPr>
        <w:tc>
          <w:tcPr>
            <w:tcW w:type="dxa" w:w="2608"/>
            <w:shd w:fill="F7FAFC"/>
            <w:vAlign w:val="top"/>
            <w:tcMar>
              <w:top w:w="90" w:type="dxa"/>
              <w:start w:w="90" w:type="dxa"/>
              <w:bottom w:w="90" w:type="dxa"/>
              <w:end w:w="90" w:type="dxa"/>
            </w:tcMar>
          </w:tcPr>
          <w:p>
            <w:pPr>
              <w:spacing w:after="0"/>
            </w:pPr>
            <w:r>
              <w:rPr>
                <w:rFonts w:ascii="Noto Sans" w:hAnsi="Noto Sans" w:eastAsia="Noto Sans"/>
                <w:b w:val="0"/>
                <w:i w:val="0"/>
                <w:sz w:val="17"/>
              </w:rPr>
              <w:t>Female validation</w:t>
            </w:r>
          </w:p>
        </w:tc>
        <w:tc>
          <w:tcPr>
            <w:tcW w:type="dxa" w:w="1814"/>
            <w:shd w:fill="F7FAFC"/>
            <w:vAlign w:val="top"/>
            <w:tcMar>
              <w:top w:w="90" w:type="dxa"/>
              <w:start w:w="90" w:type="dxa"/>
              <w:bottom w:w="90" w:type="dxa"/>
              <w:end w:w="90" w:type="dxa"/>
            </w:tcMar>
          </w:tcPr>
          <w:p>
            <w:pPr>
              <w:spacing w:after="0"/>
            </w:pPr>
            <w:r>
              <w:rPr>
                <w:rFonts w:ascii="Noto Sans" w:hAnsi="Noto Sans" w:eastAsia="Noto Sans"/>
                <w:b w:val="0"/>
                <w:i w:val="0"/>
                <w:sz w:val="17"/>
              </w:rPr>
              <w:t>2 mice total</w:t>
            </w:r>
          </w:p>
        </w:tc>
        <w:tc>
          <w:tcPr>
            <w:tcW w:type="dxa" w:w="4762"/>
            <w:shd w:fill="F7FAFC"/>
            <w:vAlign w:val="top"/>
            <w:tcMar>
              <w:top w:w="90" w:type="dxa"/>
              <w:start w:w="90" w:type="dxa"/>
              <w:bottom w:w="90" w:type="dxa"/>
              <w:end w:w="90" w:type="dxa"/>
            </w:tcMar>
          </w:tcPr>
          <w:p>
            <w:pPr>
              <w:spacing w:after="0"/>
            </w:pPr>
            <w:r>
              <w:rPr>
                <w:rFonts w:ascii="Noto Sans" w:hAnsi="Noto Sans" w:eastAsia="Noto Sans"/>
                <w:b w:val="0"/>
                <w:i w:val="0"/>
                <w:sz w:val="17"/>
              </w:rPr>
              <w:t>1 WT female and 1 5xFAD female. Useful only for qualitative confirmation.</w:t>
            </w:r>
          </w:p>
        </w:tc>
      </w:tr>
      <w:tr>
        <w:trPr>
          <w:cantSplit/>
        </w:trPr>
        <w:tc>
          <w:tcPr>
            <w:tcW w:type="dxa" w:w="2608"/>
            <w:vAlign w:val="top"/>
            <w:tcMar>
              <w:top w:w="90" w:type="dxa"/>
              <w:start w:w="90" w:type="dxa"/>
              <w:bottom w:w="90" w:type="dxa"/>
              <w:end w:w="90" w:type="dxa"/>
            </w:tcMar>
          </w:tcPr>
          <w:p>
            <w:pPr>
              <w:spacing w:after="0"/>
            </w:pPr>
            <w:r>
              <w:rPr>
                <w:rFonts w:ascii="Noto Sans" w:hAnsi="Noto Sans" w:eastAsia="Noto Sans"/>
                <w:b w:val="0"/>
                <w:i w:val="0"/>
                <w:sz w:val="17"/>
              </w:rPr>
              <w:t>Cortex validation</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7"/>
              </w:rPr>
              <w:t>7- and 10-month cortex samples</w:t>
            </w:r>
          </w:p>
        </w:tc>
        <w:tc>
          <w:tcPr>
            <w:tcW w:type="dxa" w:w="4762"/>
            <w:vAlign w:val="top"/>
            <w:tcMar>
              <w:top w:w="90" w:type="dxa"/>
              <w:start w:w="90" w:type="dxa"/>
              <w:bottom w:w="90" w:type="dxa"/>
              <w:end w:w="90" w:type="dxa"/>
            </w:tcMar>
          </w:tcPr>
          <w:p>
            <w:pPr>
              <w:spacing w:after="0"/>
            </w:pPr>
            <w:r>
              <w:rPr>
                <w:rFonts w:ascii="Noto Sans" w:hAnsi="Noto Sans" w:eastAsia="Noto Sans"/>
                <w:b w:val="0"/>
                <w:i w:val="0"/>
                <w:sz w:val="17"/>
              </w:rPr>
              <w:t>The Methods state that these cortex samples came from mice also used for hippocampal profiling, so they are not automatically additional independent animals.</w:t>
            </w:r>
          </w:p>
        </w:tc>
      </w:tr>
    </w:tbl>
    <w:p>
      <w:pPr>
        <w:spacing w:after="0"/>
      </w:pPr>
    </w:p>
    <w:p>
      <w:pPr>
        <w:spacing w:before="40" w:after="160"/>
        <w:jc w:val="center"/>
      </w:pPr>
      <w:r>
        <w:rPr>
          <w:rFonts w:ascii="Noto Sans" w:hAnsi="Noto Sans" w:eastAsia="Noto Sans"/>
          <w:b/>
          <w:i w:val="0"/>
          <w:color w:val="555555"/>
          <w:sz w:val="18"/>
        </w:rPr>
        <w:t>Table 4. Different counts reported for GSE143758 and what each one means.</w:t>
      </w:r>
    </w:p>
    <w:tbl>
      <w:tblPr>
        <w:tblW w:type="auto" w:w="0"/>
        <w:jc w:val="center"/>
        <w:tblLayout w:type="fixed"/>
        <w:tblLook w:firstColumn="1" w:firstRow="1" w:lastColumn="0" w:lastRow="0" w:noHBand="0" w:noVBand="1" w:val="04A0"/>
      </w:tblPr>
      <w:tblGrid>
        <w:gridCol w:w="9354"/>
      </w:tblGrid>
      <w:tr>
        <w:trPr>
          <w:cantSplit/>
        </w:trPr>
        <w:tc>
          <w:tcPr>
            <w:tcW w:type="dxa" w:w="9972"/>
            <w:shd w:fill="FFF2CC"/>
            <w:tcBorders>
              <w:top w:val="single" w:sz="14" w:color="BF9000"/>
              <w:left w:val="single" w:sz="14" w:color="BF9000"/>
              <w:bottom w:val="single" w:sz="14" w:color="BF9000"/>
              <w:right w:val="single" w:sz="14" w:color="BF9000"/>
            </w:tcBorders>
            <w:tcMar>
              <w:top w:w="120" w:type="dxa"/>
              <w:start w:w="160" w:type="dxa"/>
              <w:bottom w:w="120" w:type="dxa"/>
              <w:end w:w="160" w:type="dxa"/>
            </w:tcMar>
          </w:tcPr>
          <w:p>
            <w:pPr>
              <w:spacing w:after="80"/>
            </w:pPr>
            <w:r>
              <w:rPr>
                <w:rFonts w:ascii="Noto Sans" w:hAnsi="Noto Sans" w:eastAsia="Noto Sans"/>
                <w:b/>
                <w:i w:val="0"/>
                <w:color w:val="BF9000"/>
                <w:sz w:val="21"/>
              </w:rPr>
              <w:t>A simple analogy</w:t>
            </w:r>
          </w:p>
          <w:p>
            <w:pPr>
              <w:spacing w:after="0"/>
            </w:pPr>
            <w:r>
              <w:rPr>
                <w:rFonts w:ascii="Noto Sans" w:hAnsi="Noto Sans" w:eastAsia="Noto Sans"/>
                <w:b w:val="0"/>
                <w:i w:val="0"/>
                <w:sz w:val="20"/>
              </w:rPr>
              <w:t>Suppose 8 students take a test, and 2 students take the same test twice. You now have 10 test papers but still only 8 independent students. In GSE143758, extra sample preparations improve the measurement of particular mice but do not create additional mice.</w:t>
            </w:r>
          </w:p>
        </w:tc>
      </w:tr>
    </w:tbl>
    <w:p>
      <w:pPr>
        <w:spacing w:after="0"/>
      </w:pPr>
    </w:p>
    <w:p>
      <w:pPr>
        <w:pStyle w:val="Heading2"/>
        <w:keepNext/>
        <w:spacing w:before="160" w:after="100"/>
      </w:pPr>
      <w:r>
        <w:rPr>
          <w:rFonts w:ascii="Noto Sans" w:hAnsi="Noto Sans" w:eastAsia="Noto Sans"/>
        </w:rPr>
        <w:t>4.1 Why the records are not one-to-one with mice</w:t>
      </w:r>
    </w:p>
    <w:p>
      <w:pPr>
        <w:pStyle w:val="ListBullet"/>
        <w:spacing w:after="60"/>
        <w:ind w:left="198" w:hanging="142"/>
      </w:pPr>
      <w:r>
        <w:rPr>
          <w:rFonts w:ascii="Noto Sans" w:hAnsi="Noto Sans" w:eastAsia="Noto Sans"/>
          <w:b w:val="0"/>
          <w:i w:val="0"/>
          <w:sz w:val="20"/>
        </w:rPr>
        <w:t>The study covers several age groups, not just the seven-month comparison.</w:t>
      </w:r>
    </w:p>
    <w:p>
      <w:pPr>
        <w:pStyle w:val="ListBullet"/>
        <w:spacing w:after="60"/>
        <w:ind w:left="198" w:hanging="142"/>
      </w:pPr>
      <w:r>
        <w:rPr>
          <w:rFonts w:ascii="Noto Sans" w:hAnsi="Noto Sans" w:eastAsia="Noto Sans"/>
          <w:b w:val="0"/>
          <w:i w:val="0"/>
          <w:sz w:val="20"/>
        </w:rPr>
        <w:t>The same mouse can contribute more than one preparation. The Nature reporting summary explicitly identifies left and right brain hemispheres from the same mouse as technical replicates.</w:t>
      </w:r>
    </w:p>
    <w:p>
      <w:pPr>
        <w:pStyle w:val="ListBullet"/>
        <w:spacing w:after="60"/>
        <w:ind w:left="198" w:hanging="142"/>
      </w:pPr>
      <w:r>
        <w:rPr>
          <w:rFonts w:ascii="Noto Sans" w:hAnsi="Noto Sans" w:eastAsia="Noto Sans"/>
          <w:b w:val="0"/>
          <w:i w:val="0"/>
          <w:sz w:val="20"/>
        </w:rPr>
        <w:t>Some animals contributed both hippocampal and cortical tissue. The paper states that the cortex component reused mice that had also been profiled in the hippocampus.</w:t>
      </w:r>
    </w:p>
    <w:p>
      <w:pPr>
        <w:pStyle w:val="ListBullet"/>
        <w:spacing w:after="60"/>
        <w:ind w:left="198" w:hanging="142"/>
      </w:pPr>
      <w:r>
        <w:rPr>
          <w:rFonts w:ascii="Noto Sans" w:hAnsi="Noto Sans" w:eastAsia="Noto Sans"/>
          <w:b w:val="0"/>
          <w:i w:val="0"/>
          <w:sz w:val="20"/>
        </w:rPr>
        <w:t>GEO organizes deposited specimens and libraries. It does not promise that every GSM is a distinct animal.</w:t>
      </w:r>
    </w:p>
    <w:p>
      <w:pPr>
        <w:pStyle w:val="ListBullet"/>
        <w:spacing w:after="60"/>
        <w:ind w:left="198" w:hanging="142"/>
      </w:pPr>
      <w:r>
        <w:rPr>
          <w:rFonts w:ascii="Noto Sans" w:hAnsi="Noto Sans" w:eastAsia="Noto Sans"/>
          <w:b w:val="0"/>
          <w:i w:val="0"/>
          <w:sz w:val="20"/>
        </w:rPr>
        <w:t>Different figures in the paper use different subsets, so the relevant n must be defined separately for each analysis question.</w:t>
      </w:r>
    </w:p>
    <w:tbl>
      <w:tblPr>
        <w:tblW w:type="auto" w:w="0"/>
        <w:jc w:val="center"/>
        <w:tblLayout w:type="fixed"/>
        <w:tblLook w:firstColumn="1" w:firstRow="1" w:lastColumn="0" w:lastRow="0" w:noHBand="0" w:noVBand="1" w:val="04A0"/>
      </w:tblPr>
      <w:tblGrid>
        <w:gridCol w:w="9354"/>
      </w:tblGrid>
      <w:tr>
        <w:trPr>
          <w:cantSplit/>
        </w:trPr>
        <w:tc>
          <w:tcPr>
            <w:tcW w:type="dxa" w:w="9972"/>
            <w:shd w:fill="FCE4D6"/>
            <w:tcBorders>
              <w:top w:val="single" w:sz="14" w:color="C65911"/>
              <w:left w:val="single" w:sz="14" w:color="C65911"/>
              <w:bottom w:val="single" w:sz="14" w:color="C65911"/>
              <w:right w:val="single" w:sz="14" w:color="C65911"/>
            </w:tcBorders>
            <w:tcMar>
              <w:top w:w="120" w:type="dxa"/>
              <w:start w:w="160" w:type="dxa"/>
              <w:bottom w:w="120" w:type="dxa"/>
              <w:end w:w="160" w:type="dxa"/>
            </w:tcMar>
          </w:tcPr>
          <w:p>
            <w:pPr>
              <w:spacing w:after="80"/>
            </w:pPr>
            <w:r>
              <w:rPr>
                <w:rFonts w:ascii="Noto Sans" w:hAnsi="Noto Sans" w:eastAsia="Noto Sans"/>
                <w:b/>
                <w:i w:val="0"/>
                <w:color w:val="C65911"/>
                <w:sz w:val="21"/>
              </w:rPr>
              <w:t>Important metadata caution</w:t>
            </w:r>
          </w:p>
          <w:p>
            <w:pPr>
              <w:spacing w:after="0"/>
            </w:pPr>
            <w:r>
              <w:rPr>
                <w:rFonts w:ascii="Noto Sans" w:hAnsi="Noto Sans" w:eastAsia="Noto Sans"/>
                <w:b w:val="0"/>
                <w:i w:val="0"/>
                <w:sz w:val="20"/>
              </w:rPr>
              <w:t>Before reanalysis, build a table with one row per GSM and columns for mouse ID, genotype, sex, age, brain region, hemisphere, library chemistry, lysis protocol, and batch. Then decide which records belong to the same mouse. Do not estimate biological sample size from the number of GSM accessions alone.</w:t>
            </w:r>
          </w:p>
        </w:tc>
      </w:tr>
    </w:tbl>
    <w:p>
      <w:pPr>
        <w:spacing w:after="0"/>
      </w:pPr>
    </w:p>
    <w:p>
      <w:pPr>
        <w:pStyle w:val="Heading1"/>
        <w:keepNext/>
        <w:spacing w:before="240" w:after="100"/>
      </w:pPr>
      <w:r>
        <w:rPr>
          <w:rFonts w:ascii="Noto Sans" w:hAnsi="Noto Sans" w:eastAsia="Noto Sans"/>
        </w:rPr>
        <w:t>5. The major components of the study</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98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Study component</w:t>
            </w:r>
          </w:p>
        </w:tc>
        <w:tc>
          <w:tcPr>
            <w:tcW w:type="dxa" w:w="215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Tissue/animals</w:t>
            </w:r>
          </w:p>
        </w:tc>
        <w:tc>
          <w:tcPr>
            <w:tcW w:type="dxa" w:w="2268"/>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Replication information</w:t>
            </w:r>
          </w:p>
        </w:tc>
        <w:tc>
          <w:tcPr>
            <w:tcW w:type="dxa" w:w="2778"/>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Main purpose</w:t>
            </w:r>
          </w:p>
        </w:tc>
      </w:tr>
      <w:tr>
        <w:trPr>
          <w:cantSplit/>
        </w:trPr>
        <w:tc>
          <w:tcPr>
            <w:tcW w:type="dxa" w:w="1984"/>
            <w:vAlign w:val="top"/>
            <w:tcMar>
              <w:top w:w="90" w:type="dxa"/>
              <w:start w:w="90" w:type="dxa"/>
              <w:bottom w:w="90" w:type="dxa"/>
              <w:end w:w="90" w:type="dxa"/>
            </w:tcMar>
          </w:tcPr>
          <w:p>
            <w:pPr>
              <w:spacing w:after="0"/>
            </w:pPr>
            <w:r>
              <w:rPr>
                <w:rFonts w:ascii="Noto Sans" w:hAnsi="Noto Sans" w:eastAsia="Noto Sans"/>
                <w:b w:val="0"/>
                <w:i w:val="0"/>
                <w:sz w:val="17"/>
              </w:rPr>
              <w:t>Main seven-month atlas</w:t>
            </w:r>
          </w:p>
        </w:tc>
        <w:tc>
          <w:tcPr>
            <w:tcW w:type="dxa" w:w="2154"/>
            <w:vAlign w:val="top"/>
            <w:tcMar>
              <w:top w:w="90" w:type="dxa"/>
              <w:start w:w="90" w:type="dxa"/>
              <w:bottom w:w="90" w:type="dxa"/>
              <w:end w:w="90" w:type="dxa"/>
            </w:tcMar>
          </w:tcPr>
          <w:p>
            <w:pPr>
              <w:spacing w:after="0"/>
            </w:pPr>
            <w:r>
              <w:rPr>
                <w:rFonts w:ascii="Noto Sans" w:hAnsi="Noto Sans" w:eastAsia="Noto Sans"/>
                <w:b w:val="0"/>
                <w:i w:val="0"/>
                <w:sz w:val="17"/>
              </w:rPr>
              <w:t>Male hippocampus</w:t>
            </w:r>
          </w:p>
        </w:tc>
        <w:tc>
          <w:tcPr>
            <w:tcW w:type="dxa" w:w="2268"/>
            <w:vAlign w:val="top"/>
            <w:tcMar>
              <w:top w:w="90" w:type="dxa"/>
              <w:start w:w="90" w:type="dxa"/>
              <w:bottom w:w="90" w:type="dxa"/>
              <w:end w:w="90" w:type="dxa"/>
            </w:tcMar>
          </w:tcPr>
          <w:p>
            <w:pPr>
              <w:spacing w:after="0"/>
            </w:pPr>
            <w:r>
              <w:rPr>
                <w:rFonts w:ascii="Noto Sans" w:hAnsi="Noto Sans" w:eastAsia="Noto Sans"/>
                <w:b w:val="0"/>
                <w:i w:val="0"/>
                <w:sz w:val="17"/>
              </w:rPr>
              <w:t>4 WT + 4 5xFAD mice; 10 samples</w:t>
            </w:r>
          </w:p>
        </w:tc>
        <w:tc>
          <w:tcPr>
            <w:tcW w:type="dxa" w:w="2778"/>
            <w:vAlign w:val="top"/>
            <w:tcMar>
              <w:top w:w="90" w:type="dxa"/>
              <w:start w:w="90" w:type="dxa"/>
              <w:bottom w:w="90" w:type="dxa"/>
              <w:end w:w="90" w:type="dxa"/>
            </w:tcMar>
          </w:tcPr>
          <w:p>
            <w:pPr>
              <w:spacing w:after="0"/>
            </w:pPr>
            <w:r>
              <w:rPr>
                <w:rFonts w:ascii="Noto Sans" w:hAnsi="Noto Sans" w:eastAsia="Noto Sans"/>
                <w:b w:val="0"/>
                <w:i w:val="0"/>
                <w:sz w:val="17"/>
              </w:rPr>
              <w:t>Broad all-cell atlas and the strongest matched disease-versus-control comparison.</w:t>
            </w:r>
          </w:p>
        </w:tc>
      </w:tr>
      <w:tr>
        <w:trPr>
          <w:cantSplit/>
        </w:trPr>
        <w:tc>
          <w:tcPr>
            <w:tcW w:type="dxa" w:w="1984"/>
            <w:shd w:fill="F7FAFC"/>
            <w:vAlign w:val="top"/>
            <w:tcMar>
              <w:top w:w="90" w:type="dxa"/>
              <w:start w:w="90" w:type="dxa"/>
              <w:bottom w:w="90" w:type="dxa"/>
              <w:end w:w="90" w:type="dxa"/>
            </w:tcMar>
          </w:tcPr>
          <w:p>
            <w:pPr>
              <w:spacing w:after="0"/>
            </w:pPr>
            <w:r>
              <w:rPr>
                <w:rFonts w:ascii="Noto Sans" w:hAnsi="Noto Sans" w:eastAsia="Noto Sans"/>
                <w:b w:val="0"/>
                <w:i w:val="0"/>
                <w:sz w:val="17"/>
              </w:rPr>
              <w:t>Astrocyte age course</w:t>
            </w:r>
          </w:p>
        </w:tc>
        <w:tc>
          <w:tcPr>
            <w:tcW w:type="dxa" w:w="2154"/>
            <w:shd w:fill="F7FAFC"/>
            <w:vAlign w:val="top"/>
            <w:tcMar>
              <w:top w:w="90" w:type="dxa"/>
              <w:start w:w="90" w:type="dxa"/>
              <w:bottom w:w="90" w:type="dxa"/>
              <w:end w:w="90" w:type="dxa"/>
            </w:tcMar>
          </w:tcPr>
          <w:p>
            <w:pPr>
              <w:spacing w:after="0"/>
            </w:pPr>
            <w:r>
              <w:rPr>
                <w:rFonts w:ascii="Noto Sans" w:hAnsi="Noto Sans" w:eastAsia="Noto Sans"/>
                <w:b w:val="0"/>
                <w:i w:val="0"/>
                <w:sz w:val="17"/>
              </w:rPr>
              <w:t>Male hippocampus across six age ranges</w:t>
            </w:r>
          </w:p>
        </w:tc>
        <w:tc>
          <w:tcPr>
            <w:tcW w:type="dxa" w:w="2268"/>
            <w:shd w:fill="F7FAFC"/>
            <w:vAlign w:val="top"/>
            <w:tcMar>
              <w:top w:w="90" w:type="dxa"/>
              <w:start w:w="90" w:type="dxa"/>
              <w:bottom w:w="90" w:type="dxa"/>
              <w:end w:w="90" w:type="dxa"/>
            </w:tcMar>
          </w:tcPr>
          <w:p>
            <w:pPr>
              <w:spacing w:after="0"/>
            </w:pPr>
            <w:r>
              <w:rPr>
                <w:rFonts w:ascii="Noto Sans" w:hAnsi="Noto Sans" w:eastAsia="Noto Sans"/>
                <w:b w:val="0"/>
                <w:i w:val="0"/>
                <w:sz w:val="17"/>
              </w:rPr>
              <w:t>Published analysis: 28 mice; 23,863 astrocyte nuclei</w:t>
            </w:r>
          </w:p>
        </w:tc>
        <w:tc>
          <w:tcPr>
            <w:tcW w:type="dxa" w:w="2778"/>
            <w:shd w:fill="F7FAFC"/>
            <w:vAlign w:val="top"/>
            <w:tcMar>
              <w:top w:w="90" w:type="dxa"/>
              <w:start w:w="90" w:type="dxa"/>
              <w:bottom w:w="90" w:type="dxa"/>
              <w:end w:w="90" w:type="dxa"/>
            </w:tcMar>
          </w:tcPr>
          <w:p>
            <w:pPr>
              <w:spacing w:after="0"/>
            </w:pPr>
            <w:r>
              <w:rPr>
                <w:rFonts w:ascii="Noto Sans" w:hAnsi="Noto Sans" w:eastAsia="Noto Sans"/>
                <w:b w:val="0"/>
                <w:i w:val="0"/>
                <w:sz w:val="17"/>
              </w:rPr>
              <w:t>When and how the DAA state appears and changes with age.</w:t>
            </w:r>
          </w:p>
        </w:tc>
      </w:tr>
      <w:tr>
        <w:trPr>
          <w:cantSplit/>
        </w:trPr>
        <w:tc>
          <w:tcPr>
            <w:tcW w:type="dxa" w:w="1984"/>
            <w:vAlign w:val="top"/>
            <w:tcMar>
              <w:top w:w="90" w:type="dxa"/>
              <w:start w:w="90" w:type="dxa"/>
              <w:bottom w:w="90" w:type="dxa"/>
              <w:end w:w="90" w:type="dxa"/>
            </w:tcMar>
          </w:tcPr>
          <w:p>
            <w:pPr>
              <w:spacing w:after="0"/>
            </w:pPr>
            <w:r>
              <w:rPr>
                <w:rFonts w:ascii="Noto Sans" w:hAnsi="Noto Sans" w:eastAsia="Noto Sans"/>
                <w:b w:val="0"/>
                <w:i w:val="0"/>
                <w:sz w:val="17"/>
              </w:rPr>
              <w:t>Female validation</w:t>
            </w:r>
          </w:p>
        </w:tc>
        <w:tc>
          <w:tcPr>
            <w:tcW w:type="dxa" w:w="2154"/>
            <w:vAlign w:val="top"/>
            <w:tcMar>
              <w:top w:w="90" w:type="dxa"/>
              <w:start w:w="90" w:type="dxa"/>
              <w:bottom w:w="90" w:type="dxa"/>
              <w:end w:w="90" w:type="dxa"/>
            </w:tcMar>
          </w:tcPr>
          <w:p>
            <w:pPr>
              <w:spacing w:after="0"/>
            </w:pPr>
            <w:r>
              <w:rPr>
                <w:rFonts w:ascii="Noto Sans" w:hAnsi="Noto Sans" w:eastAsia="Noto Sans"/>
                <w:b w:val="0"/>
                <w:i w:val="0"/>
                <w:sz w:val="17"/>
              </w:rPr>
              <w:t>Seven-month female hippocampus</w:t>
            </w:r>
          </w:p>
        </w:tc>
        <w:tc>
          <w:tcPr>
            <w:tcW w:type="dxa" w:w="2268"/>
            <w:vAlign w:val="top"/>
            <w:tcMar>
              <w:top w:w="90" w:type="dxa"/>
              <w:start w:w="90" w:type="dxa"/>
              <w:bottom w:w="90" w:type="dxa"/>
              <w:end w:w="90" w:type="dxa"/>
            </w:tcMar>
          </w:tcPr>
          <w:p>
            <w:pPr>
              <w:spacing w:after="0"/>
            </w:pPr>
            <w:r>
              <w:rPr>
                <w:rFonts w:ascii="Noto Sans" w:hAnsi="Noto Sans" w:eastAsia="Noto Sans"/>
                <w:b w:val="0"/>
                <w:i w:val="0"/>
                <w:sz w:val="17"/>
              </w:rPr>
              <w:t>1 WT + 1 5xFAD mouse</w:t>
            </w:r>
          </w:p>
        </w:tc>
        <w:tc>
          <w:tcPr>
            <w:tcW w:type="dxa" w:w="2778"/>
            <w:vAlign w:val="top"/>
            <w:tcMar>
              <w:top w:w="90" w:type="dxa"/>
              <w:start w:w="90" w:type="dxa"/>
              <w:bottom w:w="90" w:type="dxa"/>
              <w:end w:w="90" w:type="dxa"/>
            </w:tcMar>
          </w:tcPr>
          <w:p>
            <w:pPr>
              <w:spacing w:after="0"/>
            </w:pPr>
            <w:r>
              <w:rPr>
                <w:rFonts w:ascii="Noto Sans" w:hAnsi="Noto Sans" w:eastAsia="Noto Sans"/>
                <w:b w:val="0"/>
                <w:i w:val="0"/>
                <w:sz w:val="17"/>
              </w:rPr>
              <w:t>Shows that DAA-like cells can be observed in females; cannot estimate a sex effect.</w:t>
            </w:r>
          </w:p>
        </w:tc>
      </w:tr>
      <w:tr>
        <w:trPr>
          <w:cantSplit/>
        </w:trPr>
        <w:tc>
          <w:tcPr>
            <w:tcW w:type="dxa" w:w="1984"/>
            <w:shd w:fill="F7FAFC"/>
            <w:vAlign w:val="top"/>
            <w:tcMar>
              <w:top w:w="90" w:type="dxa"/>
              <w:start w:w="90" w:type="dxa"/>
              <w:bottom w:w="90" w:type="dxa"/>
              <w:end w:w="90" w:type="dxa"/>
            </w:tcMar>
          </w:tcPr>
          <w:p>
            <w:pPr>
              <w:spacing w:after="0"/>
            </w:pPr>
            <w:r>
              <w:rPr>
                <w:rFonts w:ascii="Noto Sans" w:hAnsi="Noto Sans" w:eastAsia="Noto Sans"/>
                <w:b w:val="0"/>
                <w:i w:val="0"/>
                <w:sz w:val="17"/>
              </w:rPr>
              <w:t>Cortex validation</w:t>
            </w:r>
          </w:p>
        </w:tc>
        <w:tc>
          <w:tcPr>
            <w:tcW w:type="dxa" w:w="2154"/>
            <w:shd w:fill="F7FAFC"/>
            <w:vAlign w:val="top"/>
            <w:tcMar>
              <w:top w:w="90" w:type="dxa"/>
              <w:start w:w="90" w:type="dxa"/>
              <w:bottom w:w="90" w:type="dxa"/>
              <w:end w:w="90" w:type="dxa"/>
            </w:tcMar>
          </w:tcPr>
          <w:p>
            <w:pPr>
              <w:spacing w:after="0"/>
            </w:pPr>
            <w:r>
              <w:rPr>
                <w:rFonts w:ascii="Noto Sans" w:hAnsi="Noto Sans" w:eastAsia="Noto Sans"/>
                <w:b w:val="0"/>
                <w:i w:val="0"/>
                <w:sz w:val="17"/>
              </w:rPr>
              <w:t>Male prefrontal cortex at seven and ten months</w:t>
            </w:r>
          </w:p>
        </w:tc>
        <w:tc>
          <w:tcPr>
            <w:tcW w:type="dxa" w:w="2268"/>
            <w:shd w:fill="F7FAFC"/>
            <w:vAlign w:val="top"/>
            <w:tcMar>
              <w:top w:w="90" w:type="dxa"/>
              <w:start w:w="90" w:type="dxa"/>
              <w:bottom w:w="90" w:type="dxa"/>
              <w:end w:w="90" w:type="dxa"/>
            </w:tcMar>
          </w:tcPr>
          <w:p>
            <w:pPr>
              <w:spacing w:after="0"/>
            </w:pPr>
            <w:r>
              <w:rPr>
                <w:rFonts w:ascii="Noto Sans" w:hAnsi="Noto Sans" w:eastAsia="Noto Sans"/>
                <w:b w:val="0"/>
                <w:i w:val="0"/>
                <w:sz w:val="17"/>
              </w:rPr>
              <w:t>Cortex specimens from mice also used for hippocampus</w:t>
            </w:r>
          </w:p>
        </w:tc>
        <w:tc>
          <w:tcPr>
            <w:tcW w:type="dxa" w:w="2778"/>
            <w:shd w:fill="F7FAFC"/>
            <w:vAlign w:val="top"/>
            <w:tcMar>
              <w:top w:w="90" w:type="dxa"/>
              <w:start w:w="90" w:type="dxa"/>
              <w:bottom w:w="90" w:type="dxa"/>
              <w:end w:w="90" w:type="dxa"/>
            </w:tcMar>
          </w:tcPr>
          <w:p>
            <w:pPr>
              <w:spacing w:after="0"/>
            </w:pPr>
            <w:r>
              <w:rPr>
                <w:rFonts w:ascii="Noto Sans" w:hAnsi="Noto Sans" w:eastAsia="Noto Sans"/>
                <w:b w:val="0"/>
                <w:i w:val="0"/>
                <w:sz w:val="17"/>
              </w:rPr>
              <w:t>Tests whether the astrocyte state is restricted to hippocampus.</w:t>
            </w:r>
          </w:p>
        </w:tc>
      </w:tr>
      <w:tr>
        <w:trPr>
          <w:cantSplit/>
        </w:trPr>
        <w:tc>
          <w:tcPr>
            <w:tcW w:type="dxa" w:w="1984"/>
            <w:vAlign w:val="top"/>
            <w:tcMar>
              <w:top w:w="90" w:type="dxa"/>
              <w:start w:w="90" w:type="dxa"/>
              <w:bottom w:w="90" w:type="dxa"/>
              <w:end w:w="90" w:type="dxa"/>
            </w:tcMar>
          </w:tcPr>
          <w:p>
            <w:pPr>
              <w:spacing w:after="0"/>
            </w:pPr>
            <w:r>
              <w:rPr>
                <w:rFonts w:ascii="Noto Sans" w:hAnsi="Noto Sans" w:eastAsia="Noto Sans"/>
                <w:b w:val="0"/>
                <w:i w:val="0"/>
                <w:sz w:val="17"/>
              </w:rPr>
              <w:t>Histology validation</w:t>
            </w:r>
          </w:p>
        </w:tc>
        <w:tc>
          <w:tcPr>
            <w:tcW w:type="dxa" w:w="2154"/>
            <w:vAlign w:val="top"/>
            <w:tcMar>
              <w:top w:w="90" w:type="dxa"/>
              <w:start w:w="90" w:type="dxa"/>
              <w:bottom w:w="90" w:type="dxa"/>
              <w:end w:w="90" w:type="dxa"/>
            </w:tcMar>
          </w:tcPr>
          <w:p>
            <w:pPr>
              <w:spacing w:after="0"/>
            </w:pPr>
            <w:r>
              <w:rPr>
                <w:rFonts w:ascii="Noto Sans" w:hAnsi="Noto Sans" w:eastAsia="Noto Sans"/>
                <w:b w:val="0"/>
                <w:i w:val="0"/>
                <w:sz w:val="17"/>
              </w:rPr>
              <w:t>Brain sections from additional animals</w:t>
            </w:r>
          </w:p>
        </w:tc>
        <w:tc>
          <w:tcPr>
            <w:tcW w:type="dxa" w:w="2268"/>
            <w:vAlign w:val="top"/>
            <w:tcMar>
              <w:top w:w="90" w:type="dxa"/>
              <w:start w:w="90" w:type="dxa"/>
              <w:bottom w:w="90" w:type="dxa"/>
              <w:end w:w="90" w:type="dxa"/>
            </w:tcMar>
          </w:tcPr>
          <w:p>
            <w:pPr>
              <w:spacing w:after="0"/>
            </w:pPr>
            <w:r>
              <w:rPr>
                <w:rFonts w:ascii="Noto Sans" w:hAnsi="Noto Sans" w:eastAsia="Noto Sans"/>
                <w:b w:val="0"/>
                <w:i w:val="0"/>
                <w:sz w:val="17"/>
              </w:rPr>
              <w:t>Separate imaging experiments</w:t>
            </w:r>
          </w:p>
        </w:tc>
        <w:tc>
          <w:tcPr>
            <w:tcW w:type="dxa" w:w="2778"/>
            <w:vAlign w:val="top"/>
            <w:tcMar>
              <w:top w:w="90" w:type="dxa"/>
              <w:start w:w="90" w:type="dxa"/>
              <w:bottom w:w="90" w:type="dxa"/>
              <w:end w:w="90" w:type="dxa"/>
            </w:tcMar>
          </w:tcPr>
          <w:p>
            <w:pPr>
              <w:spacing w:after="0"/>
            </w:pPr>
            <w:r>
              <w:rPr>
                <w:rFonts w:ascii="Noto Sans" w:hAnsi="Noto Sans" w:eastAsia="Noto Sans"/>
                <w:b w:val="0"/>
                <w:i w:val="0"/>
                <w:sz w:val="17"/>
              </w:rPr>
              <w:t>Confirms protein markers and proximity of reactive astrocytes to amyloid-beta plaques; not part of the snRNA-seq sample count.</w:t>
            </w:r>
          </w:p>
        </w:tc>
      </w:tr>
    </w:tbl>
    <w:p>
      <w:pPr>
        <w:spacing w:after="0"/>
      </w:pPr>
    </w:p>
    <w:p>
      <w:pPr>
        <w:spacing w:before="40" w:after="160"/>
        <w:jc w:val="center"/>
      </w:pPr>
      <w:r>
        <w:rPr>
          <w:rFonts w:ascii="Noto Sans" w:hAnsi="Noto Sans" w:eastAsia="Noto Sans"/>
          <w:b/>
          <w:i w:val="0"/>
          <w:color w:val="555555"/>
          <w:sz w:val="18"/>
        </w:rPr>
        <w:t>Table 5. GSE143758 is an umbrella series containing several related experimental components.</w:t>
      </w:r>
    </w:p>
    <w:p>
      <w:pPr>
        <w:pStyle w:val="Heading1"/>
        <w:keepNext/>
        <w:spacing w:before="240" w:after="100"/>
      </w:pPr>
      <w:r>
        <w:rPr>
          <w:rFonts w:ascii="Noto Sans" w:hAnsi="Noto Sans" w:eastAsia="Noto Sans"/>
        </w:rPr>
        <w:t>6. Cell types available in the main seven-month atlas</w:t>
      </w:r>
    </w:p>
    <w:p>
      <w:r>
        <w:rPr>
          <w:rFonts w:ascii="Noto Sans" w:hAnsi="Noto Sans" w:eastAsia="Noto Sans"/>
          <w:b/>
          <w:i w:val="0"/>
        </w:rPr>
        <w:t xml:space="preserve">The seven-month all-nuclei dataset is broad. </w:t>
      </w:r>
      <w:r>
        <w:rPr>
          <w:rFonts w:ascii="Noto Sans" w:hAnsi="Noto Sans" w:eastAsia="Noto Sans"/>
          <w:b w:val="0"/>
          <w:i w:val="0"/>
        </w:rPr>
        <w:t>The paper partitioned 54,769 high-quality nuclei into 23 clusters using marker genes. The main categories include: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49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Cell class</w:t>
            </w:r>
          </w:p>
        </w:tc>
        <w:tc>
          <w:tcPr>
            <w:tcW w:type="dxa" w:w="6690"/>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What it does</w:t>
            </w:r>
          </w:p>
        </w:tc>
      </w:tr>
      <w:tr>
        <w:trPr>
          <w:cantSplit/>
        </w:trPr>
        <w:tc>
          <w:tcPr>
            <w:tcW w:type="dxa" w:w="2494"/>
            <w:vAlign w:val="top"/>
            <w:tcMar>
              <w:top w:w="90" w:type="dxa"/>
              <w:start w:w="90" w:type="dxa"/>
              <w:bottom w:w="90" w:type="dxa"/>
              <w:end w:w="90" w:type="dxa"/>
            </w:tcMar>
          </w:tcPr>
          <w:p>
            <w:pPr>
              <w:spacing w:after="0"/>
            </w:pPr>
            <w:r>
              <w:rPr>
                <w:rFonts w:ascii="Noto Sans" w:hAnsi="Noto Sans" w:eastAsia="Noto Sans"/>
                <w:b w:val="0"/>
                <w:i w:val="0"/>
                <w:sz w:val="18"/>
              </w:rPr>
              <w:t>Excitatory neurons</w:t>
            </w:r>
          </w:p>
        </w:tc>
        <w:tc>
          <w:tcPr>
            <w:tcW w:type="dxa" w:w="6690"/>
            <w:vAlign w:val="top"/>
            <w:tcMar>
              <w:top w:w="90" w:type="dxa"/>
              <w:start w:w="90" w:type="dxa"/>
              <w:bottom w:w="90" w:type="dxa"/>
              <w:end w:w="90" w:type="dxa"/>
            </w:tcMar>
          </w:tcPr>
          <w:p>
            <w:pPr>
              <w:spacing w:after="0"/>
            </w:pPr>
            <w:r>
              <w:rPr>
                <w:rFonts w:ascii="Noto Sans" w:hAnsi="Noto Sans" w:eastAsia="Noto Sans"/>
                <w:b w:val="0"/>
                <w:i w:val="0"/>
                <w:sz w:val="18"/>
              </w:rPr>
              <w:t>Neurons that usually increase the activity of downstream cells; includes hippocampal pyramidal and dentate-gyrus-related populations.</w:t>
            </w:r>
          </w:p>
        </w:tc>
      </w:tr>
      <w:tr>
        <w:trPr>
          <w:cantSplit/>
        </w:trPr>
        <w:tc>
          <w:tcPr>
            <w:tcW w:type="dxa" w:w="2494"/>
            <w:shd w:fill="F7FAFC"/>
            <w:vAlign w:val="top"/>
            <w:tcMar>
              <w:top w:w="90" w:type="dxa"/>
              <w:start w:w="90" w:type="dxa"/>
              <w:bottom w:w="90" w:type="dxa"/>
              <w:end w:w="90" w:type="dxa"/>
            </w:tcMar>
          </w:tcPr>
          <w:p>
            <w:pPr>
              <w:spacing w:after="0"/>
            </w:pPr>
            <w:r>
              <w:rPr>
                <w:rFonts w:ascii="Noto Sans" w:hAnsi="Noto Sans" w:eastAsia="Noto Sans"/>
                <w:b w:val="0"/>
                <w:i w:val="0"/>
                <w:sz w:val="18"/>
              </w:rPr>
              <w:t>Inhibitory neurons</w:t>
            </w:r>
          </w:p>
        </w:tc>
        <w:tc>
          <w:tcPr>
            <w:tcW w:type="dxa" w:w="6690"/>
            <w:shd w:fill="F7FAFC"/>
            <w:vAlign w:val="top"/>
            <w:tcMar>
              <w:top w:w="90" w:type="dxa"/>
              <w:start w:w="90" w:type="dxa"/>
              <w:bottom w:w="90" w:type="dxa"/>
              <w:end w:w="90" w:type="dxa"/>
            </w:tcMar>
          </w:tcPr>
          <w:p>
            <w:pPr>
              <w:spacing w:after="0"/>
            </w:pPr>
            <w:r>
              <w:rPr>
                <w:rFonts w:ascii="Noto Sans" w:hAnsi="Noto Sans" w:eastAsia="Noto Sans"/>
                <w:b w:val="0"/>
                <w:i w:val="0"/>
                <w:sz w:val="18"/>
              </w:rPr>
              <w:t>Neurons that reduce or regulate the activity of other neurons, often identified with GABA-related markers.</w:t>
            </w:r>
          </w:p>
        </w:tc>
      </w:tr>
      <w:tr>
        <w:trPr>
          <w:cantSplit/>
        </w:trPr>
        <w:tc>
          <w:tcPr>
            <w:tcW w:type="dxa" w:w="2494"/>
            <w:vAlign w:val="top"/>
            <w:tcMar>
              <w:top w:w="90" w:type="dxa"/>
              <w:start w:w="90" w:type="dxa"/>
              <w:bottom w:w="90" w:type="dxa"/>
              <w:end w:w="90" w:type="dxa"/>
            </w:tcMar>
          </w:tcPr>
          <w:p>
            <w:pPr>
              <w:spacing w:after="0"/>
            </w:pPr>
            <w:r>
              <w:rPr>
                <w:rFonts w:ascii="Noto Sans" w:hAnsi="Noto Sans" w:eastAsia="Noto Sans"/>
                <w:b w:val="0"/>
                <w:i w:val="0"/>
                <w:sz w:val="18"/>
              </w:rPr>
              <w:t>Astrocytes</w:t>
            </w:r>
          </w:p>
        </w:tc>
        <w:tc>
          <w:tcPr>
            <w:tcW w:type="dxa" w:w="6690"/>
            <w:vAlign w:val="top"/>
            <w:tcMar>
              <w:top w:w="90" w:type="dxa"/>
              <w:start w:w="90" w:type="dxa"/>
              <w:bottom w:w="90" w:type="dxa"/>
              <w:end w:w="90" w:type="dxa"/>
            </w:tcMar>
          </w:tcPr>
          <w:p>
            <w:pPr>
              <w:spacing w:after="0"/>
            </w:pPr>
            <w:r>
              <w:rPr>
                <w:rFonts w:ascii="Noto Sans" w:hAnsi="Noto Sans" w:eastAsia="Noto Sans"/>
                <w:b w:val="0"/>
                <w:i w:val="0"/>
                <w:sz w:val="18"/>
              </w:rPr>
              <w:t>Supportive glial cells involved in metabolism, neurotransmitter balance, blood-brain interactions, and responses to injury or disease.</w:t>
            </w:r>
          </w:p>
        </w:tc>
      </w:tr>
      <w:tr>
        <w:trPr>
          <w:cantSplit/>
        </w:trPr>
        <w:tc>
          <w:tcPr>
            <w:tcW w:type="dxa" w:w="2494"/>
            <w:shd w:fill="F7FAFC"/>
            <w:vAlign w:val="top"/>
            <w:tcMar>
              <w:top w:w="90" w:type="dxa"/>
              <w:start w:w="90" w:type="dxa"/>
              <w:bottom w:w="90" w:type="dxa"/>
              <w:end w:w="90" w:type="dxa"/>
            </w:tcMar>
          </w:tcPr>
          <w:p>
            <w:pPr>
              <w:spacing w:after="0"/>
            </w:pPr>
            <w:r>
              <w:rPr>
                <w:rFonts w:ascii="Noto Sans" w:hAnsi="Noto Sans" w:eastAsia="Noto Sans"/>
                <w:b w:val="0"/>
                <w:i w:val="0"/>
                <w:sz w:val="18"/>
              </w:rPr>
              <w:t>Microglia</w:t>
            </w:r>
          </w:p>
        </w:tc>
        <w:tc>
          <w:tcPr>
            <w:tcW w:type="dxa" w:w="6690"/>
            <w:shd w:fill="F7FAFC"/>
            <w:vAlign w:val="top"/>
            <w:tcMar>
              <w:top w:w="90" w:type="dxa"/>
              <w:start w:w="90" w:type="dxa"/>
              <w:bottom w:w="90" w:type="dxa"/>
              <w:end w:w="90" w:type="dxa"/>
            </w:tcMar>
          </w:tcPr>
          <w:p>
            <w:pPr>
              <w:spacing w:after="0"/>
            </w:pPr>
            <w:r>
              <w:rPr>
                <w:rFonts w:ascii="Noto Sans" w:hAnsi="Noto Sans" w:eastAsia="Noto Sans"/>
                <w:b w:val="0"/>
                <w:i w:val="0"/>
                <w:sz w:val="18"/>
              </w:rPr>
              <w:t>Resident immune cells of the brain that respond to amyloid plaques, damaged cells, and inflammation.</w:t>
            </w:r>
          </w:p>
        </w:tc>
      </w:tr>
      <w:tr>
        <w:trPr>
          <w:cantSplit/>
        </w:trPr>
        <w:tc>
          <w:tcPr>
            <w:tcW w:type="dxa" w:w="2494"/>
            <w:vAlign w:val="top"/>
            <w:tcMar>
              <w:top w:w="90" w:type="dxa"/>
              <w:start w:w="90" w:type="dxa"/>
              <w:bottom w:w="90" w:type="dxa"/>
              <w:end w:w="90" w:type="dxa"/>
            </w:tcMar>
          </w:tcPr>
          <w:p>
            <w:pPr>
              <w:spacing w:after="0"/>
            </w:pPr>
            <w:r>
              <w:rPr>
                <w:rFonts w:ascii="Noto Sans" w:hAnsi="Noto Sans" w:eastAsia="Noto Sans"/>
                <w:b w:val="0"/>
                <w:i w:val="0"/>
                <w:sz w:val="18"/>
              </w:rPr>
              <w:t>Oligodendrocytes</w:t>
            </w:r>
          </w:p>
        </w:tc>
        <w:tc>
          <w:tcPr>
            <w:tcW w:type="dxa" w:w="6690"/>
            <w:vAlign w:val="top"/>
            <w:tcMar>
              <w:top w:w="90" w:type="dxa"/>
              <w:start w:w="90" w:type="dxa"/>
              <w:bottom w:w="90" w:type="dxa"/>
              <w:end w:w="90" w:type="dxa"/>
            </w:tcMar>
          </w:tcPr>
          <w:p>
            <w:pPr>
              <w:spacing w:after="0"/>
            </w:pPr>
            <w:r>
              <w:rPr>
                <w:rFonts w:ascii="Noto Sans" w:hAnsi="Noto Sans" w:eastAsia="Noto Sans"/>
                <w:b w:val="0"/>
                <w:i w:val="0"/>
                <w:sz w:val="18"/>
              </w:rPr>
              <w:t>Cells that produce myelin, the insulating material around many neuronal axons.</w:t>
            </w:r>
          </w:p>
        </w:tc>
      </w:tr>
      <w:tr>
        <w:trPr>
          <w:cantSplit/>
        </w:trPr>
        <w:tc>
          <w:tcPr>
            <w:tcW w:type="dxa" w:w="2494"/>
            <w:shd w:fill="F7FAFC"/>
            <w:vAlign w:val="top"/>
            <w:tcMar>
              <w:top w:w="90" w:type="dxa"/>
              <w:start w:w="90" w:type="dxa"/>
              <w:bottom w:w="90" w:type="dxa"/>
              <w:end w:w="90" w:type="dxa"/>
            </w:tcMar>
          </w:tcPr>
          <w:p>
            <w:pPr>
              <w:spacing w:after="0"/>
            </w:pPr>
            <w:r>
              <w:rPr>
                <w:rFonts w:ascii="Noto Sans" w:hAnsi="Noto Sans" w:eastAsia="Noto Sans"/>
                <w:b w:val="0"/>
                <w:i w:val="0"/>
                <w:sz w:val="18"/>
              </w:rPr>
              <w:t>OPCs</w:t>
            </w:r>
          </w:p>
        </w:tc>
        <w:tc>
          <w:tcPr>
            <w:tcW w:type="dxa" w:w="6690"/>
            <w:shd w:fill="F7FAFC"/>
            <w:vAlign w:val="top"/>
            <w:tcMar>
              <w:top w:w="90" w:type="dxa"/>
              <w:start w:w="90" w:type="dxa"/>
              <w:bottom w:w="90" w:type="dxa"/>
              <w:end w:w="90" w:type="dxa"/>
            </w:tcMar>
          </w:tcPr>
          <w:p>
            <w:pPr>
              <w:spacing w:after="0"/>
            </w:pPr>
            <w:r>
              <w:rPr>
                <w:rFonts w:ascii="Noto Sans" w:hAnsi="Noto Sans" w:eastAsia="Noto Sans"/>
                <w:b w:val="0"/>
                <w:i w:val="0"/>
                <w:sz w:val="18"/>
              </w:rPr>
              <w:t>Oligodendrocyte precursor cells; immature cells that can develop into oligodendrocytes and may also respond to disease.</w:t>
            </w:r>
          </w:p>
        </w:tc>
      </w:tr>
      <w:tr>
        <w:trPr>
          <w:cantSplit/>
        </w:trPr>
        <w:tc>
          <w:tcPr>
            <w:tcW w:type="dxa" w:w="2494"/>
            <w:vAlign w:val="top"/>
            <w:tcMar>
              <w:top w:w="90" w:type="dxa"/>
              <w:start w:w="90" w:type="dxa"/>
              <w:bottom w:w="90" w:type="dxa"/>
              <w:end w:w="90" w:type="dxa"/>
            </w:tcMar>
          </w:tcPr>
          <w:p>
            <w:pPr>
              <w:spacing w:after="0"/>
            </w:pPr>
            <w:r>
              <w:rPr>
                <w:rFonts w:ascii="Noto Sans" w:hAnsi="Noto Sans" w:eastAsia="Noto Sans"/>
                <w:b w:val="0"/>
                <w:i w:val="0"/>
                <w:sz w:val="18"/>
              </w:rPr>
              <w:t>Endothelial cells and pericytes</w:t>
            </w:r>
          </w:p>
        </w:tc>
        <w:tc>
          <w:tcPr>
            <w:tcW w:type="dxa" w:w="6690"/>
            <w:vAlign w:val="top"/>
            <w:tcMar>
              <w:top w:w="90" w:type="dxa"/>
              <w:start w:w="90" w:type="dxa"/>
              <w:bottom w:w="90" w:type="dxa"/>
              <w:end w:w="90" w:type="dxa"/>
            </w:tcMar>
          </w:tcPr>
          <w:p>
            <w:pPr>
              <w:spacing w:after="0"/>
            </w:pPr>
            <w:r>
              <w:rPr>
                <w:rFonts w:ascii="Noto Sans" w:hAnsi="Noto Sans" w:eastAsia="Noto Sans"/>
                <w:b w:val="0"/>
                <w:i w:val="0"/>
                <w:sz w:val="18"/>
              </w:rPr>
              <w:t>Cells associated with brain blood vessels and the blood-brain barrier.</w:t>
            </w:r>
          </w:p>
        </w:tc>
      </w:tr>
      <w:tr>
        <w:trPr>
          <w:cantSplit/>
        </w:trPr>
        <w:tc>
          <w:tcPr>
            <w:tcW w:type="dxa" w:w="2494"/>
            <w:shd w:fill="F7FAFC"/>
            <w:vAlign w:val="top"/>
            <w:tcMar>
              <w:top w:w="90" w:type="dxa"/>
              <w:start w:w="90" w:type="dxa"/>
              <w:bottom w:w="90" w:type="dxa"/>
              <w:end w:w="90" w:type="dxa"/>
            </w:tcMar>
          </w:tcPr>
          <w:p>
            <w:pPr>
              <w:spacing w:after="0"/>
            </w:pPr>
            <w:r>
              <w:rPr>
                <w:rFonts w:ascii="Noto Sans" w:hAnsi="Noto Sans" w:eastAsia="Noto Sans"/>
                <w:b w:val="0"/>
                <w:i w:val="0"/>
                <w:sz w:val="18"/>
              </w:rPr>
              <w:t>Ependymal/progenitor-like populations</w:t>
            </w:r>
          </w:p>
        </w:tc>
        <w:tc>
          <w:tcPr>
            <w:tcW w:type="dxa" w:w="6690"/>
            <w:shd w:fill="F7FAFC"/>
            <w:vAlign w:val="top"/>
            <w:tcMar>
              <w:top w:w="90" w:type="dxa"/>
              <w:start w:w="90" w:type="dxa"/>
              <w:bottom w:w="90" w:type="dxa"/>
              <w:end w:w="90" w:type="dxa"/>
            </w:tcMar>
          </w:tcPr>
          <w:p>
            <w:pPr>
              <w:spacing w:after="0"/>
            </w:pPr>
            <w:r>
              <w:rPr>
                <w:rFonts w:ascii="Noto Sans" w:hAnsi="Noto Sans" w:eastAsia="Noto Sans"/>
                <w:b w:val="0"/>
                <w:i w:val="0"/>
                <w:sz w:val="18"/>
              </w:rPr>
              <w:t>Cells associated with ventricular surfaces or neural-progenitor niches.</w:t>
            </w:r>
          </w:p>
        </w:tc>
      </w:tr>
      <w:tr>
        <w:trPr>
          <w:cantSplit/>
        </w:trPr>
        <w:tc>
          <w:tcPr>
            <w:tcW w:type="dxa" w:w="2494"/>
            <w:vAlign w:val="top"/>
            <w:tcMar>
              <w:top w:w="90" w:type="dxa"/>
              <w:start w:w="90" w:type="dxa"/>
              <w:bottom w:w="90" w:type="dxa"/>
              <w:end w:w="90" w:type="dxa"/>
            </w:tcMar>
          </w:tcPr>
          <w:p>
            <w:pPr>
              <w:spacing w:after="0"/>
            </w:pPr>
            <w:r>
              <w:rPr>
                <w:rFonts w:ascii="Noto Sans" w:hAnsi="Noto Sans" w:eastAsia="Noto Sans"/>
                <w:b w:val="0"/>
                <w:i w:val="0"/>
                <w:sz w:val="18"/>
              </w:rPr>
              <w:t>Fibroblast-like/stromal populations</w:t>
            </w:r>
          </w:p>
        </w:tc>
        <w:tc>
          <w:tcPr>
            <w:tcW w:type="dxa" w:w="6690"/>
            <w:vAlign w:val="top"/>
            <w:tcMar>
              <w:top w:w="90" w:type="dxa"/>
              <w:start w:w="90" w:type="dxa"/>
              <w:bottom w:w="90" w:type="dxa"/>
              <w:end w:w="90" w:type="dxa"/>
            </w:tcMar>
          </w:tcPr>
          <w:p>
            <w:pPr>
              <w:spacing w:after="0"/>
            </w:pPr>
            <w:r>
              <w:rPr>
                <w:rFonts w:ascii="Noto Sans" w:hAnsi="Noto Sans" w:eastAsia="Noto Sans"/>
                <w:b w:val="0"/>
                <w:i w:val="0"/>
                <w:sz w:val="18"/>
              </w:rPr>
              <w:t>Rare connective-tissue-like populations around brain boundaries and vasculature.</w:t>
            </w:r>
          </w:p>
        </w:tc>
      </w:tr>
    </w:tbl>
    <w:p>
      <w:pPr>
        <w:spacing w:after="0"/>
      </w:pPr>
    </w:p>
    <w:p>
      <w:pPr>
        <w:spacing w:before="40" w:after="160"/>
        <w:jc w:val="center"/>
      </w:pPr>
      <w:r>
        <w:rPr>
          <w:rFonts w:ascii="Noto Sans" w:hAnsi="Noto Sans" w:eastAsia="Noto Sans"/>
          <w:b/>
          <w:i w:val="0"/>
          <w:color w:val="555555"/>
          <w:sz w:val="18"/>
        </w:rPr>
        <w:t>Table 6. Major cell classes represented in the main all-nuclei atlas.</w:t>
      </w:r>
    </w:p>
    <w:p>
      <w:r>
        <w:rPr>
          <w:rFonts w:ascii="Noto Sans" w:hAnsi="Noto Sans" w:eastAsia="Noto Sans"/>
          <w:b/>
          <w:i w:val="0"/>
          <w:color w:val="C65911"/>
        </w:rPr>
        <w:t xml:space="preserve">Processed-data caveat: </w:t>
      </w:r>
      <w:r>
        <w:rPr>
          <w:rFonts w:ascii="Noto Sans" w:hAnsi="Noto Sans" w:eastAsia="Noto Sans"/>
          <w:b w:val="0"/>
          <w:i w:val="0"/>
        </w:rPr>
        <w:t>the broad all-cell processed matrix is centered on the seven-month hippocampal atlas. The processed age-course and cortex resources are primarily astrocyte-focused. An all-cell analysis across every age may require reprocessing raw sequencing data and reconstructing sample metadata.</w:t>
      </w:r>
    </w:p>
    <w:p>
      <w:pPr>
        <w:pStyle w:val="Heading1"/>
        <w:keepNext/>
        <w:spacing w:before="240" w:after="100"/>
      </w:pPr>
      <w:r>
        <w:rPr>
          <w:rFonts w:ascii="Noto Sans" w:hAnsi="Noto Sans" w:eastAsia="Noto Sans"/>
        </w:rPr>
        <w:t>7. Main biological findings of the study</w:t>
      </w:r>
    </w:p>
    <w:p>
      <w:pPr>
        <w:pStyle w:val="Heading2"/>
        <w:keepNext/>
        <w:spacing w:before="160" w:after="100"/>
      </w:pPr>
      <w:r>
        <w:rPr>
          <w:rFonts w:ascii="Noto Sans" w:hAnsi="Noto Sans" w:eastAsia="Noto Sans"/>
        </w:rPr>
        <w:t>7.1 Disease-associated astrocytes</w:t>
      </w:r>
    </w:p>
    <w:p>
      <w:r>
        <w:rPr>
          <w:rFonts w:ascii="Noto Sans" w:hAnsi="Noto Sans" w:eastAsia="Noto Sans"/>
          <w:b/>
          <w:i w:val="0"/>
        </w:rPr>
        <w:t xml:space="preserve">The best-known result from GSE143758 is the identification of a disease-associated astrocyte state, abbreviated DAA. </w:t>
      </w:r>
      <w:r>
        <w:rPr>
          <w:rFonts w:ascii="Noto Sans" w:hAnsi="Noto Sans" w:eastAsia="Noto Sans"/>
          <w:b w:val="0"/>
          <w:i w:val="0"/>
        </w:rPr>
        <w:t>Astrocytes were arranged along a continuum from a relatively homeostatic Gfap-low state toward reactive Gfap-high states. A distinct DAA state was enriched in 5xFAD mice and accompanied by a reduction in homeostatic astrocytes.</w:t>
      </w:r>
    </w:p>
    <w:p>
      <w:pPr>
        <w:pStyle w:val="Heading2"/>
        <w:keepNext/>
        <w:spacing w:before="160" w:after="100"/>
      </w:pPr>
      <w:r>
        <w:rPr>
          <w:rFonts w:ascii="Noto Sans" w:hAnsi="Noto Sans" w:eastAsia="Noto Sans"/>
        </w:rPr>
        <w:t>7.2 Age progression</w:t>
      </w:r>
    </w:p>
    <w:p>
      <w:r>
        <w:rPr>
          <w:rFonts w:ascii="Noto Sans" w:hAnsi="Noto Sans" w:eastAsia="Noto Sans"/>
          <w:b/>
          <w:i w:val="0"/>
        </w:rPr>
        <w:t xml:space="preserve">DAAs appeared by early disease stages and increased in frequency as 5xFAD mice aged. </w:t>
      </w:r>
      <w:r>
        <w:rPr>
          <w:rFonts w:ascii="Noto Sans" w:hAnsi="Noto Sans" w:eastAsia="Noto Sans"/>
          <w:b w:val="0"/>
          <w:i w:val="0"/>
        </w:rPr>
        <w:t>DAA-like cells also appeared in aged WT animals, suggesting that both amyloid pathology and normal aging can push astrocytes toward related reactive programs.</w:t>
      </w:r>
    </w:p>
    <w:p>
      <w:pPr>
        <w:pStyle w:val="Heading2"/>
        <w:keepNext/>
        <w:spacing w:before="160" w:after="100"/>
      </w:pPr>
      <w:r>
        <w:rPr>
          <w:rFonts w:ascii="Noto Sans" w:hAnsi="Noto Sans" w:eastAsia="Noto Sans"/>
        </w:rPr>
        <w:t>7.3 Location and markers</w:t>
      </w:r>
    </w:p>
    <w:p>
      <w:pPr>
        <w:pStyle w:val="ListBullet"/>
        <w:spacing w:after="60"/>
        <w:ind w:left="198" w:hanging="142"/>
      </w:pPr>
      <w:r>
        <w:rPr>
          <w:rFonts w:ascii="Noto Sans" w:hAnsi="Noto Sans" w:eastAsia="Noto Sans"/>
          <w:b w:val="0"/>
          <w:i w:val="0"/>
          <w:sz w:val="20"/>
        </w:rPr>
        <w:t>The authors observed DAA-like astrocytes in hippocampus and cortex, so the state was not restricted to one brain region.</w:t>
      </w:r>
    </w:p>
    <w:p>
      <w:pPr>
        <w:pStyle w:val="ListBullet"/>
        <w:spacing w:after="60"/>
        <w:ind w:left="198" w:hanging="142"/>
      </w:pPr>
      <w:r>
        <w:rPr>
          <w:rFonts w:ascii="Noto Sans" w:hAnsi="Noto Sans" w:eastAsia="Noto Sans"/>
          <w:b w:val="0"/>
          <w:i w:val="0"/>
          <w:sz w:val="20"/>
        </w:rPr>
        <w:t>Protein-level imaging placed reactive astrocytes near amyloid-beta plaques, especially in the subiculum, a hippocampal region strongly affected in 5xFAD mice.</w:t>
      </w:r>
    </w:p>
    <w:p>
      <w:pPr>
        <w:pStyle w:val="ListBullet"/>
        <w:spacing w:after="60"/>
        <w:ind w:left="198" w:hanging="142"/>
      </w:pPr>
      <w:r>
        <w:rPr>
          <w:rFonts w:ascii="Noto Sans" w:hAnsi="Noto Sans" w:eastAsia="Noto Sans"/>
          <w:b w:val="0"/>
          <w:i w:val="0"/>
          <w:sz w:val="20"/>
        </w:rPr>
        <w:t>Reported DAA-associated genes include Serpina3n, Ctsb, Apoe, and Clu, among genes related to endocytosis, lysosomes, complement, inflammation, aging, and amyloid handling.</w:t>
      </w:r>
    </w:p>
    <w:p>
      <w:pPr>
        <w:pStyle w:val="ListBullet"/>
        <w:spacing w:after="60"/>
        <w:ind w:left="198" w:hanging="142"/>
      </w:pPr>
      <w:r>
        <w:rPr>
          <w:rFonts w:ascii="Noto Sans" w:hAnsi="Noto Sans" w:eastAsia="Noto Sans"/>
          <w:b w:val="0"/>
          <w:i w:val="0"/>
          <w:sz w:val="20"/>
        </w:rPr>
        <w:t>The paper also found partial overlap between disease-associated astrocyte and disease-associated microglial gene programs.</w:t>
      </w:r>
    </w:p>
    <w:p>
      <w:pPr>
        <w:pStyle w:val="Heading1"/>
        <w:keepNext/>
        <w:spacing w:before="240" w:after="100"/>
      </w:pPr>
      <w:r>
        <w:rPr>
          <w:rFonts w:ascii="Noto Sans" w:hAnsi="Noto Sans" w:eastAsia="Noto Sans"/>
        </w:rPr>
        <w:t>8. What GSE143758 can and cannot answer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3458"/>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Research question</w:t>
            </w:r>
          </w:p>
        </w:tc>
        <w:tc>
          <w:tcPr>
            <w:tcW w:type="dxa" w:w="1701"/>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Status</w:t>
            </w:r>
          </w:p>
        </w:tc>
        <w:tc>
          <w:tcPr>
            <w:tcW w:type="dxa" w:w="4025"/>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How to interpret it</w:t>
            </w:r>
          </w:p>
        </w:tc>
      </w:tr>
      <w:tr>
        <w:trPr>
          <w:cantSplit/>
        </w:trPr>
        <w:tc>
          <w:tcPr>
            <w:tcW w:type="dxa" w:w="3458"/>
            <w:vAlign w:val="top"/>
            <w:tcMar>
              <w:top w:w="90" w:type="dxa"/>
              <w:start w:w="90" w:type="dxa"/>
              <w:bottom w:w="90" w:type="dxa"/>
              <w:end w:w="90" w:type="dxa"/>
            </w:tcMar>
          </w:tcPr>
          <w:p>
            <w:pPr>
              <w:spacing w:after="0"/>
            </w:pPr>
            <w:r>
              <w:rPr>
                <w:rFonts w:ascii="Noto Sans" w:hAnsi="Noto Sans" w:eastAsia="Noto Sans"/>
                <w:b w:val="0"/>
                <w:i w:val="0"/>
                <w:sz w:val="17"/>
              </w:rPr>
              <w:t>Does 5xFAD pathology alter a pathway within a cell type at seven months?</w:t>
            </w:r>
          </w:p>
        </w:tc>
        <w:tc>
          <w:tcPr>
            <w:tcW w:type="dxa" w:w="1701"/>
            <w:vAlign w:val="top"/>
            <w:tcMar>
              <w:top w:w="90" w:type="dxa"/>
              <w:start w:w="90" w:type="dxa"/>
              <w:bottom w:w="90" w:type="dxa"/>
              <w:end w:w="90" w:type="dxa"/>
            </w:tcMar>
          </w:tcPr>
          <w:p>
            <w:pPr>
              <w:spacing w:after="0"/>
            </w:pPr>
            <w:r>
              <w:rPr>
                <w:rFonts w:ascii="Noto Sans" w:hAnsi="Noto Sans" w:eastAsia="Noto Sans"/>
                <w:b w:val="0"/>
                <w:i w:val="0"/>
                <w:sz w:val="17"/>
              </w:rPr>
              <w:t>Reasonable</w:t>
            </w:r>
          </w:p>
        </w:tc>
        <w:tc>
          <w:tcPr>
            <w:tcW w:type="dxa" w:w="4025"/>
            <w:vAlign w:val="top"/>
            <w:tcMar>
              <w:top w:w="90" w:type="dxa"/>
              <w:start w:w="90" w:type="dxa"/>
              <w:bottom w:w="90" w:type="dxa"/>
              <w:end w:w="90" w:type="dxa"/>
            </w:tcMar>
          </w:tcPr>
          <w:p>
            <w:pPr>
              <w:spacing w:after="0"/>
            </w:pPr>
            <w:r>
              <w:rPr>
                <w:rFonts w:ascii="Noto Sans" w:hAnsi="Noto Sans" w:eastAsia="Noto Sans"/>
                <w:b w:val="0"/>
                <w:i w:val="0"/>
                <w:sz w:val="17"/>
              </w:rPr>
              <w:t>Use mouse-level analysis within each cell class; n=4 mice per genotype.</w:t>
            </w:r>
          </w:p>
        </w:tc>
      </w:tr>
      <w:tr>
        <w:trPr>
          <w:cantSplit/>
        </w:trPr>
        <w:tc>
          <w:tcPr>
            <w:tcW w:type="dxa" w:w="3458"/>
            <w:shd w:fill="F7FAFC"/>
            <w:vAlign w:val="top"/>
            <w:tcMar>
              <w:top w:w="90" w:type="dxa"/>
              <w:start w:w="90" w:type="dxa"/>
              <w:bottom w:w="90" w:type="dxa"/>
              <w:end w:w="90" w:type="dxa"/>
            </w:tcMar>
          </w:tcPr>
          <w:p>
            <w:pPr>
              <w:spacing w:after="0"/>
            </w:pPr>
            <w:r>
              <w:rPr>
                <w:rFonts w:ascii="Noto Sans" w:hAnsi="Noto Sans" w:eastAsia="Noto Sans"/>
                <w:b w:val="0"/>
                <w:i w:val="0"/>
                <w:sz w:val="17"/>
              </w:rPr>
              <w:t>Is a human AD gene module enriched in astrocytes, microglia, neurons, or vascular cells?</w:t>
            </w:r>
          </w:p>
        </w:tc>
        <w:tc>
          <w:tcPr>
            <w:tcW w:type="dxa" w:w="1701"/>
            <w:shd w:fill="F7FAFC"/>
            <w:vAlign w:val="top"/>
            <w:tcMar>
              <w:top w:w="90" w:type="dxa"/>
              <w:start w:w="90" w:type="dxa"/>
              <w:bottom w:w="90" w:type="dxa"/>
              <w:end w:w="90" w:type="dxa"/>
            </w:tcMar>
          </w:tcPr>
          <w:p>
            <w:pPr>
              <w:spacing w:after="0"/>
            </w:pPr>
            <w:r>
              <w:rPr>
                <w:rFonts w:ascii="Noto Sans" w:hAnsi="Noto Sans" w:eastAsia="Noto Sans"/>
                <w:b w:val="0"/>
                <w:i w:val="0"/>
                <w:sz w:val="17"/>
              </w:rPr>
              <w:t>Reasonable</w:t>
            </w:r>
          </w:p>
        </w:tc>
        <w:tc>
          <w:tcPr>
            <w:tcW w:type="dxa" w:w="4025"/>
            <w:shd w:fill="F7FAFC"/>
            <w:vAlign w:val="top"/>
            <w:tcMar>
              <w:top w:w="90" w:type="dxa"/>
              <w:start w:w="90" w:type="dxa"/>
              <w:bottom w:w="90" w:type="dxa"/>
              <w:end w:w="90" w:type="dxa"/>
            </w:tcMar>
          </w:tcPr>
          <w:p>
            <w:pPr>
              <w:spacing w:after="0"/>
            </w:pPr>
            <w:r>
              <w:rPr>
                <w:rFonts w:ascii="Noto Sans" w:hAnsi="Noto Sans" w:eastAsia="Noto Sans"/>
                <w:b w:val="0"/>
                <w:i w:val="0"/>
                <w:sz w:val="17"/>
              </w:rPr>
              <w:t>Map human genes to mouse orthologs, freeze the module before looking at this dataset, and compare mouse-level scores.</w:t>
            </w:r>
          </w:p>
        </w:tc>
      </w:tr>
      <w:tr>
        <w:trPr>
          <w:cantSplit/>
        </w:trPr>
        <w:tc>
          <w:tcPr>
            <w:tcW w:type="dxa" w:w="3458"/>
            <w:vAlign w:val="top"/>
            <w:tcMar>
              <w:top w:w="90" w:type="dxa"/>
              <w:start w:w="90" w:type="dxa"/>
              <w:bottom w:w="90" w:type="dxa"/>
              <w:end w:w="90" w:type="dxa"/>
            </w:tcMar>
          </w:tcPr>
          <w:p>
            <w:pPr>
              <w:spacing w:after="0"/>
            </w:pPr>
            <w:r>
              <w:rPr>
                <w:rFonts w:ascii="Noto Sans" w:hAnsi="Noto Sans" w:eastAsia="Noto Sans"/>
                <w:b w:val="0"/>
                <w:i w:val="0"/>
                <w:sz w:val="17"/>
              </w:rPr>
              <w:t>Does an astrocyte state increase with age in 5xFAD mice?</w:t>
            </w:r>
          </w:p>
        </w:tc>
        <w:tc>
          <w:tcPr>
            <w:tcW w:type="dxa" w:w="1701"/>
            <w:vAlign w:val="top"/>
            <w:tcMar>
              <w:top w:w="90" w:type="dxa"/>
              <w:start w:w="90" w:type="dxa"/>
              <w:bottom w:w="90" w:type="dxa"/>
              <w:end w:w="90" w:type="dxa"/>
            </w:tcMar>
          </w:tcPr>
          <w:p>
            <w:pPr>
              <w:spacing w:after="0"/>
            </w:pPr>
            <w:r>
              <w:rPr>
                <w:rFonts w:ascii="Noto Sans" w:hAnsi="Noto Sans" w:eastAsia="Noto Sans"/>
                <w:b w:val="0"/>
                <w:i w:val="0"/>
                <w:sz w:val="17"/>
              </w:rPr>
              <w:t>Reasonable with caution</w:t>
            </w:r>
          </w:p>
        </w:tc>
        <w:tc>
          <w:tcPr>
            <w:tcW w:type="dxa" w:w="4025"/>
            <w:vAlign w:val="top"/>
            <w:tcMar>
              <w:top w:w="90" w:type="dxa"/>
              <w:start w:w="90" w:type="dxa"/>
              <w:bottom w:w="90" w:type="dxa"/>
              <w:end w:w="90" w:type="dxa"/>
            </w:tcMar>
          </w:tcPr>
          <w:p>
            <w:pPr>
              <w:spacing w:after="0"/>
            </w:pPr>
            <w:r>
              <w:rPr>
                <w:rFonts w:ascii="Noto Sans" w:hAnsi="Noto Sans" w:eastAsia="Noto Sans"/>
                <w:b w:val="0"/>
                <w:i w:val="0"/>
                <w:sz w:val="17"/>
              </w:rPr>
              <w:t>Use the age-course component and account for uneven age/genotype replication and batch.</w:t>
            </w:r>
          </w:p>
        </w:tc>
      </w:tr>
      <w:tr>
        <w:trPr>
          <w:cantSplit/>
        </w:trPr>
        <w:tc>
          <w:tcPr>
            <w:tcW w:type="dxa" w:w="3458"/>
            <w:shd w:fill="F7FAFC"/>
            <w:vAlign w:val="top"/>
            <w:tcMar>
              <w:top w:w="90" w:type="dxa"/>
              <w:start w:w="90" w:type="dxa"/>
              <w:bottom w:w="90" w:type="dxa"/>
              <w:end w:w="90" w:type="dxa"/>
            </w:tcMar>
          </w:tcPr>
          <w:p>
            <w:pPr>
              <w:spacing w:after="0"/>
            </w:pPr>
            <w:r>
              <w:rPr>
                <w:rFonts w:ascii="Noto Sans" w:hAnsi="Noto Sans" w:eastAsia="Noto Sans"/>
                <w:b w:val="0"/>
                <w:i w:val="0"/>
                <w:sz w:val="17"/>
              </w:rPr>
              <w:t>Does the signal occur in both hippocampus and cortex?</w:t>
            </w:r>
          </w:p>
        </w:tc>
        <w:tc>
          <w:tcPr>
            <w:tcW w:type="dxa" w:w="1701"/>
            <w:shd w:fill="F7FAFC"/>
            <w:vAlign w:val="top"/>
            <w:tcMar>
              <w:top w:w="90" w:type="dxa"/>
              <w:start w:w="90" w:type="dxa"/>
              <w:bottom w:w="90" w:type="dxa"/>
              <w:end w:w="90" w:type="dxa"/>
            </w:tcMar>
          </w:tcPr>
          <w:p>
            <w:pPr>
              <w:spacing w:after="0"/>
            </w:pPr>
            <w:r>
              <w:rPr>
                <w:rFonts w:ascii="Noto Sans" w:hAnsi="Noto Sans" w:eastAsia="Noto Sans"/>
                <w:b w:val="0"/>
                <w:i w:val="0"/>
                <w:sz w:val="17"/>
              </w:rPr>
              <w:t>Descriptive validation</w:t>
            </w:r>
          </w:p>
        </w:tc>
        <w:tc>
          <w:tcPr>
            <w:tcW w:type="dxa" w:w="4025"/>
            <w:shd w:fill="F7FAFC"/>
            <w:vAlign w:val="top"/>
            <w:tcMar>
              <w:top w:w="90" w:type="dxa"/>
              <w:start w:w="90" w:type="dxa"/>
              <w:bottom w:w="90" w:type="dxa"/>
              <w:end w:w="90" w:type="dxa"/>
            </w:tcMar>
          </w:tcPr>
          <w:p>
            <w:pPr>
              <w:spacing w:after="0"/>
            </w:pPr>
            <w:r>
              <w:rPr>
                <w:rFonts w:ascii="Noto Sans" w:hAnsi="Noto Sans" w:eastAsia="Noto Sans"/>
                <w:b w:val="0"/>
                <w:i w:val="0"/>
                <w:sz w:val="17"/>
              </w:rPr>
              <w:t>The cortex component is useful, but some regions come from the same mice and should not be counted as independent animals.</w:t>
            </w:r>
          </w:p>
        </w:tc>
      </w:tr>
      <w:tr>
        <w:trPr>
          <w:cantSplit/>
        </w:trPr>
        <w:tc>
          <w:tcPr>
            <w:tcW w:type="dxa" w:w="3458"/>
            <w:vAlign w:val="top"/>
            <w:tcMar>
              <w:top w:w="90" w:type="dxa"/>
              <w:start w:w="90" w:type="dxa"/>
              <w:bottom w:w="90" w:type="dxa"/>
              <w:end w:w="90" w:type="dxa"/>
            </w:tcMar>
          </w:tcPr>
          <w:p>
            <w:pPr>
              <w:spacing w:after="0"/>
            </w:pPr>
            <w:r>
              <w:rPr>
                <w:rFonts w:ascii="Noto Sans" w:hAnsi="Noto Sans" w:eastAsia="Noto Sans"/>
                <w:b w:val="0"/>
                <w:i w:val="0"/>
                <w:sz w:val="17"/>
              </w:rPr>
              <w:t>Is the effect different in female and male mice?</w:t>
            </w:r>
          </w:p>
        </w:tc>
        <w:tc>
          <w:tcPr>
            <w:tcW w:type="dxa" w:w="1701"/>
            <w:vAlign w:val="top"/>
            <w:tcMar>
              <w:top w:w="90" w:type="dxa"/>
              <w:start w:w="90" w:type="dxa"/>
              <w:bottom w:w="90" w:type="dxa"/>
              <w:end w:w="90" w:type="dxa"/>
            </w:tcMar>
          </w:tcPr>
          <w:p>
            <w:pPr>
              <w:spacing w:after="0"/>
            </w:pPr>
            <w:r>
              <w:rPr>
                <w:rFonts w:ascii="Noto Sans" w:hAnsi="Noto Sans" w:eastAsia="Noto Sans"/>
                <w:b w:val="0"/>
                <w:i w:val="0"/>
                <w:sz w:val="17"/>
              </w:rPr>
              <w:t>Not supported inferentially</w:t>
            </w:r>
          </w:p>
        </w:tc>
        <w:tc>
          <w:tcPr>
            <w:tcW w:type="dxa" w:w="4025"/>
            <w:vAlign w:val="top"/>
            <w:tcMar>
              <w:top w:w="90" w:type="dxa"/>
              <w:start w:w="90" w:type="dxa"/>
              <w:bottom w:w="90" w:type="dxa"/>
              <w:end w:w="90" w:type="dxa"/>
            </w:tcMar>
          </w:tcPr>
          <w:p>
            <w:pPr>
              <w:spacing w:after="0"/>
            </w:pPr>
            <w:r>
              <w:rPr>
                <w:rFonts w:ascii="Noto Sans" w:hAnsi="Noto Sans" w:eastAsia="Noto Sans"/>
                <w:b w:val="0"/>
                <w:i w:val="0"/>
                <w:sz w:val="17"/>
              </w:rPr>
              <w:t>There is only one female per disease group. Female data are qualitative.</w:t>
            </w:r>
          </w:p>
        </w:tc>
      </w:tr>
      <w:tr>
        <w:trPr>
          <w:cantSplit/>
        </w:trPr>
        <w:tc>
          <w:tcPr>
            <w:tcW w:type="dxa" w:w="3458"/>
            <w:shd w:fill="F7FAFC"/>
            <w:vAlign w:val="top"/>
            <w:tcMar>
              <w:top w:w="90" w:type="dxa"/>
              <w:start w:w="90" w:type="dxa"/>
              <w:bottom w:w="90" w:type="dxa"/>
              <w:end w:w="90" w:type="dxa"/>
            </w:tcMar>
          </w:tcPr>
          <w:p>
            <w:pPr>
              <w:spacing w:after="0"/>
            </w:pPr>
            <w:r>
              <w:rPr>
                <w:rFonts w:ascii="Noto Sans" w:hAnsi="Noto Sans" w:eastAsia="Noto Sans"/>
                <w:b w:val="0"/>
                <w:i w:val="0"/>
                <w:sz w:val="17"/>
              </w:rPr>
              <w:t>Does APOE4 differ from APOE3?</w:t>
            </w:r>
          </w:p>
        </w:tc>
        <w:tc>
          <w:tcPr>
            <w:tcW w:type="dxa" w:w="1701"/>
            <w:shd w:fill="F7FAFC"/>
            <w:vAlign w:val="top"/>
            <w:tcMar>
              <w:top w:w="90" w:type="dxa"/>
              <w:start w:w="90" w:type="dxa"/>
              <w:bottom w:w="90" w:type="dxa"/>
              <w:end w:w="90" w:type="dxa"/>
            </w:tcMar>
          </w:tcPr>
          <w:p>
            <w:pPr>
              <w:spacing w:after="0"/>
            </w:pPr>
            <w:r>
              <w:rPr>
                <w:rFonts w:ascii="Noto Sans" w:hAnsi="Noto Sans" w:eastAsia="Noto Sans"/>
                <w:b w:val="0"/>
                <w:i w:val="0"/>
                <w:sz w:val="17"/>
              </w:rPr>
              <w:t>Not answerable</w:t>
            </w:r>
          </w:p>
        </w:tc>
        <w:tc>
          <w:tcPr>
            <w:tcW w:type="dxa" w:w="4025"/>
            <w:shd w:fill="F7FAFC"/>
            <w:vAlign w:val="top"/>
            <w:tcMar>
              <w:top w:w="90" w:type="dxa"/>
              <w:start w:w="90" w:type="dxa"/>
              <w:bottom w:w="90" w:type="dxa"/>
              <w:end w:w="90" w:type="dxa"/>
            </w:tcMar>
          </w:tcPr>
          <w:p>
            <w:pPr>
              <w:spacing w:after="0"/>
            </w:pPr>
            <w:r>
              <w:rPr>
                <w:rFonts w:ascii="Noto Sans" w:hAnsi="Noto Sans" w:eastAsia="Noto Sans"/>
                <w:b w:val="0"/>
                <w:i w:val="0"/>
                <w:sz w:val="17"/>
              </w:rPr>
              <w:t>There is no human APOE isoform manipulation.</w:t>
            </w:r>
          </w:p>
        </w:tc>
      </w:tr>
      <w:tr>
        <w:trPr>
          <w:cantSplit/>
        </w:trPr>
        <w:tc>
          <w:tcPr>
            <w:tcW w:type="dxa" w:w="3458"/>
            <w:vAlign w:val="top"/>
            <w:tcMar>
              <w:top w:w="90" w:type="dxa"/>
              <w:start w:w="90" w:type="dxa"/>
              <w:bottom w:w="90" w:type="dxa"/>
              <w:end w:w="90" w:type="dxa"/>
            </w:tcMar>
          </w:tcPr>
          <w:p>
            <w:pPr>
              <w:spacing w:after="0"/>
            </w:pPr>
            <w:r>
              <w:rPr>
                <w:rFonts w:ascii="Noto Sans" w:hAnsi="Noto Sans" w:eastAsia="Noto Sans"/>
                <w:b w:val="0"/>
                <w:i w:val="0"/>
                <w:sz w:val="17"/>
              </w:rPr>
              <w:t>Is there an APOE x sex x disease interaction?</w:t>
            </w:r>
          </w:p>
        </w:tc>
        <w:tc>
          <w:tcPr>
            <w:tcW w:type="dxa" w:w="1701"/>
            <w:vAlign w:val="top"/>
            <w:tcMar>
              <w:top w:w="90" w:type="dxa"/>
              <w:start w:w="90" w:type="dxa"/>
              <w:bottom w:w="90" w:type="dxa"/>
              <w:end w:w="90" w:type="dxa"/>
            </w:tcMar>
          </w:tcPr>
          <w:p>
            <w:pPr>
              <w:spacing w:after="0"/>
            </w:pPr>
            <w:r>
              <w:rPr>
                <w:rFonts w:ascii="Noto Sans" w:hAnsi="Noto Sans" w:eastAsia="Noto Sans"/>
                <w:b w:val="0"/>
                <w:i w:val="0"/>
                <w:sz w:val="17"/>
              </w:rPr>
              <w:t>Not answerable</w:t>
            </w:r>
          </w:p>
        </w:tc>
        <w:tc>
          <w:tcPr>
            <w:tcW w:type="dxa" w:w="4025"/>
            <w:vAlign w:val="top"/>
            <w:tcMar>
              <w:top w:w="90" w:type="dxa"/>
              <w:start w:w="90" w:type="dxa"/>
              <w:bottom w:w="90" w:type="dxa"/>
              <w:end w:w="90" w:type="dxa"/>
            </w:tcMar>
          </w:tcPr>
          <w:p>
            <w:pPr>
              <w:spacing w:after="0"/>
            </w:pPr>
            <w:r>
              <w:rPr>
                <w:rFonts w:ascii="Noto Sans" w:hAnsi="Noto Sans" w:eastAsia="Noto Sans"/>
                <w:b w:val="0"/>
                <w:i w:val="0"/>
                <w:sz w:val="17"/>
              </w:rPr>
              <w:t>Both the APOE factor and adequate female replication are absent.</w:t>
            </w:r>
          </w:p>
        </w:tc>
      </w:tr>
      <w:tr>
        <w:trPr>
          <w:cantSplit/>
        </w:trPr>
        <w:tc>
          <w:tcPr>
            <w:tcW w:type="dxa" w:w="3458"/>
            <w:shd w:fill="F7FAFC"/>
            <w:vAlign w:val="top"/>
            <w:tcMar>
              <w:top w:w="90" w:type="dxa"/>
              <w:start w:w="90" w:type="dxa"/>
              <w:bottom w:w="90" w:type="dxa"/>
              <w:end w:w="90" w:type="dxa"/>
            </w:tcMar>
          </w:tcPr>
          <w:p>
            <w:pPr>
              <w:spacing w:after="0"/>
            </w:pPr>
            <w:r>
              <w:rPr>
                <w:rFonts w:ascii="Noto Sans" w:hAnsi="Noto Sans" w:eastAsia="Noto Sans"/>
                <w:b w:val="0"/>
                <w:i w:val="0"/>
                <w:sz w:val="17"/>
              </w:rPr>
              <w:t>Does absence of a mitochondrial-genome transcript prove no mitochondrial effect?</w:t>
            </w:r>
          </w:p>
        </w:tc>
        <w:tc>
          <w:tcPr>
            <w:tcW w:type="dxa" w:w="1701"/>
            <w:shd w:fill="F7FAFC"/>
            <w:vAlign w:val="top"/>
            <w:tcMar>
              <w:top w:w="90" w:type="dxa"/>
              <w:start w:w="90" w:type="dxa"/>
              <w:bottom w:w="90" w:type="dxa"/>
              <w:end w:w="90" w:type="dxa"/>
            </w:tcMar>
          </w:tcPr>
          <w:p>
            <w:pPr>
              <w:spacing w:after="0"/>
            </w:pPr>
            <w:r>
              <w:rPr>
                <w:rFonts w:ascii="Noto Sans" w:hAnsi="Noto Sans" w:eastAsia="Noto Sans"/>
                <w:b w:val="0"/>
                <w:i w:val="0"/>
                <w:sz w:val="17"/>
              </w:rPr>
              <w:t>No</w:t>
            </w:r>
          </w:p>
        </w:tc>
        <w:tc>
          <w:tcPr>
            <w:tcW w:type="dxa" w:w="4025"/>
            <w:shd w:fill="F7FAFC"/>
            <w:vAlign w:val="top"/>
            <w:tcMar>
              <w:top w:w="90" w:type="dxa"/>
              <w:start w:w="90" w:type="dxa"/>
              <w:bottom w:w="90" w:type="dxa"/>
              <w:end w:w="90" w:type="dxa"/>
            </w:tcMar>
          </w:tcPr>
          <w:p>
            <w:pPr>
              <w:spacing w:after="0"/>
            </w:pPr>
            <w:r>
              <w:rPr>
                <w:rFonts w:ascii="Noto Sans" w:hAnsi="Noto Sans" w:eastAsia="Noto Sans"/>
                <w:b w:val="0"/>
                <w:i w:val="0"/>
                <w:sz w:val="17"/>
              </w:rPr>
              <w:t>snRNA-seq captures nuclear RNA and is weak for mitochondrial-genome transcripts; emphasize nuclear-encoded mitochondrial pathways.</w:t>
            </w:r>
          </w:p>
        </w:tc>
      </w:tr>
    </w:tbl>
    <w:p>
      <w:pPr>
        <w:spacing w:after="0"/>
      </w:pPr>
    </w:p>
    <w:p>
      <w:pPr>
        <w:spacing w:before="40" w:after="160"/>
        <w:jc w:val="center"/>
      </w:pPr>
      <w:r>
        <w:rPr>
          <w:rFonts w:ascii="Noto Sans" w:hAnsi="Noto Sans" w:eastAsia="Noto Sans"/>
          <w:b/>
          <w:i w:val="0"/>
          <w:color w:val="555555"/>
          <w:sz w:val="18"/>
        </w:rPr>
        <w:t>Table 7. Claims that are and are not supported by GSE143758.</w:t>
      </w:r>
    </w:p>
    <w:p>
      <w:pPr>
        <w:pStyle w:val="Heading1"/>
        <w:keepNext/>
        <w:spacing w:before="240" w:after="100"/>
      </w:pPr>
      <w:r>
        <w:rPr>
          <w:rFonts w:ascii="Noto Sans" w:hAnsi="Noto Sans" w:eastAsia="Noto Sans"/>
        </w:rPr>
        <w:t>9. Recommended analysis workflow</w:t>
      </w:r>
    </w:p>
    <w:p>
      <w:r>
        <w:rPr>
          <w:rFonts w:ascii="Noto Sans" w:hAnsi="Noto Sans" w:eastAsia="Noto Sans"/>
          <w:b/>
          <w:i w:val="0"/>
        </w:rPr>
        <w:t xml:space="preserve">The central rule is simple: </w:t>
      </w:r>
      <w:r>
        <w:rPr>
          <w:rFonts w:ascii="Noto Sans" w:hAnsi="Noto Sans" w:eastAsia="Noto Sans"/>
          <w:b w:val="0"/>
          <w:i w:val="0"/>
        </w:rPr>
        <w:t>cells and nuclei are measurements nested inside mice. The analysis must retain mouse identity.</w:t>
      </w:r>
    </w:p>
    <w:p>
      <w:pPr>
        <w:spacing w:after="100"/>
        <w:ind w:left="227" w:hanging="227"/>
      </w:pPr>
      <w:r>
        <w:rPr>
          <w:rFonts w:ascii="Noto Sans" w:hAnsi="Noto Sans" w:eastAsia="Noto Sans"/>
          <w:b/>
          <w:i w:val="0"/>
          <w:color w:val="1F4E79"/>
        </w:rPr>
        <w:t xml:space="preserve">1. Define the biological question. </w:t>
      </w:r>
      <w:r>
        <w:rPr>
          <w:rFonts w:ascii="Noto Sans" w:hAnsi="Noto Sans" w:eastAsia="Noto Sans"/>
          <w:b w:val="0"/>
          <w:i w:val="0"/>
        </w:rPr>
        <w:t>For example: "Is my pre-specified human astrocyte mitochondrial gene module higher in 5xFAD than WT astrocytes at seven months?" Do not start by searching every gene and then call the best-looking result validation.</w:t>
      </w:r>
    </w:p>
    <w:p>
      <w:pPr>
        <w:spacing w:after="100"/>
        <w:ind w:left="227" w:hanging="227"/>
      </w:pPr>
      <w:r>
        <w:rPr>
          <w:rFonts w:ascii="Noto Sans" w:hAnsi="Noto Sans" w:eastAsia="Noto Sans"/>
          <w:b/>
          <w:i w:val="0"/>
          <w:color w:val="1F4E79"/>
        </w:rPr>
        <w:t xml:space="preserve">2. Choose the correct study component. </w:t>
      </w:r>
      <w:r>
        <w:rPr>
          <w:rFonts w:ascii="Noto Sans" w:hAnsi="Noto Sans" w:eastAsia="Noto Sans"/>
          <w:b w:val="0"/>
          <w:i w:val="0"/>
        </w:rPr>
        <w:t>Use the seven-month all-nuclei atlas for broad cell-type localization. Use the astrocyte age series for age progression. Do not mix all 37 GSM records into one undifferentiated comparison.</w:t>
      </w:r>
    </w:p>
    <w:p>
      <w:pPr>
        <w:spacing w:after="100"/>
        <w:ind w:left="227" w:hanging="227"/>
      </w:pPr>
      <w:r>
        <w:rPr>
          <w:rFonts w:ascii="Noto Sans" w:hAnsi="Noto Sans" w:eastAsia="Noto Sans"/>
          <w:b/>
          <w:i w:val="0"/>
          <w:color w:val="1F4E79"/>
        </w:rPr>
        <w:t xml:space="preserve">3. Build a sample-to-mouse manifest. </w:t>
      </w:r>
      <w:r>
        <w:rPr>
          <w:rFonts w:ascii="Noto Sans" w:hAnsi="Noto Sans" w:eastAsia="Noto Sans"/>
          <w:b w:val="0"/>
          <w:i w:val="0"/>
        </w:rPr>
        <w:t>For every library, record mouse ID, genotype, sex, age, region, hemisphere, lysis method, 10x chemistry, and batch. Mark records that share the same mouse.</w:t>
      </w:r>
    </w:p>
    <w:p>
      <w:pPr>
        <w:spacing w:after="100"/>
        <w:ind w:left="227" w:hanging="227"/>
      </w:pPr>
      <w:r>
        <w:rPr>
          <w:rFonts w:ascii="Noto Sans" w:hAnsi="Noto Sans" w:eastAsia="Noto Sans"/>
          <w:b/>
          <w:i w:val="0"/>
          <w:color w:val="1F4E79"/>
        </w:rPr>
        <w:t xml:space="preserve">4. Keep or reconstruct cell labels. </w:t>
      </w:r>
      <w:r>
        <w:rPr>
          <w:rFonts w:ascii="Noto Sans" w:hAnsi="Noto Sans" w:eastAsia="Noto Sans"/>
          <w:b w:val="0"/>
          <w:i w:val="0"/>
        </w:rPr>
        <w:t>Use the authors' annotations when possible. If reannotating, check established marker genes and avoid silently changing cluster definitions after seeing disease results.</w:t>
      </w:r>
    </w:p>
    <w:p>
      <w:pPr>
        <w:spacing w:after="100"/>
        <w:ind w:left="227" w:hanging="227"/>
      </w:pPr>
      <w:r>
        <w:rPr>
          <w:rFonts w:ascii="Noto Sans" w:hAnsi="Noto Sans" w:eastAsia="Noto Sans"/>
          <w:b/>
          <w:i w:val="0"/>
          <w:color w:val="1F4E79"/>
        </w:rPr>
        <w:t xml:space="preserve">5. Aggregate to mouse-level pseudobulk. </w:t>
      </w:r>
      <w:r>
        <w:rPr>
          <w:rFonts w:ascii="Noto Sans" w:hAnsi="Noto Sans" w:eastAsia="Noto Sans"/>
          <w:b w:val="0"/>
          <w:i w:val="0"/>
        </w:rPr>
        <w:t>Within each mouse and cell type, sum raw counts across nuclei and across technical libraries. This produces one expression profile per mouse per cell type.</w:t>
      </w:r>
    </w:p>
    <w:p>
      <w:pPr>
        <w:spacing w:after="100"/>
        <w:ind w:left="227" w:hanging="227"/>
      </w:pPr>
      <w:r>
        <w:rPr>
          <w:rFonts w:ascii="Noto Sans" w:hAnsi="Noto Sans" w:eastAsia="Noto Sans"/>
          <w:b/>
          <w:i w:val="0"/>
          <w:color w:val="1F4E79"/>
        </w:rPr>
        <w:t xml:space="preserve">6. Fit a replicate-aware model. </w:t>
      </w:r>
      <w:r>
        <w:rPr>
          <w:rFonts w:ascii="Noto Sans" w:hAnsi="Noto Sans" w:eastAsia="Noto Sans"/>
          <w:b w:val="0"/>
          <w:i w:val="0"/>
        </w:rPr>
        <w:t>For the main atlas, a simple conceptual model is expression or module score ~ disease + batch. With only four mice per group, report effect sizes and uncertainty, not only P values.</w:t>
      </w:r>
    </w:p>
    <w:p>
      <w:pPr>
        <w:spacing w:after="100"/>
        <w:ind w:left="227" w:hanging="227"/>
      </w:pPr>
      <w:r>
        <w:rPr>
          <w:rFonts w:ascii="Noto Sans" w:hAnsi="Noto Sans" w:eastAsia="Noto Sans"/>
          <w:b/>
          <w:i w:val="0"/>
          <w:color w:val="1F4E79"/>
        </w:rPr>
        <w:t xml:space="preserve">7. Analyze age separately. </w:t>
      </w:r>
      <w:r>
        <w:rPr>
          <w:rFonts w:ascii="Noto Sans" w:hAnsi="Noto Sans" w:eastAsia="Noto Sans"/>
          <w:b w:val="0"/>
          <w:i w:val="0"/>
        </w:rPr>
        <w:t>For the astrocyte age course, use a model such as score ~ disease * age + batch, but first inspect which disease-age combinations are actually represented. A smooth trend can be more stable than treating every age as a fully independent category.</w:t>
      </w:r>
    </w:p>
    <w:p>
      <w:pPr>
        <w:spacing w:after="100"/>
        <w:ind w:left="227" w:hanging="227"/>
      </w:pPr>
      <w:r>
        <w:rPr>
          <w:rFonts w:ascii="Noto Sans" w:hAnsi="Noto Sans" w:eastAsia="Noto Sans"/>
          <w:b/>
          <w:i w:val="0"/>
          <w:color w:val="1F4E79"/>
        </w:rPr>
        <w:t xml:space="preserve">8. Validate direction and localization. </w:t>
      </w:r>
      <w:r>
        <w:rPr>
          <w:rFonts w:ascii="Noto Sans" w:hAnsi="Noto Sans" w:eastAsia="Noto Sans"/>
          <w:b w:val="0"/>
          <w:i w:val="0"/>
        </w:rPr>
        <w:t>Ask whether the same pre-specified module changes in the expected direction and whether it is strongest in the expected cell type. This is more defensible than merging GSE143758 with unrelated studies.</w:t>
      </w:r>
    </w:p>
    <w:p>
      <w:pPr>
        <w:spacing w:after="100"/>
        <w:ind w:left="227" w:hanging="227"/>
      </w:pPr>
      <w:r>
        <w:rPr>
          <w:rFonts w:ascii="Noto Sans" w:hAnsi="Noto Sans" w:eastAsia="Noto Sans"/>
          <w:b/>
          <w:i w:val="0"/>
          <w:color w:val="1F4E79"/>
        </w:rPr>
        <w:t xml:space="preserve">9. Report limitations explicitly. </w:t>
      </w:r>
      <w:r>
        <w:rPr>
          <w:rFonts w:ascii="Noto Sans" w:hAnsi="Noto Sans" w:eastAsia="Noto Sans"/>
          <w:b w:val="0"/>
          <w:i w:val="0"/>
        </w:rPr>
        <w:t>State that the dataset cannot test APOE isoforms or sex interactions and that the main disease comparison has n=4 mice per group.</w:t>
      </w:r>
    </w:p>
    <w:p>
      <w:pPr>
        <w:pStyle w:val="Heading2"/>
        <w:keepNext/>
        <w:spacing w:before="160" w:after="100"/>
      </w:pPr>
      <w:r>
        <w:rPr>
          <w:rFonts w:ascii="Noto Sans" w:hAnsi="Noto Sans" w:eastAsia="Noto Sans"/>
        </w:rPr>
        <w:t>9.1 A small pseudobulk example</w:t>
      </w:r>
    </w:p>
    <w:p>
      <w:r>
        <w:rPr>
          <w:rFonts w:ascii="Noto Sans" w:hAnsi="Noto Sans" w:eastAsia="Noto Sans"/>
          <w:b w:val="0"/>
          <w:i/>
          <w:color w:val="666666"/>
        </w:rPr>
        <w:t xml:space="preserve">The numbers below are invented only to demonstrate the unit of analysis. </w:t>
      </w:r>
      <w:r>
        <w:rPr>
          <w:rFonts w:ascii="Noto Sans" w:hAnsi="Noto Sans" w:eastAsia="Noto Sans"/>
          <w:b w:val="0"/>
          <w:i w:val="0"/>
        </w:rPr>
        <w:t>Suppose each value is an astrocyte module score calculated after combining all astrocyte nuclei from one mouse: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927"/>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Disease group</w:t>
            </w:r>
          </w:p>
        </w:tc>
        <w:tc>
          <w:tcPr>
            <w:tcW w:type="dxa" w:w="4082"/>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Four illustrative mouse-level scores</w:t>
            </w:r>
          </w:p>
        </w:tc>
        <w:tc>
          <w:tcPr>
            <w:tcW w:type="dxa" w:w="1360"/>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Mouse n</w:t>
            </w:r>
          </w:p>
        </w:tc>
        <w:tc>
          <w:tcPr>
            <w:tcW w:type="dxa" w:w="1814"/>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Mean score</w:t>
            </w:r>
          </w:p>
        </w:tc>
      </w:tr>
      <w:tr>
        <w:trPr>
          <w:cantSplit/>
        </w:trPr>
        <w:tc>
          <w:tcPr>
            <w:tcW w:type="dxa" w:w="1927"/>
            <w:vAlign w:val="top"/>
            <w:tcMar>
              <w:top w:w="90" w:type="dxa"/>
              <w:start w:w="90" w:type="dxa"/>
              <w:bottom w:w="90" w:type="dxa"/>
              <w:end w:w="90" w:type="dxa"/>
            </w:tcMar>
          </w:tcPr>
          <w:p>
            <w:pPr>
              <w:spacing w:after="0"/>
            </w:pPr>
            <w:r>
              <w:rPr>
                <w:rFonts w:ascii="Noto Sans" w:hAnsi="Noto Sans" w:eastAsia="Noto Sans"/>
                <w:b w:val="0"/>
                <w:i w:val="0"/>
                <w:sz w:val="18"/>
              </w:rPr>
              <w:t>WT</w:t>
            </w:r>
          </w:p>
        </w:tc>
        <w:tc>
          <w:tcPr>
            <w:tcW w:type="dxa" w:w="4082"/>
            <w:vAlign w:val="top"/>
            <w:tcMar>
              <w:top w:w="90" w:type="dxa"/>
              <w:start w:w="90" w:type="dxa"/>
              <w:bottom w:w="90" w:type="dxa"/>
              <w:end w:w="90" w:type="dxa"/>
            </w:tcMar>
          </w:tcPr>
          <w:p>
            <w:pPr>
              <w:spacing w:after="0"/>
            </w:pPr>
            <w:r>
              <w:rPr>
                <w:rFonts w:ascii="Noto Sans" w:hAnsi="Noto Sans" w:eastAsia="Noto Sans"/>
                <w:b w:val="0"/>
                <w:i w:val="0"/>
                <w:sz w:val="18"/>
              </w:rPr>
              <w:t>-0.08, 0.03, -0.02, 0.07</w:t>
            </w:r>
          </w:p>
        </w:tc>
        <w:tc>
          <w:tcPr>
            <w:tcW w:type="dxa" w:w="1360"/>
            <w:vAlign w:val="top"/>
            <w:tcMar>
              <w:top w:w="90" w:type="dxa"/>
              <w:start w:w="90" w:type="dxa"/>
              <w:bottom w:w="90" w:type="dxa"/>
              <w:end w:w="90" w:type="dxa"/>
            </w:tcMar>
          </w:tcPr>
          <w:p>
            <w:pPr>
              <w:spacing w:after="0"/>
            </w:pPr>
            <w:r>
              <w:rPr>
                <w:rFonts w:ascii="Noto Sans" w:hAnsi="Noto Sans" w:eastAsia="Noto Sans"/>
                <w:b w:val="0"/>
                <w:i w:val="0"/>
                <w:sz w:val="18"/>
              </w:rPr>
              <w:t>4</w:t>
            </w:r>
          </w:p>
        </w:tc>
        <w:tc>
          <w:tcPr>
            <w:tcW w:type="dxa" w:w="1814"/>
            <w:vAlign w:val="top"/>
            <w:tcMar>
              <w:top w:w="90" w:type="dxa"/>
              <w:start w:w="90" w:type="dxa"/>
              <w:bottom w:w="90" w:type="dxa"/>
              <w:end w:w="90" w:type="dxa"/>
            </w:tcMar>
          </w:tcPr>
          <w:p>
            <w:pPr>
              <w:spacing w:after="0"/>
            </w:pPr>
            <w:r>
              <w:rPr>
                <w:rFonts w:ascii="Noto Sans" w:hAnsi="Noto Sans" w:eastAsia="Noto Sans"/>
                <w:b w:val="0"/>
                <w:i w:val="0"/>
                <w:sz w:val="18"/>
              </w:rPr>
              <w:t>0.00</w:t>
            </w:r>
          </w:p>
        </w:tc>
      </w:tr>
      <w:tr>
        <w:trPr>
          <w:cantSplit/>
        </w:trPr>
        <w:tc>
          <w:tcPr>
            <w:tcW w:type="dxa" w:w="1927"/>
            <w:shd w:fill="F7FAFC"/>
            <w:vAlign w:val="top"/>
            <w:tcMar>
              <w:top w:w="90" w:type="dxa"/>
              <w:start w:w="90" w:type="dxa"/>
              <w:bottom w:w="90" w:type="dxa"/>
              <w:end w:w="90" w:type="dxa"/>
            </w:tcMar>
          </w:tcPr>
          <w:p>
            <w:pPr>
              <w:spacing w:after="0"/>
            </w:pPr>
            <w:r>
              <w:rPr>
                <w:rFonts w:ascii="Noto Sans" w:hAnsi="Noto Sans" w:eastAsia="Noto Sans"/>
                <w:b w:val="0"/>
                <w:i w:val="0"/>
                <w:sz w:val="18"/>
              </w:rPr>
              <w:t>5xFAD</w:t>
            </w:r>
          </w:p>
        </w:tc>
        <w:tc>
          <w:tcPr>
            <w:tcW w:type="dxa" w:w="4082"/>
            <w:shd w:fill="F7FAFC"/>
            <w:vAlign w:val="top"/>
            <w:tcMar>
              <w:top w:w="90" w:type="dxa"/>
              <w:start w:w="90" w:type="dxa"/>
              <w:bottom w:w="90" w:type="dxa"/>
              <w:end w:w="90" w:type="dxa"/>
            </w:tcMar>
          </w:tcPr>
          <w:p>
            <w:pPr>
              <w:spacing w:after="0"/>
            </w:pPr>
            <w:r>
              <w:rPr>
                <w:rFonts w:ascii="Noto Sans" w:hAnsi="Noto Sans" w:eastAsia="Noto Sans"/>
                <w:b w:val="0"/>
                <w:i w:val="0"/>
                <w:sz w:val="18"/>
              </w:rPr>
              <w:t>0.44, 0.62, 0.51, 0.69</w:t>
            </w:r>
          </w:p>
        </w:tc>
        <w:tc>
          <w:tcPr>
            <w:tcW w:type="dxa" w:w="1360"/>
            <w:shd w:fill="F7FAFC"/>
            <w:vAlign w:val="top"/>
            <w:tcMar>
              <w:top w:w="90" w:type="dxa"/>
              <w:start w:w="90" w:type="dxa"/>
              <w:bottom w:w="90" w:type="dxa"/>
              <w:end w:w="90" w:type="dxa"/>
            </w:tcMar>
          </w:tcPr>
          <w:p>
            <w:pPr>
              <w:spacing w:after="0"/>
            </w:pPr>
            <w:r>
              <w:rPr>
                <w:rFonts w:ascii="Noto Sans" w:hAnsi="Noto Sans" w:eastAsia="Noto Sans"/>
                <w:b w:val="0"/>
                <w:i w:val="0"/>
                <w:sz w:val="18"/>
              </w:rPr>
              <w:t>4</w:t>
            </w:r>
          </w:p>
        </w:tc>
        <w:tc>
          <w:tcPr>
            <w:tcW w:type="dxa" w:w="1814"/>
            <w:shd w:fill="F7FAFC"/>
            <w:vAlign w:val="top"/>
            <w:tcMar>
              <w:top w:w="90" w:type="dxa"/>
              <w:start w:w="90" w:type="dxa"/>
              <w:bottom w:w="90" w:type="dxa"/>
              <w:end w:w="90" w:type="dxa"/>
            </w:tcMar>
          </w:tcPr>
          <w:p>
            <w:pPr>
              <w:spacing w:after="0"/>
            </w:pPr>
            <w:r>
              <w:rPr>
                <w:rFonts w:ascii="Noto Sans" w:hAnsi="Noto Sans" w:eastAsia="Noto Sans"/>
                <w:b w:val="0"/>
                <w:i w:val="0"/>
                <w:sz w:val="18"/>
              </w:rPr>
              <w:t>0.57</w:t>
            </w:r>
          </w:p>
        </w:tc>
      </w:tr>
    </w:tbl>
    <w:p>
      <w:pPr>
        <w:spacing w:after="0"/>
      </w:pPr>
    </w:p>
    <w:p>
      <w:pPr>
        <w:spacing w:before="40" w:after="160"/>
        <w:jc w:val="center"/>
      </w:pPr>
      <w:r>
        <w:rPr>
          <w:rFonts w:ascii="Noto Sans" w:hAnsi="Noto Sans" w:eastAsia="Noto Sans"/>
          <w:b/>
          <w:i w:val="0"/>
          <w:color w:val="555555"/>
          <w:sz w:val="18"/>
        </w:rPr>
        <w:t>Table 8. Hypothetical mouse-level pseudobulk example; each listed value represents one mouse, and these are not GSE143758 results.</w:t>
      </w:r>
    </w:p>
    <w:p>
      <w:r>
        <w:rPr>
          <w:rFonts w:ascii="Noto Sans" w:hAnsi="Noto Sans" w:eastAsia="Noto Sans"/>
          <w:b/>
          <w:i w:val="0"/>
        </w:rPr>
        <w:t xml:space="preserve">Correct interpretation: </w:t>
      </w:r>
      <w:r>
        <w:rPr>
          <w:rFonts w:ascii="Noto Sans" w:hAnsi="Noto Sans" w:eastAsia="Noto Sans"/>
          <w:b w:val="0"/>
          <w:i w:val="0"/>
        </w:rPr>
        <w:t>there are 4 independent values in each group. The thousands of nuclei used to calculate each score increase the precision of that mouse's measurement, but they do not change n from 4 to thousands.</w:t>
      </w:r>
    </w:p>
    <w:p>
      <w:pPr>
        <w:pStyle w:val="Heading1"/>
        <w:keepNext/>
        <w:spacing w:before="240" w:after="100"/>
      </w:pPr>
      <w:r>
        <w:rPr>
          <w:rFonts w:ascii="Noto Sans" w:hAnsi="Noto Sans" w:eastAsia="Noto Sans"/>
        </w:rPr>
        <w:t>10. Common mistakes to avoid</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3515"/>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Mistake</w:t>
            </w:r>
          </w:p>
        </w:tc>
        <w:tc>
          <w:tcPr>
            <w:tcW w:type="dxa" w:w="5670"/>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Why it is a problem</w:t>
            </w:r>
          </w:p>
        </w:tc>
      </w:tr>
      <w:tr>
        <w:trPr>
          <w:cantSplit/>
        </w:trPr>
        <w:tc>
          <w:tcPr>
            <w:tcW w:type="dxa" w:w="3515"/>
            <w:vAlign w:val="top"/>
            <w:tcMar>
              <w:top w:w="90" w:type="dxa"/>
              <w:start w:w="90" w:type="dxa"/>
              <w:bottom w:w="90" w:type="dxa"/>
              <w:end w:w="90" w:type="dxa"/>
            </w:tcMar>
          </w:tcPr>
          <w:p>
            <w:pPr>
              <w:spacing w:after="0"/>
            </w:pPr>
            <w:r>
              <w:rPr>
                <w:rFonts w:ascii="Noto Sans" w:hAnsi="Noto Sans" w:eastAsia="Noto Sans"/>
                <w:b w:val="0"/>
                <w:i w:val="0"/>
                <w:sz w:val="17"/>
              </w:rPr>
              <w:t>Treating every nucleus as an independent replicate</w:t>
            </w:r>
          </w:p>
        </w:tc>
        <w:tc>
          <w:tcPr>
            <w:tcW w:type="dxa" w:w="5670"/>
            <w:vAlign w:val="top"/>
            <w:tcMar>
              <w:top w:w="90" w:type="dxa"/>
              <w:start w:w="90" w:type="dxa"/>
              <w:bottom w:w="90" w:type="dxa"/>
              <w:end w:w="90" w:type="dxa"/>
            </w:tcMar>
          </w:tcPr>
          <w:p>
            <w:pPr>
              <w:spacing w:after="0"/>
            </w:pPr>
            <w:r>
              <w:rPr>
                <w:rFonts w:ascii="Noto Sans" w:hAnsi="Noto Sans" w:eastAsia="Noto Sans"/>
                <w:b w:val="0"/>
                <w:i w:val="0"/>
                <w:sz w:val="17"/>
              </w:rPr>
              <w:t>This can produce extremely small P values that reflect pseudoreplication rather than strong animal-level evidence.</w:t>
            </w:r>
          </w:p>
        </w:tc>
      </w:tr>
      <w:tr>
        <w:trPr>
          <w:cantSplit/>
        </w:trPr>
        <w:tc>
          <w:tcPr>
            <w:tcW w:type="dxa" w:w="3515"/>
            <w:shd w:fill="F7FAFC"/>
            <w:vAlign w:val="top"/>
            <w:tcMar>
              <w:top w:w="90" w:type="dxa"/>
              <w:start w:w="90" w:type="dxa"/>
              <w:bottom w:w="90" w:type="dxa"/>
              <w:end w:w="90" w:type="dxa"/>
            </w:tcMar>
          </w:tcPr>
          <w:p>
            <w:pPr>
              <w:spacing w:after="0"/>
            </w:pPr>
            <w:r>
              <w:rPr>
                <w:rFonts w:ascii="Noto Sans" w:hAnsi="Noto Sans" w:eastAsia="Noto Sans"/>
                <w:b w:val="0"/>
                <w:i w:val="0"/>
                <w:sz w:val="17"/>
              </w:rPr>
              <w:t>Treating all 37 GSM records as 37 mice</w:t>
            </w:r>
          </w:p>
        </w:tc>
        <w:tc>
          <w:tcPr>
            <w:tcW w:type="dxa" w:w="5670"/>
            <w:shd w:fill="F7FAFC"/>
            <w:vAlign w:val="top"/>
            <w:tcMar>
              <w:top w:w="90" w:type="dxa"/>
              <w:start w:w="90" w:type="dxa"/>
              <w:bottom w:w="90" w:type="dxa"/>
              <w:end w:w="90" w:type="dxa"/>
            </w:tcMar>
          </w:tcPr>
          <w:p>
            <w:pPr>
              <w:spacing w:after="0"/>
            </w:pPr>
            <w:r>
              <w:rPr>
                <w:rFonts w:ascii="Noto Sans" w:hAnsi="Noto Sans" w:eastAsia="Noto Sans"/>
                <w:b w:val="0"/>
                <w:i w:val="0"/>
                <w:sz w:val="17"/>
              </w:rPr>
              <w:t>The series contains multiple subexperiments, technical replicates, regions, and repeated animals.</w:t>
            </w:r>
          </w:p>
        </w:tc>
      </w:tr>
      <w:tr>
        <w:trPr>
          <w:cantSplit/>
        </w:trPr>
        <w:tc>
          <w:tcPr>
            <w:tcW w:type="dxa" w:w="3515"/>
            <w:vAlign w:val="top"/>
            <w:tcMar>
              <w:top w:w="90" w:type="dxa"/>
              <w:start w:w="90" w:type="dxa"/>
              <w:bottom w:w="90" w:type="dxa"/>
              <w:end w:w="90" w:type="dxa"/>
            </w:tcMar>
          </w:tcPr>
          <w:p>
            <w:pPr>
              <w:spacing w:after="0"/>
            </w:pPr>
            <w:r>
              <w:rPr>
                <w:rFonts w:ascii="Noto Sans" w:hAnsi="Noto Sans" w:eastAsia="Noto Sans"/>
                <w:b w:val="0"/>
                <w:i w:val="0"/>
                <w:sz w:val="17"/>
              </w:rPr>
              <w:t>Calling endogenous mouse Apoe an APOE isoform experiment</w:t>
            </w:r>
          </w:p>
        </w:tc>
        <w:tc>
          <w:tcPr>
            <w:tcW w:type="dxa" w:w="5670"/>
            <w:vAlign w:val="top"/>
            <w:tcMar>
              <w:top w:w="90" w:type="dxa"/>
              <w:start w:w="90" w:type="dxa"/>
              <w:bottom w:w="90" w:type="dxa"/>
              <w:end w:w="90" w:type="dxa"/>
            </w:tcMar>
          </w:tcPr>
          <w:p>
            <w:pPr>
              <w:spacing w:after="0"/>
            </w:pPr>
            <w:r>
              <w:rPr>
                <w:rFonts w:ascii="Noto Sans" w:hAnsi="Noto Sans" w:eastAsia="Noto Sans"/>
                <w:b w:val="0"/>
                <w:i w:val="0"/>
                <w:sz w:val="17"/>
              </w:rPr>
              <w:t>Expression of the Apoe gene is biologically interesting, but it is not a comparison of human APOE3 and APOE4 alleles.</w:t>
            </w:r>
          </w:p>
        </w:tc>
      </w:tr>
      <w:tr>
        <w:trPr>
          <w:cantSplit/>
        </w:trPr>
        <w:tc>
          <w:tcPr>
            <w:tcW w:type="dxa" w:w="3515"/>
            <w:shd w:fill="F7FAFC"/>
            <w:vAlign w:val="top"/>
            <w:tcMar>
              <w:top w:w="90" w:type="dxa"/>
              <w:start w:w="90" w:type="dxa"/>
              <w:bottom w:w="90" w:type="dxa"/>
              <w:end w:w="90" w:type="dxa"/>
            </w:tcMar>
          </w:tcPr>
          <w:p>
            <w:pPr>
              <w:spacing w:after="0"/>
            </w:pPr>
            <w:r>
              <w:rPr>
                <w:rFonts w:ascii="Noto Sans" w:hAnsi="Noto Sans" w:eastAsia="Noto Sans"/>
                <w:b w:val="0"/>
                <w:i w:val="0"/>
                <w:sz w:val="17"/>
              </w:rPr>
              <w:t>Performing a formal sex comparison</w:t>
            </w:r>
          </w:p>
        </w:tc>
        <w:tc>
          <w:tcPr>
            <w:tcW w:type="dxa" w:w="5670"/>
            <w:shd w:fill="F7FAFC"/>
            <w:vAlign w:val="top"/>
            <w:tcMar>
              <w:top w:w="90" w:type="dxa"/>
              <w:start w:w="90" w:type="dxa"/>
              <w:bottom w:w="90" w:type="dxa"/>
              <w:end w:w="90" w:type="dxa"/>
            </w:tcMar>
          </w:tcPr>
          <w:p>
            <w:pPr>
              <w:spacing w:after="0"/>
            </w:pPr>
            <w:r>
              <w:rPr>
                <w:rFonts w:ascii="Noto Sans" w:hAnsi="Noto Sans" w:eastAsia="Noto Sans"/>
                <w:b w:val="0"/>
                <w:i w:val="0"/>
                <w:sz w:val="17"/>
              </w:rPr>
              <w:t>One female per disease group cannot support reliable inference about female-versus-male differences.</w:t>
            </w:r>
          </w:p>
        </w:tc>
      </w:tr>
      <w:tr>
        <w:trPr>
          <w:cantSplit/>
        </w:trPr>
        <w:tc>
          <w:tcPr>
            <w:tcW w:type="dxa" w:w="3515"/>
            <w:vAlign w:val="top"/>
            <w:tcMar>
              <w:top w:w="90" w:type="dxa"/>
              <w:start w:w="90" w:type="dxa"/>
              <w:bottom w:w="90" w:type="dxa"/>
              <w:end w:w="90" w:type="dxa"/>
            </w:tcMar>
          </w:tcPr>
          <w:p>
            <w:pPr>
              <w:spacing w:after="0"/>
            </w:pPr>
            <w:r>
              <w:rPr>
                <w:rFonts w:ascii="Noto Sans" w:hAnsi="Noto Sans" w:eastAsia="Noto Sans"/>
                <w:b w:val="0"/>
                <w:i w:val="0"/>
                <w:sz w:val="17"/>
              </w:rPr>
              <w:t>Ignoring 10x chemistry and lysis batch</w:t>
            </w:r>
          </w:p>
        </w:tc>
        <w:tc>
          <w:tcPr>
            <w:tcW w:type="dxa" w:w="5670"/>
            <w:vAlign w:val="top"/>
            <w:tcMar>
              <w:top w:w="90" w:type="dxa"/>
              <w:start w:w="90" w:type="dxa"/>
              <w:bottom w:w="90" w:type="dxa"/>
              <w:end w:w="90" w:type="dxa"/>
            </w:tcMar>
          </w:tcPr>
          <w:p>
            <w:pPr>
              <w:spacing w:after="0"/>
            </w:pPr>
            <w:r>
              <w:rPr>
                <w:rFonts w:ascii="Noto Sans" w:hAnsi="Noto Sans" w:eastAsia="Noto Sans"/>
                <w:b w:val="0"/>
                <w:i w:val="0"/>
                <w:sz w:val="17"/>
              </w:rPr>
              <w:t>The study used v2 and v3 chemistry and different lysis approaches; these technical variables can affect measured expression and cell recovery.</w:t>
            </w:r>
          </w:p>
        </w:tc>
      </w:tr>
      <w:tr>
        <w:trPr>
          <w:cantSplit/>
        </w:trPr>
        <w:tc>
          <w:tcPr>
            <w:tcW w:type="dxa" w:w="3515"/>
            <w:shd w:fill="F7FAFC"/>
            <w:vAlign w:val="top"/>
            <w:tcMar>
              <w:top w:w="90" w:type="dxa"/>
              <w:start w:w="90" w:type="dxa"/>
              <w:bottom w:w="90" w:type="dxa"/>
              <w:end w:w="90" w:type="dxa"/>
            </w:tcMar>
          </w:tcPr>
          <w:p>
            <w:pPr>
              <w:spacing w:after="0"/>
            </w:pPr>
            <w:r>
              <w:rPr>
                <w:rFonts w:ascii="Noto Sans" w:hAnsi="Noto Sans" w:eastAsia="Noto Sans"/>
                <w:b w:val="0"/>
                <w:i w:val="0"/>
                <w:sz w:val="17"/>
              </w:rPr>
              <w:t>Combining cortex and hippocampus as independent animals</w:t>
            </w:r>
          </w:p>
        </w:tc>
        <w:tc>
          <w:tcPr>
            <w:tcW w:type="dxa" w:w="5670"/>
            <w:shd w:fill="F7FAFC"/>
            <w:vAlign w:val="top"/>
            <w:tcMar>
              <w:top w:w="90" w:type="dxa"/>
              <w:start w:w="90" w:type="dxa"/>
              <w:bottom w:w="90" w:type="dxa"/>
              <w:end w:w="90" w:type="dxa"/>
            </w:tcMar>
          </w:tcPr>
          <w:p>
            <w:pPr>
              <w:spacing w:after="0"/>
            </w:pPr>
            <w:r>
              <w:rPr>
                <w:rFonts w:ascii="Noto Sans" w:hAnsi="Noto Sans" w:eastAsia="Noto Sans"/>
                <w:b w:val="0"/>
                <w:i w:val="0"/>
                <w:sz w:val="17"/>
              </w:rPr>
              <w:t>Some cortex and hippocampus data came from the same mice. Region is a repeated measurement, not a new animal.</w:t>
            </w:r>
          </w:p>
        </w:tc>
      </w:tr>
      <w:tr>
        <w:trPr>
          <w:cantSplit/>
        </w:trPr>
        <w:tc>
          <w:tcPr>
            <w:tcW w:type="dxa" w:w="3515"/>
            <w:vAlign w:val="top"/>
            <w:tcMar>
              <w:top w:w="90" w:type="dxa"/>
              <w:start w:w="90" w:type="dxa"/>
              <w:bottom w:w="90" w:type="dxa"/>
              <w:end w:w="90" w:type="dxa"/>
            </w:tcMar>
          </w:tcPr>
          <w:p>
            <w:pPr>
              <w:spacing w:after="0"/>
            </w:pPr>
            <w:r>
              <w:rPr>
                <w:rFonts w:ascii="Noto Sans" w:hAnsi="Noto Sans" w:eastAsia="Noto Sans"/>
                <w:b w:val="0"/>
                <w:i w:val="0"/>
                <w:sz w:val="17"/>
              </w:rPr>
              <w:t>Interpreting missing mitochondrial transcripts literally</w:t>
            </w:r>
          </w:p>
        </w:tc>
        <w:tc>
          <w:tcPr>
            <w:tcW w:type="dxa" w:w="5670"/>
            <w:vAlign w:val="top"/>
            <w:tcMar>
              <w:top w:w="90" w:type="dxa"/>
              <w:start w:w="90" w:type="dxa"/>
              <w:bottom w:w="90" w:type="dxa"/>
              <w:end w:w="90" w:type="dxa"/>
            </w:tcMar>
          </w:tcPr>
          <w:p>
            <w:pPr>
              <w:spacing w:after="0"/>
            </w:pPr>
            <w:r>
              <w:rPr>
                <w:rFonts w:ascii="Noto Sans" w:hAnsi="Noto Sans" w:eastAsia="Noto Sans"/>
                <w:b w:val="0"/>
                <w:i w:val="0"/>
                <w:sz w:val="17"/>
              </w:rPr>
              <w:t>Nuclear sequencing undercaptures mitochondrially encoded RNA. Use nuclear-encoded mitochondrial genes and pathway-level evidence.</w:t>
            </w:r>
          </w:p>
        </w:tc>
      </w:tr>
      <w:tr>
        <w:trPr>
          <w:cantSplit/>
        </w:trPr>
        <w:tc>
          <w:tcPr>
            <w:tcW w:type="dxa" w:w="3515"/>
            <w:shd w:fill="F7FAFC"/>
            <w:vAlign w:val="top"/>
            <w:tcMar>
              <w:top w:w="90" w:type="dxa"/>
              <w:start w:w="90" w:type="dxa"/>
              <w:bottom w:w="90" w:type="dxa"/>
              <w:end w:w="90" w:type="dxa"/>
            </w:tcMar>
          </w:tcPr>
          <w:p>
            <w:pPr>
              <w:spacing w:after="0"/>
            </w:pPr>
            <w:r>
              <w:rPr>
                <w:rFonts w:ascii="Noto Sans" w:hAnsi="Noto Sans" w:eastAsia="Noto Sans"/>
                <w:b w:val="0"/>
                <w:i w:val="0"/>
                <w:sz w:val="17"/>
              </w:rPr>
              <w:t>Merging this dataset with an APOE-only study to create a fake factorial design</w:t>
            </w:r>
          </w:p>
        </w:tc>
        <w:tc>
          <w:tcPr>
            <w:tcW w:type="dxa" w:w="5670"/>
            <w:shd w:fill="F7FAFC"/>
            <w:vAlign w:val="top"/>
            <w:tcMar>
              <w:top w:w="90" w:type="dxa"/>
              <w:start w:w="90" w:type="dxa"/>
              <w:bottom w:w="90" w:type="dxa"/>
              <w:end w:w="90" w:type="dxa"/>
            </w:tcMar>
          </w:tcPr>
          <w:p>
            <w:pPr>
              <w:spacing w:after="0"/>
            </w:pPr>
            <w:r>
              <w:rPr>
                <w:rFonts w:ascii="Noto Sans" w:hAnsi="Noto Sans" w:eastAsia="Noto Sans"/>
                <w:b w:val="0"/>
                <w:i w:val="0"/>
                <w:sz w:val="17"/>
              </w:rPr>
              <w:t>Disease and laboratory effects would be inseparable. Compare effect directions or pathways across studies instead of pooling raw matrices.</w:t>
            </w:r>
          </w:p>
        </w:tc>
      </w:tr>
    </w:tbl>
    <w:p>
      <w:pPr>
        <w:spacing w:after="0"/>
      </w:pPr>
    </w:p>
    <w:p>
      <w:pPr>
        <w:spacing w:before="40" w:after="160"/>
        <w:jc w:val="center"/>
      </w:pPr>
      <w:r>
        <w:rPr>
          <w:rFonts w:ascii="Noto Sans" w:hAnsi="Noto Sans" w:eastAsia="Noto Sans"/>
          <w:b/>
          <w:i w:val="0"/>
          <w:color w:val="555555"/>
          <w:sz w:val="18"/>
        </w:rPr>
        <w:t>Table 9. Frequent analytical errors in secondary use of GSE143758.</w:t>
      </w:r>
    </w:p>
    <w:p>
      <w:pPr>
        <w:pStyle w:val="Heading1"/>
        <w:keepNext/>
        <w:spacing w:before="240" w:after="100"/>
      </w:pPr>
      <w:r>
        <w:rPr>
          <w:rFonts w:ascii="Noto Sans" w:hAnsi="Noto Sans" w:eastAsia="Noto Sans"/>
        </w:rPr>
        <w:t>11. Minimum metadata table to construct before analysis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835"/>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Column</w:t>
            </w:r>
          </w:p>
        </w:tc>
        <w:tc>
          <w:tcPr>
            <w:tcW w:type="dxa" w:w="6350"/>
            <w:shd w:fill="1F4E79"/>
            <w:vAlign w:val="center"/>
            <w:tcMar>
              <w:top w:w="100" w:type="dxa"/>
              <w:start w:w="90" w:type="dxa"/>
              <w:bottom w:w="100" w:type="dxa"/>
              <w:end w:w="90" w:type="dxa"/>
            </w:tcMar>
          </w:tcPr>
          <w:p>
            <w:pPr>
              <w:spacing w:after="0"/>
              <w:jc w:val="center"/>
            </w:pPr>
            <w:r>
              <w:rPr>
                <w:rFonts w:ascii="Noto Sans" w:hAnsi="Noto Sans" w:eastAsia="Noto Sans"/>
                <w:b/>
                <w:i w:val="0"/>
                <w:color w:val="FFFFFF"/>
                <w:sz w:val="18"/>
              </w:rPr>
              <w:t>Purpose</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gsm_accession</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GEO sample record identifier</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mouse_id</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Unique animal identifier; the most important field for replication</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genotype</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WT or 5xFAD</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sex</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Male or female</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age_months</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Exact or grouped age</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brain_region</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Hippocampus or cortex</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hemisphere</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Left, right, pooled, or unknown</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library_id</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Sequencing-library identifier</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technical_replicate</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Whether the record repeats another preparation from the same mouse</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lysis_protocol</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EZ or NP40, when available</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10x_chemistry</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10x 3-prime v2 or v3</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sequencing_batch</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Lane/platform/batch information</w:t>
            </w:r>
          </w:p>
        </w:tc>
      </w:tr>
      <w:tr>
        <w:trPr>
          <w:cantSplit/>
        </w:trPr>
        <w:tc>
          <w:tcPr>
            <w:tcW w:type="dxa" w:w="2835"/>
            <w:vAlign w:val="top"/>
            <w:tcMar>
              <w:top w:w="90" w:type="dxa"/>
              <w:start w:w="90" w:type="dxa"/>
              <w:bottom w:w="90" w:type="dxa"/>
              <w:end w:w="90" w:type="dxa"/>
            </w:tcMar>
          </w:tcPr>
          <w:p>
            <w:pPr>
              <w:spacing w:after="0"/>
            </w:pPr>
            <w:r>
              <w:rPr>
                <w:rFonts w:ascii="Noto Sans" w:hAnsi="Noto Sans" w:eastAsia="Noto Sans"/>
                <w:b w:val="0"/>
                <w:i w:val="0"/>
                <w:sz w:val="17"/>
              </w:rPr>
              <w:t>processed_matrix_subset</w:t>
            </w:r>
          </w:p>
        </w:tc>
        <w:tc>
          <w:tcPr>
            <w:tcW w:type="dxa" w:w="6350"/>
            <w:vAlign w:val="top"/>
            <w:tcMar>
              <w:top w:w="90" w:type="dxa"/>
              <w:start w:w="90" w:type="dxa"/>
              <w:bottom w:w="90" w:type="dxa"/>
              <w:end w:w="90" w:type="dxa"/>
            </w:tcMar>
          </w:tcPr>
          <w:p>
            <w:pPr>
              <w:spacing w:after="0"/>
            </w:pPr>
            <w:r>
              <w:rPr>
                <w:rFonts w:ascii="Noto Sans" w:hAnsi="Noto Sans" w:eastAsia="Noto Sans"/>
                <w:b w:val="0"/>
                <w:i w:val="0"/>
                <w:sz w:val="17"/>
              </w:rPr>
              <w:t>Seven-month all nuclei, age-series astrocytes, cortex astrocytes, or raw-only</w:t>
            </w:r>
          </w:p>
        </w:tc>
      </w:tr>
      <w:tr>
        <w:trPr>
          <w:cantSplit/>
        </w:trPr>
        <w:tc>
          <w:tcPr>
            <w:tcW w:type="dxa" w:w="2835"/>
            <w:shd w:fill="F7FAFC"/>
            <w:vAlign w:val="top"/>
            <w:tcMar>
              <w:top w:w="90" w:type="dxa"/>
              <w:start w:w="90" w:type="dxa"/>
              <w:bottom w:w="90" w:type="dxa"/>
              <w:end w:w="90" w:type="dxa"/>
            </w:tcMar>
          </w:tcPr>
          <w:p>
            <w:pPr>
              <w:spacing w:after="0"/>
            </w:pPr>
            <w:r>
              <w:rPr>
                <w:rFonts w:ascii="Noto Sans" w:hAnsi="Noto Sans" w:eastAsia="Noto Sans"/>
                <w:b w:val="0"/>
                <w:i w:val="0"/>
                <w:sz w:val="17"/>
              </w:rPr>
              <w:t>analysis_inclusion</w:t>
            </w:r>
          </w:p>
        </w:tc>
        <w:tc>
          <w:tcPr>
            <w:tcW w:type="dxa" w:w="6350"/>
            <w:shd w:fill="F7FAFC"/>
            <w:vAlign w:val="top"/>
            <w:tcMar>
              <w:top w:w="90" w:type="dxa"/>
              <w:start w:w="90" w:type="dxa"/>
              <w:bottom w:w="90" w:type="dxa"/>
              <w:end w:w="90" w:type="dxa"/>
            </w:tcMar>
          </w:tcPr>
          <w:p>
            <w:pPr>
              <w:spacing w:after="0"/>
            </w:pPr>
            <w:r>
              <w:rPr>
                <w:rFonts w:ascii="Noto Sans" w:hAnsi="Noto Sans" w:eastAsia="Noto Sans"/>
                <w:b w:val="0"/>
                <w:i w:val="0"/>
                <w:sz w:val="17"/>
              </w:rPr>
              <w:t>Reason the record is included or excluded for a particular analysis</w:t>
            </w:r>
          </w:p>
        </w:tc>
      </w:tr>
    </w:tbl>
    <w:p>
      <w:pPr>
        <w:spacing w:after="0"/>
      </w:pPr>
    </w:p>
    <w:p>
      <w:pPr>
        <w:spacing w:before="40" w:after="160"/>
        <w:jc w:val="center"/>
      </w:pPr>
      <w:r>
        <w:rPr>
          <w:rFonts w:ascii="Noto Sans" w:hAnsi="Noto Sans" w:eastAsia="Noto Sans"/>
          <w:b/>
          <w:i w:val="0"/>
          <w:color w:val="555555"/>
          <w:sz w:val="18"/>
        </w:rPr>
        <w:t>Table 10. Recommended library-to-mouse manifest for reproducible analysis.</w:t>
      </w:r>
    </w:p>
    <w:p>
      <w:pPr>
        <w:pStyle w:val="Heading1"/>
        <w:keepNext/>
        <w:spacing w:before="240" w:after="100"/>
      </w:pPr>
      <w:r>
        <w:rPr>
          <w:rFonts w:ascii="Noto Sans" w:hAnsi="Noto Sans" w:eastAsia="Noto Sans"/>
        </w:rPr>
        <w:t>12. Practical recommendation for an APOE-and-sex Alzheimer project</w:t>
      </w:r>
    </w:p>
    <w:tbl>
      <w:tblPr>
        <w:tblW w:type="auto" w:w="0"/>
        <w:jc w:val="center"/>
        <w:tblLayout w:type="fixed"/>
        <w:tblLook w:firstColumn="1" w:firstRow="1" w:lastColumn="0" w:lastRow="0" w:noHBand="0" w:noVBand="1" w:val="04A0"/>
      </w:tblPr>
      <w:tblGrid>
        <w:gridCol w:w="9354"/>
      </w:tblGrid>
      <w:tr>
        <w:trPr>
          <w:cantSplit/>
        </w:trPr>
        <w:tc>
          <w:tcPr>
            <w:tcW w:type="dxa" w:w="9972"/>
            <w:shd w:fill="E2F0D9"/>
            <w:tcBorders>
              <w:top w:val="single" w:sz="14" w:color="548235"/>
              <w:left w:val="single" w:sz="14" w:color="548235"/>
              <w:bottom w:val="single" w:sz="14" w:color="548235"/>
              <w:right w:val="single" w:sz="14" w:color="548235"/>
            </w:tcBorders>
            <w:tcMar>
              <w:top w:w="120" w:type="dxa"/>
              <w:start w:w="160" w:type="dxa"/>
              <w:bottom w:w="120" w:type="dxa"/>
              <w:end w:w="160" w:type="dxa"/>
            </w:tcMar>
          </w:tcPr>
          <w:p>
            <w:pPr>
              <w:spacing w:after="80"/>
            </w:pPr>
            <w:r>
              <w:rPr>
                <w:rFonts w:ascii="Noto Sans" w:hAnsi="Noto Sans" w:eastAsia="Noto Sans"/>
                <w:b/>
                <w:i w:val="0"/>
                <w:color w:val="548235"/>
                <w:sz w:val="21"/>
              </w:rPr>
              <w:t>Use GSE143758 as a disease and cell-state validation dataset, not as the APOE or sex dataset.</w:t>
            </w:r>
          </w:p>
          <w:p>
            <w:pPr>
              <w:spacing w:after="0"/>
            </w:pPr>
            <w:r>
              <w:rPr>
                <w:rFonts w:ascii="Noto Sans" w:hAnsi="Noto Sans" w:eastAsia="Noto Sans"/>
                <w:b w:val="0"/>
                <w:i w:val="0"/>
                <w:sz w:val="20"/>
              </w:rPr>
              <w:t>A defensible role is to take a gene set or pathway discovered in the human study, map it to mouse orthologs, and ask whether the same program changes in 5xFAD versus WT mice within specific cell types or along the astrocyte age trajectory. Use other datasets for APOE3/APOE4 and sex effects. Keep the studies separate and compare directions, pathways, and cell-type localization rather than merging their raw expression matrices.</w:t>
            </w:r>
          </w:p>
        </w:tc>
      </w:tr>
    </w:tbl>
    <w:p>
      <w:pPr>
        <w:spacing w:after="0"/>
      </w:pPr>
    </w:p>
    <w:p>
      <w:r>
        <w:rPr>
          <w:rFonts w:ascii="Noto Sans" w:hAnsi="Noto Sans" w:eastAsia="Noto Sans"/>
          <w:b/>
          <w:i w:val="0"/>
        </w:rPr>
        <w:t>Suggested wording in a paper or presentation:</w:t>
      </w:r>
    </w:p>
    <w:tbl>
      <w:tblPr>
        <w:tblW w:type="auto" w:w="0"/>
        <w:jc w:val="center"/>
        <w:tblLook w:firstColumn="1" w:firstRow="1" w:lastColumn="0" w:lastRow="0" w:noHBand="0" w:noVBand="1" w:val="04A0"/>
      </w:tblPr>
      <w:tblGrid>
        <w:gridCol w:w="9972"/>
      </w:tblGrid>
      <w:tr>
        <w:trPr>
          <w:cantSplit/>
        </w:trPr>
        <w:tc>
          <w:tcPr>
            <w:tcW w:type="dxa" w:w="9972"/>
            <w:shd w:fill="F7F7F7"/>
            <w:tcBorders>
              <w:top w:val="nil" w:sz="0" w:color="FFFFFF"/>
              <w:left w:val="single" w:sz="18" w:color="5B9BD5"/>
              <w:bottom w:val="nil" w:sz="0" w:color="FFFFFF"/>
              <w:right w:val="nil" w:sz="0" w:color="FFFFFF"/>
            </w:tcBorders>
            <w:tcMar>
              <w:top w:w="110" w:type="dxa"/>
              <w:start w:w="170" w:type="dxa"/>
              <w:bottom w:w="110" w:type="dxa"/>
              <w:end w:w="120" w:type="dxa"/>
            </w:tcMar>
          </w:tcPr>
          <w:p>
            <w:r>
              <w:rPr>
                <w:rFonts w:ascii="Noto Sans" w:hAnsi="Noto Sans" w:eastAsia="Noto Sans"/>
                <w:b w:val="0"/>
                <w:i/>
                <w:sz w:val="20"/>
              </w:rPr>
              <w:t>"We used GSE143758 as an independent mouse 5xFAD-versus-WT snRNA-seq reference to assess disease-direction and cell-type concordance. Because the study lacks human APOE isoform groups and contains only one female mouse per disease condition, it was not used to estimate APOE or sex interactions."</w:t>
            </w:r>
          </w:p>
        </w:tc>
      </w:tr>
    </w:tbl>
    <w:p>
      <w:pPr>
        <w:spacing w:after="0"/>
      </w:pPr>
    </w:p>
    <w:p>
      <w:pPr>
        <w:pStyle w:val="Heading1"/>
        <w:keepNext/>
        <w:spacing w:before="240" w:after="100"/>
      </w:pPr>
      <w:r>
        <w:rPr>
          <w:rFonts w:ascii="Noto Sans" w:hAnsi="Noto Sans" w:eastAsia="Noto Sans"/>
        </w:rPr>
        <w:t>13. Data access and references</w:t>
      </w:r>
    </w:p>
    <w:p>
      <w:pPr>
        <w:spacing w:after="100"/>
        <w:ind w:left="227" w:hanging="227"/>
      </w:pPr>
      <w:r>
        <w:rPr>
          <w:rFonts w:ascii="Noto Sans" w:hAnsi="Noto Sans" w:eastAsia="Noto Sans"/>
          <w:b/>
          <w:i w:val="0"/>
          <w:color w:val="1F4E79"/>
        </w:rPr>
        <w:t xml:space="preserve">1. </w:t>
      </w:r>
      <w:r>
        <w:rPr>
          <w:rFonts w:ascii="Noto Sans" w:hAnsi="Noto Sans" w:eastAsia="Noto Sans"/>
          <w:b w:val="0"/>
          <w:i w:val="0"/>
        </w:rPr>
        <w:t xml:space="preserve">Habib N, McCabe C, Medina S, et al. Disease-associated astrocytes in Alzheimer's disease and aging. Nature Neuroscience. 2020;23:701-706. DOI: 10.1038/s41593-020-0624-8. </w:t>
      </w:r>
      <w:hyperlink r:id="rId12">
        <w:r>
          <w:rPr>
            <w:rFonts w:ascii="Noto Sans" w:hAnsi="Noto Sans"/>
            <w:color w:val="0563C1"/>
            <w:u w:val="single"/>
          </w:rPr>
          <w:t>Open source</w:t>
        </w:r>
      </w:hyperlink>
    </w:p>
    <w:p>
      <w:pPr>
        <w:spacing w:after="100"/>
        <w:ind w:left="227" w:hanging="227"/>
      </w:pPr>
      <w:r>
        <w:rPr>
          <w:rFonts w:ascii="Noto Sans" w:hAnsi="Noto Sans" w:eastAsia="Noto Sans"/>
          <w:b/>
          <w:i w:val="0"/>
          <w:color w:val="1F4E79"/>
        </w:rPr>
        <w:t xml:space="preserve">2. </w:t>
      </w:r>
      <w:r>
        <w:rPr>
          <w:rFonts w:ascii="Noto Sans" w:hAnsi="Noto Sans" w:eastAsia="Noto Sans"/>
          <w:b w:val="0"/>
          <w:i w:val="0"/>
        </w:rPr>
        <w:t xml:space="preserve">NCBI Gene Expression Omnibus: GSE143758, "Single nuclei RNA-seq of brain of mouse Alzheimer's disease model." </w:t>
      </w:r>
      <w:hyperlink r:id="rId13">
        <w:r>
          <w:rPr>
            <w:rFonts w:ascii="Noto Sans" w:hAnsi="Noto Sans"/>
            <w:color w:val="0563C1"/>
            <w:u w:val="single"/>
          </w:rPr>
          <w:t>Open source</w:t>
        </w:r>
      </w:hyperlink>
    </w:p>
    <w:p>
      <w:pPr>
        <w:spacing w:after="100"/>
        <w:ind w:left="227" w:hanging="227"/>
      </w:pPr>
      <w:r>
        <w:rPr>
          <w:rFonts w:ascii="Noto Sans" w:hAnsi="Noto Sans" w:eastAsia="Noto Sans"/>
          <w:b/>
          <w:i w:val="0"/>
          <w:color w:val="1F4E79"/>
        </w:rPr>
        <w:t xml:space="preserve">3. </w:t>
      </w:r>
      <w:r>
        <w:rPr>
          <w:rFonts w:ascii="Noto Sans" w:hAnsi="Noto Sans" w:eastAsia="Noto Sans"/>
          <w:b w:val="0"/>
          <w:i w:val="0"/>
        </w:rPr>
        <w:t xml:space="preserve">Broad Institute Single Cell Portal: SCP302, Mouse Alzheimer's and Disease Astrocytes. </w:t>
      </w:r>
      <w:hyperlink r:id="rId14">
        <w:r>
          <w:rPr>
            <w:rFonts w:ascii="Noto Sans" w:hAnsi="Noto Sans"/>
            <w:color w:val="0563C1"/>
            <w:u w:val="single"/>
          </w:rPr>
          <w:t>Open source</w:t>
        </w:r>
      </w:hyperlink>
    </w:p>
    <w:p>
      <w:pPr>
        <w:spacing w:after="100"/>
        <w:ind w:left="227" w:hanging="227"/>
      </w:pPr>
      <w:r>
        <w:rPr>
          <w:rFonts w:ascii="Noto Sans" w:hAnsi="Noto Sans" w:eastAsia="Noto Sans"/>
          <w:b/>
          <w:i w:val="0"/>
          <w:color w:val="1F4E79"/>
        </w:rPr>
        <w:t xml:space="preserve">4. </w:t>
      </w:r>
      <w:r>
        <w:rPr>
          <w:rFonts w:ascii="Noto Sans" w:hAnsi="Noto Sans" w:eastAsia="Noto Sans"/>
          <w:b w:val="0"/>
          <w:i w:val="0"/>
        </w:rPr>
        <w:t xml:space="preserve">Nature Research Life Sciences Reporting Summary for the study, including the biological-versus-technical replicate statement. </w:t>
      </w:r>
      <w:hyperlink r:id="rId15">
        <w:r>
          <w:rPr>
            <w:rFonts w:ascii="Noto Sans" w:hAnsi="Noto Sans"/>
            <w:color w:val="0563C1"/>
            <w:u w:val="single"/>
          </w:rPr>
          <w:t>Open source</w:t>
        </w:r>
      </w:hyperlink>
    </w:p>
    <w:p>
      <w:pPr>
        <w:spacing w:after="100"/>
        <w:ind w:left="227" w:hanging="227"/>
      </w:pPr>
      <w:r>
        <w:rPr>
          <w:rFonts w:ascii="Noto Sans" w:hAnsi="Noto Sans" w:eastAsia="Noto Sans"/>
          <w:b/>
          <w:i w:val="0"/>
          <w:color w:val="1F4E79"/>
        </w:rPr>
        <w:t xml:space="preserve">5. </w:t>
      </w:r>
      <w:r>
        <w:rPr>
          <w:rFonts w:ascii="Noto Sans" w:hAnsi="Noto Sans" w:eastAsia="Noto Sans"/>
          <w:b w:val="0"/>
          <w:i w:val="0"/>
        </w:rPr>
        <w:t xml:space="preserve">OmicsDI record for GSE143758, which enumerates the linked GSM accessions and identifies SRA study SRP243446. </w:t>
      </w:r>
      <w:hyperlink r:id="rId16">
        <w:r>
          <w:rPr>
            <w:rFonts w:ascii="Noto Sans" w:hAnsi="Noto Sans"/>
            <w:color w:val="0563C1"/>
            <w:u w:val="single"/>
          </w:rPr>
          <w:t>Open source</w:t>
        </w:r>
      </w:hyperlink>
    </w:p>
    <w:p>
      <w:pPr>
        <w:pStyle w:val="Heading1"/>
        <w:keepNext/>
        <w:spacing w:before="240" w:after="100"/>
      </w:pPr>
      <w:r>
        <w:rPr>
          <w:rFonts w:ascii="Noto Sans" w:hAnsi="Noto Sans" w:eastAsia="Noto Sans"/>
        </w:rPr>
        <w:t>14. Final takeaway</w:t>
      </w:r>
    </w:p>
    <w:p>
      <w:r>
        <w:rPr>
          <w:rFonts w:ascii="Noto Sans" w:hAnsi="Noto Sans" w:eastAsia="Noto Sans"/>
          <w:b/>
          <w:i w:val="0"/>
        </w:rPr>
        <w:t xml:space="preserve">GSE143758 is scientifically valuable, but the correct sample size depends on the question. </w:t>
      </w:r>
      <w:r>
        <w:rPr>
          <w:rFonts w:ascii="Noto Sans" w:hAnsi="Noto Sans" w:eastAsia="Noto Sans"/>
          <w:b w:val="0"/>
          <w:i w:val="0"/>
        </w:rPr>
        <w:t>The entire GEO series has 37 sample records. The main seven-month disease comparison has 8 independent mice and 10 sample/library preparations. Its tens of thousands of nuclei provide detailed cell-level measurements, not tens of thousands of independent biological replicates. For your broader Alzheimer validation project, use GSE143758 for 5xFAD disease effects, cell-type localization, astrocyte states, and age progression; use separate APOE- and sex-appropriate datasets for those factors.</w:t>
      </w:r>
    </w:p>
    <w:sectPr w:rsidR="00FC693F" w:rsidRPr="0006063C" w:rsidSect="00034616">
      <w:headerReference w:type="default" r:id="rId9"/>
      <w:footerReference w:type="default" r:id="rId10"/>
      <w:pgSz w:w="12240" w:h="15840"/>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i w:val="0"/>
        <w:color w:val="6B6B6B"/>
        <w:sz w:val="17"/>
      </w:rPr>
      <w:t>GSE143758 DATASET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mc.ncbi.nlm.nih.gov/articles/PMC9262034/" TargetMode="External"/><Relationship Id="rId13" Type="http://schemas.openxmlformats.org/officeDocument/2006/relationships/hyperlink" Target="https://www.ncbi.nlm.nih.gov/geo/query/acc.cgi?acc=GSE143758" TargetMode="External"/><Relationship Id="rId14" Type="http://schemas.openxmlformats.org/officeDocument/2006/relationships/hyperlink" Target="https://singlecell.broadinstitute.org/single_cell/study/SCP302/mouse-alzheimers-and-disease-astrocytes" TargetMode="External"/><Relationship Id="rId15" Type="http://schemas.openxmlformats.org/officeDocument/2006/relationships/hyperlink" Target="https://media.springernature.com/original/springer-static/esm/art%3A10.1038%2Fs41593-020-0624-8/MediaObjects/41593_2020_624_MOESM1_ESM.pdf" TargetMode="External"/><Relationship Id="rId16" Type="http://schemas.openxmlformats.org/officeDocument/2006/relationships/hyperlink" Target="https://www.omicsdi.org/dataset/geo/GSE143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GSE143758 Explained</dc:title>
  <dc:subject>Dataset design, sample counts, biological findings, and appropriate use</dc:subject>
  <dc:creator>OpenAI</dc:creator>
  <cp:keywords>GSE143758, 5xFAD, snRNA-seq, Alzheimer disease, astrocytes, GEO, sample size</cp:keywords>
  <dc:description>Prepared as a standalone research guide.</dc:description>
  <cp:lastModifiedBy/>
  <cp:revision>1</cp:revision>
  <dcterms:created xsi:type="dcterms:W3CDTF">2013-12-23T23:15:00Z</dcterms:created>
  <dcterms:modified xsi:type="dcterms:W3CDTF">2013-12-23T23:15:00Z</dcterms:modified>
  <cp:category/>
</cp:coreProperties>
</file>