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10310"/>
      </w:tblGrid>
      <w:tr>
        <w:tc>
          <w:tcPr>
            <w:tcW w:type="dxa" w:w="10080"/>
            <w:shd w:fill="17324D"/>
            <w:tcMar>
              <w:top w:w="420" w:type="dxa"/>
              <w:start w:w="320" w:type="dxa"/>
              <w:bottom w:w="420" w:type="dxa"/>
              <w:end w:w="320" w:type="dxa"/>
            </w:tcMar>
          </w:tcPr>
          <w:p>
            <w:pPr>
              <w:jc w:val="center"/>
            </w:pPr>
            <w:r>
              <w:rPr>
                <w:rFonts w:ascii="Carlito" w:hAnsi="Carlito" w:eastAsia="Carlito"/>
                <w:b/>
                <w:color w:val="FFFFFF"/>
                <w:sz w:val="48"/>
              </w:rPr>
              <w:t>Revised Mouse Validation Strategy for a Human PFC Alzheimer's Study</w:t>
            </w:r>
          </w:p>
          <w:p>
            <w:pPr>
              <w:jc w:val="center"/>
            </w:pPr>
            <w:r>
              <w:rPr>
                <w:rFonts w:ascii="Carlito" w:hAnsi="Carlito" w:eastAsia="Carlito"/>
                <w:color w:val="D9E7F3"/>
                <w:sz w:val="25"/>
              </w:rPr>
              <w:t>A public-data plan for APOE, sex, disease, and cell-type validation</w:t>
            </w:r>
          </w:p>
        </w:tc>
      </w:tr>
    </w:tbl>
    <w:p>
      <w:pPr>
        <w:jc w:val="center"/>
      </w:pPr>
      <w:r>
        <w:rPr>
          <w:rFonts w:ascii="Carlito" w:hAnsi="Carlito" w:eastAsia="Carlito"/>
          <w:i/>
          <w:color w:val="5B6573"/>
          <w:sz w:val="22"/>
        </w:rPr>
        <w:t>Prepared for a human prefrontal cortex Alzheimer's disease validation project</w:t>
      </w:r>
    </w:p>
    <w:p>
      <w:pPr>
        <w:jc w:val="center"/>
      </w:pPr>
      <w:r>
        <w:rPr>
          <w:rFonts w:ascii="Carlito" w:hAnsi="Carlito" w:eastAsia="Carlito"/>
          <w:color w:val="5B6573"/>
          <w:sz w:val="20"/>
        </w:rPr>
        <w:t>Updated August 22, 2026</w:t>
      </w:r>
    </w:p>
    <w:tbl>
      <w:tblPr>
        <w:tblW w:type="auto" w:w="0"/>
        <w:jc w:val="center"/>
        <w:tblLayout w:type="fixed"/>
        <w:tblLook w:firstColumn="1" w:firstRow="1" w:lastColumn="0" w:lastRow="0" w:noHBand="0" w:noVBand="1" w:val="04A0"/>
        <w:tblBorders>
          <w:top w:val="single" w:sz="10" w:space="0" w:color="2F5597"/>
          <w:left w:val="single" w:sz="10" w:space="0" w:color="2F5597"/>
          <w:bottom w:val="single" w:sz="10" w:space="0" w:color="2F5597"/>
          <w:right w:val="single" w:sz="10" w:space="0" w:color="2F5597"/>
          <w:insideH w:val="single" w:sz="10" w:space="0" w:color="2F5597"/>
          <w:insideV w:val="single" w:sz="10" w:space="0" w:color="2F5597"/>
        </w:tblBorders>
      </w:tblPr>
      <w:tblGrid>
        <w:gridCol w:w="10310"/>
      </w:tblGrid>
      <w:tr>
        <w:tc>
          <w:tcPr>
            <w:tcW w:type="dxa" w:w="10080"/>
            <w:shd w:fill="EAF1FB"/>
            <w:tcMar>
              <w:top w:w="120" w:type="dxa"/>
              <w:start w:w="150" w:type="dxa"/>
              <w:bottom w:w="120" w:type="dxa"/>
              <w:end w:w="150" w:type="dxa"/>
            </w:tcMar>
          </w:tcPr>
          <w:p>
            <w:pPr>
              <w:spacing w:after="40"/>
            </w:pPr>
            <w:r>
              <w:rPr>
                <w:rFonts w:ascii="Carlito" w:hAnsi="Carlito" w:eastAsia="Carlito"/>
                <w:b/>
                <w:color w:val="2F5597"/>
                <w:sz w:val="21"/>
              </w:rPr>
              <w:t>Scope note</w:t>
            </w:r>
          </w:p>
          <w:p>
            <w:pPr>
              <w:spacing w:after="0"/>
            </w:pPr>
            <w:r>
              <w:rPr>
                <w:rFonts w:ascii="Carlito" w:hAnsi="Carlito" w:eastAsia="Carlito"/>
                <w:color w:val="24303F"/>
                <w:sz w:val="20"/>
              </w:rPr>
              <w:t>This document turns the revised recommendation into a practical study design. It does not report new biological results. The central constraint is that no one public mouse dataset simultaneously supplies exact PFC tissue, APOE3 versus APOE4, female versus male, AD versus non-AD, broad cell types, and strong independent-mouse replication.</w:t>
            </w:r>
          </w:p>
        </w:tc>
      </w:tr>
    </w:tbl>
    <w:p>
      <w:pPr>
        <w:spacing w:after="0"/>
      </w:pPr>
    </w:p>
    <w:p>
      <w:r>
        <w:br w:type="page"/>
      </w:r>
    </w:p>
    <w:p>
      <w:pPr>
        <w:pStyle w:val="Heading1"/>
      </w:pPr>
      <w:r>
        <w:t>Executive summary</w:t>
      </w:r>
    </w:p>
    <w:tbl>
      <w:tblPr>
        <w:tblW w:type="auto" w:w="0"/>
        <w:jc w:val="center"/>
        <w:tblLayout w:type="fixed"/>
        <w:tblLook w:firstColumn="1" w:firstRow="1" w:lastColumn="0" w:lastRow="0" w:noHBand="0" w:noVBand="1" w:val="04A0"/>
        <w:tblBorders>
          <w:top w:val="single" w:sz="10" w:space="0" w:color="1F7A8C"/>
          <w:left w:val="single" w:sz="10" w:space="0" w:color="1F7A8C"/>
          <w:bottom w:val="single" w:sz="10" w:space="0" w:color="1F7A8C"/>
          <w:right w:val="single" w:sz="10" w:space="0" w:color="1F7A8C"/>
          <w:insideH w:val="single" w:sz="10" w:space="0" w:color="1F7A8C"/>
          <w:insideV w:val="single" w:sz="10" w:space="0" w:color="1F7A8C"/>
        </w:tblBorders>
      </w:tblPr>
      <w:tblGrid>
        <w:gridCol w:w="10310"/>
      </w:tblGrid>
      <w:tr>
        <w:tc>
          <w:tcPr>
            <w:tcW w:type="dxa" w:w="10080"/>
            <w:shd w:fill="EAF6F7"/>
            <w:tcMar>
              <w:top w:w="120" w:type="dxa"/>
              <w:start w:w="150" w:type="dxa"/>
              <w:bottom w:w="120" w:type="dxa"/>
              <w:end w:w="150" w:type="dxa"/>
            </w:tcMar>
          </w:tcPr>
          <w:p>
            <w:pPr>
              <w:spacing w:after="40"/>
            </w:pPr>
            <w:r>
              <w:rPr>
                <w:rFonts w:ascii="Carlito" w:hAnsi="Carlito" w:eastAsia="Carlito"/>
                <w:b/>
                <w:color w:val="1F7A8C"/>
                <w:sz w:val="21"/>
              </w:rPr>
              <w:t>New core recommendation</w:t>
            </w:r>
          </w:p>
          <w:p>
            <w:pPr>
              <w:spacing w:after="0"/>
            </w:pPr>
            <w:r>
              <w:rPr>
                <w:rFonts w:ascii="Carlito" w:hAnsi="Carlito" w:eastAsia="Carlito"/>
                <w:color w:val="24303F"/>
                <w:sz w:val="20"/>
              </w:rPr>
              <w:t>Use GSE241553, GSE185063, and GSE163857 as three complementary anchors. GSE241553 supplies cortical APOE-by-sex evidence under amyloid pathology; GSE185063 supplies broad cortical cell-type localization; and GSE163857 supplies the direct APOE-by-sex-by-disease test in sorted microglia. Analyze each study separately, then compare effect directions and pathway scores.</w:t>
            </w:r>
          </w:p>
        </w:tc>
      </w:tr>
    </w:tbl>
    <w:p>
      <w:pPr>
        <w:spacing w:after="0"/>
      </w:pPr>
    </w:p>
    <w:p>
      <w:r>
        <w:rPr>
          <w:rFonts w:ascii="Carlito" w:hAnsi="Carlito" w:eastAsia="Carlito"/>
        </w:rPr>
        <w:t>Because the human discovery tissue is prefrontal cortex (PFC), cortical mouse datasets should now receive more weight than hippocampal or whole-brain datasets. This changes the priority order, but it does not eliminate non-cortical datasets. A non-cortical study can still provide cell-type or pathway support if it is labeled correctly.</w:t>
      </w:r>
    </w:p>
    <w:p>
      <w:pPr>
        <w:pStyle w:val="ListBullet"/>
        <w:spacing w:after="60"/>
      </w:pPr>
      <w:r>
        <w:rPr>
          <w:rFonts w:ascii="Carlito" w:hAnsi="Carlito" w:eastAsia="Carlito"/>
        </w:rPr>
        <w:t>Primary regional anchor: GSE241553.</w:t>
      </w:r>
    </w:p>
    <w:p>
      <w:pPr>
        <w:pStyle w:val="ListBullet"/>
        <w:spacing w:after="60"/>
      </w:pPr>
      <w:r>
        <w:rPr>
          <w:rFonts w:ascii="Carlito" w:hAnsi="Carlito" w:eastAsia="Carlito"/>
        </w:rPr>
        <w:t>Primary broad cortical cell-type anchor: GSE185063.</w:t>
      </w:r>
    </w:p>
    <w:p>
      <w:pPr>
        <w:pStyle w:val="ListBullet"/>
        <w:spacing w:after="60"/>
      </w:pPr>
      <w:r>
        <w:rPr>
          <w:rFonts w:ascii="Carlito" w:hAnsi="Carlito" w:eastAsia="Carlito"/>
        </w:rPr>
        <w:t>Primary full-factorial microglial anchor: GSE163857.</w:t>
      </w:r>
    </w:p>
    <w:p>
      <w:pPr>
        <w:pStyle w:val="ListBullet"/>
        <w:spacing w:after="60"/>
      </w:pPr>
      <w:r>
        <w:rPr>
          <w:rFonts w:ascii="Carlito" w:hAnsi="Carlito" w:eastAsia="Carlito"/>
        </w:rPr>
        <w:t>Optional disease-direction references: GSE140399 and GSE140510.</w:t>
      </w:r>
    </w:p>
    <w:p>
      <w:pPr>
        <w:pStyle w:val="ListBullet"/>
        <w:spacing w:after="60"/>
      </w:pPr>
      <w:r>
        <w:rPr>
          <w:rFonts w:ascii="Carlito" w:hAnsi="Carlito" w:eastAsia="Carlito"/>
        </w:rPr>
        <w:t>Secondary astrocyte and cross-region support: GSE143758.</w:t>
      </w:r>
    </w:p>
    <w:p>
      <w:pPr>
        <w:pStyle w:val="ListBullet"/>
        <w:spacing w:after="60"/>
      </w:pPr>
      <w:r>
        <w:rPr>
          <w:rFonts w:ascii="Carlito" w:hAnsi="Carlito" w:eastAsia="Carlito"/>
        </w:rPr>
        <w:t>Optional APOE2 and immune-aging support: GSE225503.</w:t>
      </w:r>
    </w:p>
    <w:p>
      <w:pPr>
        <w:jc w:val="center"/>
      </w:pPr>
      <w:r>
        <w:drawing>
          <wp:inline xmlns:a="http://schemas.openxmlformats.org/drawingml/2006/main" xmlns:pic="http://schemas.openxmlformats.org/drawingml/2006/picture">
            <wp:extent cx="6309360" cy="3814611"/>
            <wp:docPr id="1" name="Picture 1" descr="Flow diagram showing a human PFC finding connected to three core mouse datasets and three optional supporting datasets." title="Figure 1. The revised setup uses three core datasets and several specialized sup"/>
            <wp:cNvGraphicFramePr>
              <a:graphicFrameLocks noChangeAspect="1"/>
            </wp:cNvGraphicFramePr>
            <a:graphic>
              <a:graphicData uri="http://schemas.openxmlformats.org/drawingml/2006/picture">
                <pic:pic>
                  <pic:nvPicPr>
                    <pic:cNvPr id="0" name="strategy_architecture.png"/>
                    <pic:cNvPicPr/>
                  </pic:nvPicPr>
                  <pic:blipFill>
                    <a:blip r:embed="rId11"/>
                    <a:stretch>
                      <a:fillRect/>
                    </a:stretch>
                  </pic:blipFill>
                  <pic:spPr>
                    <a:xfrm>
                      <a:off x="0" y="0"/>
                      <a:ext cx="6309360" cy="3814611"/>
                    </a:xfrm>
                    <a:prstGeom prst="rect"/>
                  </pic:spPr>
                </pic:pic>
              </a:graphicData>
            </a:graphic>
          </wp:inline>
        </w:drawing>
      </w:r>
    </w:p>
    <w:p>
      <w:pPr>
        <w:spacing w:after="120"/>
        <w:jc w:val="center"/>
      </w:pPr>
      <w:r>
        <w:rPr>
          <w:rFonts w:ascii="Carlito" w:hAnsi="Carlito" w:eastAsia="Carlito"/>
          <w:i/>
          <w:color w:val="5B6573"/>
          <w:sz w:val="17"/>
        </w:rPr>
        <w:t>Figure 1. The revised setup uses three core datasets and several specialized supporting datasets.</w:t>
      </w:r>
    </w:p>
    <w:p>
      <w:pPr>
        <w:pStyle w:val="Heading1"/>
      </w:pPr>
      <w:r>
        <w:t>1. Why the PFC detail changes the recommendation</w:t>
      </w:r>
    </w:p>
    <w:p>
      <w:r>
        <w:rPr>
          <w:rFonts w:ascii="Carlito" w:hAnsi="Carlito" w:eastAsia="Carlito"/>
        </w:rPr>
        <w:t>The prefrontal cortex is a cortical brain region involved in planning, decision making, working memory, and other higher functions. Brain regions share broad cell classes, but they do not contain identical neuronal subtypes, cell proportions, or disease responses. A mouse hippocampal result therefore cannot be presented as an exact replication of a human PFC result.</w:t>
      </w:r>
    </w:p>
    <w:p>
      <w:r>
        <w:rPr>
          <w:rFonts w:ascii="Carlito" w:hAnsi="Carlito" w:eastAsia="Carlito"/>
        </w:rPr>
        <w:t>Region matching is especially important for neurons because cortical excitatory and inhibitory neurons are organized by layers and projection patterns. Glial cells such as microglia and astrocytes are distributed more broadly, so cross-region pathway validation can still be useful, although it is weaker than cortical validation.</w:t>
      </w:r>
    </w:p>
    <w:p>
      <w:pPr>
        <w:jc w:val="center"/>
      </w:pPr>
      <w:r>
        <w:drawing>
          <wp:inline xmlns:a="http://schemas.openxmlformats.org/drawingml/2006/main" xmlns:pic="http://schemas.openxmlformats.org/drawingml/2006/picture">
            <wp:extent cx="6309360" cy="3230241"/>
            <wp:docPr id="2" name="Picture 2" descr="A four-level ladder ranking mouse medial prefrontal cortex, other cortex, combined cortex and hippocampus, and hippocampus or whole brain." title="Figure 2. Anatomical matching changes the strength of a cross-species claim."/>
            <wp:cNvGraphicFramePr>
              <a:graphicFrameLocks noChangeAspect="1"/>
            </wp:cNvGraphicFramePr>
            <a:graphic>
              <a:graphicData uri="http://schemas.openxmlformats.org/drawingml/2006/picture">
                <pic:pic>
                  <pic:nvPicPr>
                    <pic:cNvPr id="0" name="region_matching_ladder.png"/>
                    <pic:cNvPicPr/>
                  </pic:nvPicPr>
                  <pic:blipFill>
                    <a:blip r:embed="rId12"/>
                    <a:stretch>
                      <a:fillRect/>
                    </a:stretch>
                  </pic:blipFill>
                  <pic:spPr>
                    <a:xfrm>
                      <a:off x="0" y="0"/>
                      <a:ext cx="6309360" cy="3230241"/>
                    </a:xfrm>
                    <a:prstGeom prst="rect"/>
                  </pic:spPr>
                </pic:pic>
              </a:graphicData>
            </a:graphic>
          </wp:inline>
        </w:drawing>
      </w:r>
    </w:p>
    <w:p>
      <w:pPr>
        <w:spacing w:after="120"/>
        <w:jc w:val="center"/>
      </w:pPr>
      <w:r>
        <w:rPr>
          <w:rFonts w:ascii="Carlito" w:hAnsi="Carlito" w:eastAsia="Carlito"/>
          <w:i/>
          <w:color w:val="5B6573"/>
          <w:sz w:val="17"/>
        </w:rPr>
        <w:t>Figure 2. Anatomical matching changes the strength of a cross-species claim.</w:t>
      </w:r>
    </w:p>
    <w:tbl>
      <w:tblPr>
        <w:tblW w:type="auto" w:w="0"/>
        <w:jc w:val="center"/>
        <w:tblLayout w:type="fixed"/>
        <w:tblLook w:firstColumn="1" w:firstRow="1" w:lastColumn="0" w:lastRow="0" w:noHBand="0" w:noVBand="1" w:val="04A0"/>
        <w:tblBorders>
          <w:top w:val="single" w:sz="10" w:space="0" w:color="C76E00"/>
          <w:left w:val="single" w:sz="10" w:space="0" w:color="C76E00"/>
          <w:bottom w:val="single" w:sz="10" w:space="0" w:color="C76E00"/>
          <w:right w:val="single" w:sz="10" w:space="0" w:color="C76E00"/>
          <w:insideH w:val="single" w:sz="10" w:space="0" w:color="C76E00"/>
          <w:insideV w:val="single" w:sz="10" w:space="0" w:color="C76E00"/>
        </w:tblBorders>
      </w:tblPr>
      <w:tblGrid>
        <w:gridCol w:w="10310"/>
      </w:tblGrid>
      <w:tr>
        <w:tc>
          <w:tcPr>
            <w:tcW w:type="dxa" w:w="10080"/>
            <w:shd w:fill="FFF4E5"/>
            <w:tcMar>
              <w:top w:w="120" w:type="dxa"/>
              <w:start w:w="150" w:type="dxa"/>
              <w:bottom w:w="120" w:type="dxa"/>
              <w:end w:w="150" w:type="dxa"/>
            </w:tcMar>
          </w:tcPr>
          <w:p>
            <w:pPr>
              <w:spacing w:after="40"/>
            </w:pPr>
            <w:r>
              <w:rPr>
                <w:rFonts w:ascii="Carlito" w:hAnsi="Carlito" w:eastAsia="Carlito"/>
                <w:b/>
                <w:color w:val="C76E00"/>
                <w:sz w:val="21"/>
              </w:rPr>
              <w:t>Claim-language rule</w:t>
            </w:r>
          </w:p>
          <w:p>
            <w:pPr>
              <w:spacing w:after="0"/>
            </w:pPr>
            <w:r>
              <w:rPr>
                <w:rFonts w:ascii="Carlito" w:hAnsi="Carlito" w:eastAsia="Carlito"/>
                <w:color w:val="24303F"/>
                <w:sz w:val="20"/>
              </w:rPr>
              <w:t>Use "cortical cross-species validation" when human PFC and mouse cortex agree. Use "cross-region pathway support" when the mouse evidence comes from hippocampus or whole brain. Do not write "mouse PFC replication" unless the mouse tissue is explicitly frontal or prefrontal cortex.</w:t>
            </w:r>
          </w:p>
        </w:tc>
      </w:tr>
    </w:tbl>
    <w:p>
      <w:pPr>
        <w:spacing w:after="0"/>
      </w:pPr>
    </w:p>
    <w:p>
      <w:pPr>
        <w:pStyle w:val="Heading1"/>
      </w:pPr>
      <w:r>
        <w:t>2. Recommended dataset portfolio</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2062"/>
        <w:gridCol w:w="2062"/>
        <w:gridCol w:w="2062"/>
        <w:gridCol w:w="2062"/>
        <w:gridCol w:w="2062"/>
      </w:tblGrid>
      <w:tr>
        <w:trPr>
          <w:tblHeader w:val="true"/>
          <w:cantSplit/>
        </w:trPr>
        <w:tc>
          <w:tcPr>
            <w:tcW w:type="dxa" w:w="1036"/>
            <w:shd w:fill="17324D"/>
            <w:tcMar>
              <w:top w:w="80" w:type="dxa"/>
              <w:start w:w="80" w:type="dxa"/>
              <w:bottom w:w="80" w:type="dxa"/>
              <w:end w:w="80" w:type="dxa"/>
            </w:tcMar>
            <w:vAlign w:val="center"/>
          </w:tcPr>
          <w:p>
            <w:r>
              <w:rPr>
                <w:rFonts w:ascii="Carlito" w:hAnsi="Carlito" w:eastAsia="Carlito"/>
                <w:b/>
                <w:color w:val="FFFFFF"/>
                <w:sz w:val="16"/>
              </w:rPr>
              <w:t>Role</w:t>
            </w:r>
          </w:p>
        </w:tc>
        <w:tc>
          <w:tcPr>
            <w:tcW w:type="dxa" w:w="1296"/>
            <w:shd w:fill="17324D"/>
            <w:tcMar>
              <w:top w:w="80" w:type="dxa"/>
              <w:start w:w="80" w:type="dxa"/>
              <w:bottom w:w="80" w:type="dxa"/>
              <w:end w:w="80" w:type="dxa"/>
            </w:tcMar>
            <w:vAlign w:val="center"/>
          </w:tcPr>
          <w:p>
            <w:r>
              <w:rPr>
                <w:rFonts w:ascii="Carlito" w:hAnsi="Carlito" w:eastAsia="Carlito"/>
                <w:b/>
                <w:color w:val="FFFFFF"/>
                <w:sz w:val="16"/>
              </w:rPr>
              <w:t>Dataset</w:t>
            </w:r>
          </w:p>
        </w:tc>
        <w:tc>
          <w:tcPr>
            <w:tcW w:type="dxa" w:w="2088"/>
            <w:shd w:fill="17324D"/>
            <w:tcMar>
              <w:top w:w="80" w:type="dxa"/>
              <w:start w:w="80" w:type="dxa"/>
              <w:bottom w:w="80" w:type="dxa"/>
              <w:end w:w="80" w:type="dxa"/>
            </w:tcMar>
            <w:vAlign w:val="center"/>
          </w:tcPr>
          <w:p>
            <w:r>
              <w:rPr>
                <w:rFonts w:ascii="Carlito" w:hAnsi="Carlito" w:eastAsia="Carlito"/>
                <w:b/>
                <w:color w:val="FFFFFF"/>
                <w:sz w:val="16"/>
              </w:rPr>
              <w:t>Tissue and modality</w:t>
            </w:r>
          </w:p>
        </w:tc>
        <w:tc>
          <w:tcPr>
            <w:tcW w:type="dxa" w:w="3384"/>
            <w:shd w:fill="17324D"/>
            <w:tcMar>
              <w:top w:w="80" w:type="dxa"/>
              <w:start w:w="80" w:type="dxa"/>
              <w:bottom w:w="80" w:type="dxa"/>
              <w:end w:w="80" w:type="dxa"/>
            </w:tcMar>
            <w:vAlign w:val="center"/>
          </w:tcPr>
          <w:p>
            <w:r>
              <w:rPr>
                <w:rFonts w:ascii="Carlito" w:hAnsi="Carlito" w:eastAsia="Carlito"/>
                <w:b/>
                <w:color w:val="FFFFFF"/>
                <w:sz w:val="16"/>
              </w:rPr>
              <w:t>What it can test</w:t>
            </w:r>
          </w:p>
        </w:tc>
        <w:tc>
          <w:tcPr>
            <w:tcW w:type="dxa" w:w="2232"/>
            <w:shd w:fill="17324D"/>
            <w:tcMar>
              <w:top w:w="80" w:type="dxa"/>
              <w:start w:w="80" w:type="dxa"/>
              <w:bottom w:w="80" w:type="dxa"/>
              <w:end w:w="80" w:type="dxa"/>
            </w:tcMar>
            <w:vAlign w:val="center"/>
          </w:tcPr>
          <w:p>
            <w:r>
              <w:rPr>
                <w:rFonts w:ascii="Carlito" w:hAnsi="Carlito" w:eastAsia="Carlito"/>
                <w:b/>
                <w:color w:val="FFFFFF"/>
                <w:sz w:val="16"/>
              </w:rPr>
              <w:t>Main limitation</w:t>
            </w:r>
          </w:p>
        </w:tc>
      </w:tr>
      <w:tr>
        <w:trPr>
          <w:cantSplit/>
        </w:trPr>
        <w:tc>
          <w:tcPr>
            <w:tcW w:type="dxa" w:w="1036"/>
            <w:tcMar>
              <w:top w:w="75" w:type="dxa"/>
              <w:start w:w="75" w:type="dxa"/>
              <w:bottom w:w="75" w:type="dxa"/>
              <w:end w:w="75" w:type="dxa"/>
            </w:tcMar>
            <w:vAlign w:val="top"/>
          </w:tcPr>
          <w:p>
            <w:r>
              <w:rPr>
                <w:rFonts w:ascii="Carlito" w:hAnsi="Carlito" w:eastAsia="Carlito"/>
                <w:b/>
                <w:color w:val="24303F"/>
                <w:sz w:val="16"/>
              </w:rPr>
              <w:t>Core 1</w:t>
            </w:r>
          </w:p>
        </w:tc>
        <w:tc>
          <w:tcPr>
            <w:tcW w:type="dxa" w:w="1296"/>
            <w:tcMar>
              <w:top w:w="75" w:type="dxa"/>
              <w:start w:w="75" w:type="dxa"/>
              <w:bottom w:w="75" w:type="dxa"/>
              <w:end w:w="75" w:type="dxa"/>
            </w:tcMar>
            <w:vAlign w:val="top"/>
          </w:tcPr>
          <w:p>
            <w:r>
              <w:rPr>
                <w:rFonts w:ascii="Carlito" w:hAnsi="Carlito" w:eastAsia="Carlito"/>
                <w:b w:val="0"/>
                <w:color w:val="24303F"/>
                <w:sz w:val="16"/>
              </w:rPr>
              <w:t>GSE241553</w:t>
            </w:r>
          </w:p>
        </w:tc>
        <w:tc>
          <w:tcPr>
            <w:tcW w:type="dxa" w:w="2088"/>
            <w:tcMar>
              <w:top w:w="75" w:type="dxa"/>
              <w:start w:w="75" w:type="dxa"/>
              <w:bottom w:w="75" w:type="dxa"/>
              <w:end w:w="75" w:type="dxa"/>
            </w:tcMar>
            <w:vAlign w:val="top"/>
          </w:tcPr>
          <w:p>
            <w:r>
              <w:rPr>
                <w:rFonts w:ascii="Carlito" w:hAnsi="Carlito" w:eastAsia="Carlito"/>
                <w:b w:val="0"/>
                <w:color w:val="24303F"/>
                <w:sz w:val="16"/>
              </w:rPr>
              <w:t>Cortex; scRNA-seq</w:t>
            </w:r>
          </w:p>
        </w:tc>
        <w:tc>
          <w:tcPr>
            <w:tcW w:type="dxa" w:w="3384"/>
            <w:tcMar>
              <w:top w:w="75" w:type="dxa"/>
              <w:start w:w="75" w:type="dxa"/>
              <w:bottom w:w="75" w:type="dxa"/>
              <w:end w:w="75" w:type="dxa"/>
            </w:tcMar>
            <w:vAlign w:val="top"/>
          </w:tcPr>
          <w:p>
            <w:r>
              <w:rPr>
                <w:rFonts w:ascii="Carlito" w:hAnsi="Carlito" w:eastAsia="Carlito"/>
                <w:b w:val="0"/>
                <w:color w:val="24303F"/>
                <w:sz w:val="16"/>
              </w:rPr>
              <w:t>APOE3 versus APOE4, female versus male, within an amyloid-model setting</w:t>
            </w:r>
          </w:p>
        </w:tc>
        <w:tc>
          <w:tcPr>
            <w:tcW w:type="dxa" w:w="2232"/>
            <w:tcMar>
              <w:top w:w="75" w:type="dxa"/>
              <w:start w:w="75" w:type="dxa"/>
              <w:bottom w:w="75" w:type="dxa"/>
              <w:end w:w="75" w:type="dxa"/>
            </w:tcMar>
            <w:vAlign w:val="top"/>
          </w:tcPr>
          <w:p>
            <w:r>
              <w:rPr>
                <w:rFonts w:ascii="Carlito" w:hAnsi="Carlito" w:eastAsia="Carlito"/>
                <w:b w:val="0"/>
                <w:color w:val="24303F"/>
                <w:sz w:val="16"/>
              </w:rPr>
              <w:t>No matched non-AD group; APOE is conditionally expressed mainly in microglia/CAMs; not explicitly PFC</w:t>
            </w:r>
          </w:p>
        </w:tc>
      </w:tr>
      <w:tr>
        <w:trPr>
          <w:cantSplit/>
        </w:trPr>
        <w:tc>
          <w:tcPr>
            <w:tcW w:type="dxa" w:w="1036"/>
            <w:tcMar>
              <w:top w:w="75" w:type="dxa"/>
              <w:start w:w="75" w:type="dxa"/>
              <w:bottom w:w="75" w:type="dxa"/>
              <w:end w:w="75" w:type="dxa"/>
            </w:tcMar>
            <w:vAlign w:val="top"/>
            <w:shd w:fill="F3F5F7"/>
          </w:tcPr>
          <w:p>
            <w:r>
              <w:rPr>
                <w:rFonts w:ascii="Carlito" w:hAnsi="Carlito" w:eastAsia="Carlito"/>
                <w:b/>
                <w:color w:val="24303F"/>
                <w:sz w:val="16"/>
              </w:rPr>
              <w:t>Core 2</w:t>
            </w:r>
          </w:p>
        </w:tc>
        <w:tc>
          <w:tcPr>
            <w:tcW w:type="dxa" w:w="1296"/>
            <w:tcMar>
              <w:top w:w="75" w:type="dxa"/>
              <w:start w:w="75" w:type="dxa"/>
              <w:bottom w:w="75" w:type="dxa"/>
              <w:end w:w="75" w:type="dxa"/>
            </w:tcMar>
            <w:vAlign w:val="top"/>
            <w:shd w:fill="F3F5F7"/>
          </w:tcPr>
          <w:p>
            <w:r>
              <w:rPr>
                <w:rFonts w:ascii="Carlito" w:hAnsi="Carlito" w:eastAsia="Carlito"/>
                <w:b w:val="0"/>
                <w:color w:val="24303F"/>
                <w:sz w:val="16"/>
              </w:rPr>
              <w:t>GSE185063</w:t>
            </w:r>
          </w:p>
        </w:tc>
        <w:tc>
          <w:tcPr>
            <w:tcW w:type="dxa" w:w="2088"/>
            <w:tcMar>
              <w:top w:w="75" w:type="dxa"/>
              <w:start w:w="75" w:type="dxa"/>
              <w:bottom w:w="75" w:type="dxa"/>
              <w:end w:w="75" w:type="dxa"/>
            </w:tcMar>
            <w:vAlign w:val="top"/>
            <w:shd w:fill="F3F5F7"/>
          </w:tcPr>
          <w:p>
            <w:r>
              <w:rPr>
                <w:rFonts w:ascii="Carlito" w:hAnsi="Carlito" w:eastAsia="Carlito"/>
                <w:b w:val="0"/>
                <w:color w:val="24303F"/>
                <w:sz w:val="16"/>
              </w:rPr>
              <w:t>Cortical mantle; snRNA-seq</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APOE3 versus APOE4 across neurons, glia, and vascular cells; age effects</w:t>
            </w:r>
          </w:p>
        </w:tc>
        <w:tc>
          <w:tcPr>
            <w:tcW w:type="dxa" w:w="2232"/>
            <w:tcMar>
              <w:top w:w="75" w:type="dxa"/>
              <w:start w:w="75" w:type="dxa"/>
              <w:bottom w:w="75" w:type="dxa"/>
              <w:end w:w="75" w:type="dxa"/>
            </w:tcMar>
            <w:vAlign w:val="top"/>
            <w:shd w:fill="F3F5F7"/>
          </w:tcPr>
          <w:p>
            <w:r>
              <w:rPr>
                <w:rFonts w:ascii="Carlito" w:hAnsi="Carlito" w:eastAsia="Carlito"/>
                <w:b w:val="0"/>
                <w:color w:val="24303F"/>
                <w:sz w:val="16"/>
              </w:rPr>
              <w:t>No AD background; public sample-to-sex mapping requires verification</w:t>
            </w:r>
          </w:p>
        </w:tc>
      </w:tr>
      <w:tr>
        <w:trPr>
          <w:cantSplit/>
        </w:trPr>
        <w:tc>
          <w:tcPr>
            <w:tcW w:type="dxa" w:w="1036"/>
            <w:tcMar>
              <w:top w:w="75" w:type="dxa"/>
              <w:start w:w="75" w:type="dxa"/>
              <w:bottom w:w="75" w:type="dxa"/>
              <w:end w:w="75" w:type="dxa"/>
            </w:tcMar>
            <w:vAlign w:val="top"/>
          </w:tcPr>
          <w:p>
            <w:r>
              <w:rPr>
                <w:rFonts w:ascii="Carlito" w:hAnsi="Carlito" w:eastAsia="Carlito"/>
                <w:b/>
                <w:color w:val="24303F"/>
                <w:sz w:val="16"/>
              </w:rPr>
              <w:t>Core 3</w:t>
            </w:r>
          </w:p>
        </w:tc>
        <w:tc>
          <w:tcPr>
            <w:tcW w:type="dxa" w:w="1296"/>
            <w:tcMar>
              <w:top w:w="75" w:type="dxa"/>
              <w:start w:w="75" w:type="dxa"/>
              <w:bottom w:w="75" w:type="dxa"/>
              <w:end w:w="75" w:type="dxa"/>
            </w:tcMar>
            <w:vAlign w:val="top"/>
          </w:tcPr>
          <w:p>
            <w:r>
              <w:rPr>
                <w:rFonts w:ascii="Carlito" w:hAnsi="Carlito" w:eastAsia="Carlito"/>
                <w:b w:val="0"/>
                <w:color w:val="24303F"/>
                <w:sz w:val="16"/>
              </w:rPr>
              <w:t>GSE163857</w:t>
            </w:r>
          </w:p>
        </w:tc>
        <w:tc>
          <w:tcPr>
            <w:tcW w:type="dxa" w:w="2088"/>
            <w:tcMar>
              <w:top w:w="75" w:type="dxa"/>
              <w:start w:w="75" w:type="dxa"/>
              <w:bottom w:w="75" w:type="dxa"/>
              <w:end w:w="75" w:type="dxa"/>
            </w:tcMar>
            <w:vAlign w:val="top"/>
          </w:tcPr>
          <w:p>
            <w:r>
              <w:rPr>
                <w:rFonts w:ascii="Carlito" w:hAnsi="Carlito" w:eastAsia="Carlito"/>
                <w:b w:val="0"/>
                <w:color w:val="24303F"/>
                <w:sz w:val="16"/>
              </w:rPr>
              <w:t>Sorted brain microglia; bulk RNA-seq</w:t>
            </w:r>
          </w:p>
        </w:tc>
        <w:tc>
          <w:tcPr>
            <w:tcW w:type="dxa" w:w="3384"/>
            <w:tcMar>
              <w:top w:w="75" w:type="dxa"/>
              <w:start w:w="75" w:type="dxa"/>
              <w:bottom w:w="75" w:type="dxa"/>
              <w:end w:w="75" w:type="dxa"/>
            </w:tcMar>
            <w:vAlign w:val="top"/>
          </w:tcPr>
          <w:p>
            <w:r>
              <w:rPr>
                <w:rFonts w:ascii="Carlito" w:hAnsi="Carlito" w:eastAsia="Carlito"/>
                <w:b w:val="0"/>
                <w:color w:val="24303F"/>
                <w:sz w:val="16"/>
              </w:rPr>
              <w:t>Complete APOE x sex x disease design</w:t>
            </w:r>
          </w:p>
        </w:tc>
        <w:tc>
          <w:tcPr>
            <w:tcW w:type="dxa" w:w="2232"/>
            <w:tcMar>
              <w:top w:w="75" w:type="dxa"/>
              <w:start w:w="75" w:type="dxa"/>
              <w:bottom w:w="75" w:type="dxa"/>
              <w:end w:w="75" w:type="dxa"/>
            </w:tcMar>
            <w:vAlign w:val="top"/>
          </w:tcPr>
          <w:p>
            <w:r>
              <w:rPr>
                <w:rFonts w:ascii="Carlito" w:hAnsi="Carlito" w:eastAsia="Carlito"/>
                <w:b w:val="0"/>
                <w:color w:val="24303F"/>
                <w:sz w:val="16"/>
              </w:rPr>
              <w:t>Not cortex-specific; bulk rather than single-cell; small control groups</w:t>
            </w:r>
          </w:p>
        </w:tc>
      </w:tr>
      <w:tr>
        <w:trPr>
          <w:cantSplit/>
        </w:trPr>
        <w:tc>
          <w:tcPr>
            <w:tcW w:type="dxa" w:w="1036"/>
            <w:tcMar>
              <w:top w:w="75" w:type="dxa"/>
              <w:start w:w="75" w:type="dxa"/>
              <w:bottom w:w="75" w:type="dxa"/>
              <w:end w:w="75" w:type="dxa"/>
            </w:tcMar>
            <w:vAlign w:val="top"/>
            <w:shd w:fill="F3F5F7"/>
          </w:tcPr>
          <w:p>
            <w:r>
              <w:rPr>
                <w:rFonts w:ascii="Carlito" w:hAnsi="Carlito" w:eastAsia="Carlito"/>
                <w:b/>
                <w:color w:val="24303F"/>
                <w:sz w:val="16"/>
              </w:rPr>
              <w:t>Optional</w:t>
            </w:r>
          </w:p>
        </w:tc>
        <w:tc>
          <w:tcPr>
            <w:tcW w:type="dxa" w:w="1296"/>
            <w:tcMar>
              <w:top w:w="75" w:type="dxa"/>
              <w:start w:w="75" w:type="dxa"/>
              <w:bottom w:w="75" w:type="dxa"/>
              <w:end w:w="75" w:type="dxa"/>
            </w:tcMar>
            <w:vAlign w:val="top"/>
            <w:shd w:fill="F3F5F7"/>
          </w:tcPr>
          <w:p>
            <w:r>
              <w:rPr>
                <w:rFonts w:ascii="Carlito" w:hAnsi="Carlito" w:eastAsia="Carlito"/>
                <w:b w:val="0"/>
                <w:color w:val="24303F"/>
                <w:sz w:val="16"/>
              </w:rPr>
              <w:t>GSE140399</w:t>
            </w:r>
          </w:p>
        </w:tc>
        <w:tc>
          <w:tcPr>
            <w:tcW w:type="dxa" w:w="2088"/>
            <w:tcMar>
              <w:top w:w="75" w:type="dxa"/>
              <w:start w:w="75" w:type="dxa"/>
              <w:bottom w:w="75" w:type="dxa"/>
              <w:end w:w="75" w:type="dxa"/>
            </w:tcMar>
            <w:vAlign w:val="top"/>
            <w:shd w:fill="F3F5F7"/>
          </w:tcPr>
          <w:p>
            <w:r>
              <w:rPr>
                <w:rFonts w:ascii="Carlito" w:hAnsi="Carlito" w:eastAsia="Carlito"/>
                <w:b w:val="0"/>
                <w:color w:val="24303F"/>
                <w:sz w:val="16"/>
              </w:rPr>
              <w:t>Cortex and hippocampus; snRNA-seq</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AD-versus-control direction and TREM2 dependence</w:t>
            </w:r>
          </w:p>
        </w:tc>
        <w:tc>
          <w:tcPr>
            <w:tcW w:type="dxa" w:w="2232"/>
            <w:tcMar>
              <w:top w:w="75" w:type="dxa"/>
              <w:start w:w="75" w:type="dxa"/>
              <w:bottom w:w="75" w:type="dxa"/>
              <w:end w:w="75" w:type="dxa"/>
            </w:tcMar>
            <w:vAlign w:val="top"/>
            <w:shd w:fill="F3F5F7"/>
          </w:tcPr>
          <w:p>
            <w:r>
              <w:rPr>
                <w:rFonts w:ascii="Carlito" w:hAnsi="Carlito" w:eastAsia="Carlito"/>
                <w:b w:val="0"/>
                <w:color w:val="24303F"/>
                <w:sz w:val="16"/>
              </w:rPr>
              <w:t>Three mice per genotype were pooled into one sequencing sample</w:t>
            </w:r>
          </w:p>
        </w:tc>
      </w:tr>
      <w:tr>
        <w:trPr>
          <w:cantSplit/>
        </w:trPr>
        <w:tc>
          <w:tcPr>
            <w:tcW w:type="dxa" w:w="1036"/>
            <w:tcMar>
              <w:top w:w="75" w:type="dxa"/>
              <w:start w:w="75" w:type="dxa"/>
              <w:bottom w:w="75" w:type="dxa"/>
              <w:end w:w="75" w:type="dxa"/>
            </w:tcMar>
            <w:vAlign w:val="top"/>
          </w:tcPr>
          <w:p>
            <w:r>
              <w:rPr>
                <w:rFonts w:ascii="Carlito" w:hAnsi="Carlito" w:eastAsia="Carlito"/>
                <w:b/>
                <w:color w:val="24303F"/>
                <w:sz w:val="16"/>
              </w:rPr>
              <w:t>Optional alternative</w:t>
            </w:r>
          </w:p>
        </w:tc>
        <w:tc>
          <w:tcPr>
            <w:tcW w:type="dxa" w:w="1296"/>
            <w:tcMar>
              <w:top w:w="75" w:type="dxa"/>
              <w:start w:w="75" w:type="dxa"/>
              <w:bottom w:w="75" w:type="dxa"/>
              <w:end w:w="75" w:type="dxa"/>
            </w:tcMar>
            <w:vAlign w:val="top"/>
          </w:tcPr>
          <w:p>
            <w:r>
              <w:rPr>
                <w:rFonts w:ascii="Carlito" w:hAnsi="Carlito" w:eastAsia="Carlito"/>
                <w:b w:val="0"/>
                <w:color w:val="24303F"/>
                <w:sz w:val="16"/>
              </w:rPr>
              <w:t>GSE140510</w:t>
            </w:r>
          </w:p>
        </w:tc>
        <w:tc>
          <w:tcPr>
            <w:tcW w:type="dxa" w:w="2088"/>
            <w:tcMar>
              <w:top w:w="75" w:type="dxa"/>
              <w:start w:w="75" w:type="dxa"/>
              <w:bottom w:w="75" w:type="dxa"/>
              <w:end w:w="75" w:type="dxa"/>
            </w:tcMar>
            <w:vAlign w:val="top"/>
          </w:tcPr>
          <w:p>
            <w:r>
              <w:rPr>
                <w:rFonts w:ascii="Carlito" w:hAnsi="Carlito" w:eastAsia="Carlito"/>
                <w:b w:val="0"/>
                <w:color w:val="24303F"/>
                <w:sz w:val="16"/>
              </w:rPr>
              <w:t>Mouse brain; snRNA-seq</w:t>
            </w:r>
          </w:p>
        </w:tc>
        <w:tc>
          <w:tcPr>
            <w:tcW w:type="dxa" w:w="3384"/>
            <w:tcMar>
              <w:top w:w="75" w:type="dxa"/>
              <w:start w:w="75" w:type="dxa"/>
              <w:bottom w:w="75" w:type="dxa"/>
              <w:end w:w="75" w:type="dxa"/>
            </w:tcMar>
            <w:vAlign w:val="top"/>
          </w:tcPr>
          <w:p>
            <w:r>
              <w:rPr>
                <w:rFonts w:ascii="Carlito" w:hAnsi="Carlito" w:eastAsia="Carlito"/>
                <w:b w:val="0"/>
                <w:color w:val="24303F"/>
                <w:sz w:val="16"/>
              </w:rPr>
              <w:t>AD-versus-control direction with three independent mice per genotype</w:t>
            </w:r>
          </w:p>
        </w:tc>
        <w:tc>
          <w:tcPr>
            <w:tcW w:type="dxa" w:w="2232"/>
            <w:tcMar>
              <w:top w:w="75" w:type="dxa"/>
              <w:start w:w="75" w:type="dxa"/>
              <w:bottom w:w="75" w:type="dxa"/>
              <w:end w:w="75" w:type="dxa"/>
            </w:tcMar>
            <w:vAlign w:val="top"/>
          </w:tcPr>
          <w:p>
            <w:r>
              <w:rPr>
                <w:rFonts w:ascii="Carlito" w:hAnsi="Carlito" w:eastAsia="Carlito"/>
                <w:b w:val="0"/>
                <w:color w:val="24303F"/>
                <w:sz w:val="16"/>
              </w:rPr>
              <w:t>Not cortex-specific and no APOE3/4 factor</w:t>
            </w:r>
          </w:p>
        </w:tc>
      </w:tr>
      <w:tr>
        <w:trPr>
          <w:cantSplit/>
        </w:trPr>
        <w:tc>
          <w:tcPr>
            <w:tcW w:type="dxa" w:w="1036"/>
            <w:tcMar>
              <w:top w:w="75" w:type="dxa"/>
              <w:start w:w="75" w:type="dxa"/>
              <w:bottom w:w="75" w:type="dxa"/>
              <w:end w:w="75" w:type="dxa"/>
            </w:tcMar>
            <w:vAlign w:val="top"/>
            <w:shd w:fill="F3F5F7"/>
          </w:tcPr>
          <w:p>
            <w:r>
              <w:rPr>
                <w:rFonts w:ascii="Carlito" w:hAnsi="Carlito" w:eastAsia="Carlito"/>
                <w:b/>
                <w:color w:val="24303F"/>
                <w:sz w:val="16"/>
              </w:rPr>
              <w:t>Secondary</w:t>
            </w:r>
          </w:p>
        </w:tc>
        <w:tc>
          <w:tcPr>
            <w:tcW w:type="dxa" w:w="1296"/>
            <w:tcMar>
              <w:top w:w="75" w:type="dxa"/>
              <w:start w:w="75" w:type="dxa"/>
              <w:bottom w:w="75" w:type="dxa"/>
              <w:end w:w="75" w:type="dxa"/>
            </w:tcMar>
            <w:vAlign w:val="top"/>
            <w:shd w:fill="F3F5F7"/>
          </w:tcPr>
          <w:p>
            <w:r>
              <w:rPr>
                <w:rFonts w:ascii="Carlito" w:hAnsi="Carlito" w:eastAsia="Carlito"/>
                <w:b w:val="0"/>
                <w:color w:val="24303F"/>
                <w:sz w:val="16"/>
              </w:rPr>
              <w:t>GSE143758</w:t>
            </w:r>
          </w:p>
        </w:tc>
        <w:tc>
          <w:tcPr>
            <w:tcW w:type="dxa" w:w="2088"/>
            <w:tcMar>
              <w:top w:w="75" w:type="dxa"/>
              <w:start w:w="75" w:type="dxa"/>
              <w:bottom w:w="75" w:type="dxa"/>
              <w:end w:w="75" w:type="dxa"/>
            </w:tcMar>
            <w:vAlign w:val="top"/>
            <w:shd w:fill="F3F5F7"/>
          </w:tcPr>
          <w:p>
            <w:r>
              <w:rPr>
                <w:rFonts w:ascii="Carlito" w:hAnsi="Carlito" w:eastAsia="Carlito"/>
                <w:b w:val="0"/>
                <w:color w:val="24303F"/>
                <w:sz w:val="16"/>
              </w:rPr>
              <w:t>Main atlas: hippocampus; small cortex astrocyte subset</w:t>
            </w:r>
          </w:p>
        </w:tc>
        <w:tc>
          <w:tcPr>
            <w:tcW w:type="dxa" w:w="3384"/>
            <w:tcMar>
              <w:top w:w="75" w:type="dxa"/>
              <w:start w:w="75" w:type="dxa"/>
              <w:bottom w:w="75" w:type="dxa"/>
              <w:end w:w="75" w:type="dxa"/>
            </w:tcMar>
            <w:vAlign w:val="top"/>
            <w:shd w:fill="F3F5F7"/>
          </w:tcPr>
          <w:p>
            <w:r>
              <w:rPr>
                <w:rFonts w:ascii="Carlito" w:hAnsi="Carlito" w:eastAsia="Carlito"/>
                <w:b w:val="0"/>
                <w:color w:val="24303F"/>
                <w:sz w:val="16"/>
              </w:rPr>
              <w:t>5xFAD disease, age, astrocyte states, and cross-region support</w:t>
            </w:r>
          </w:p>
        </w:tc>
        <w:tc>
          <w:tcPr>
            <w:tcW w:type="dxa" w:w="2232"/>
            <w:tcMar>
              <w:top w:w="75" w:type="dxa"/>
              <w:start w:w="75" w:type="dxa"/>
              <w:bottom w:w="75" w:type="dxa"/>
              <w:end w:w="75" w:type="dxa"/>
            </w:tcMar>
            <w:vAlign w:val="top"/>
            <w:shd w:fill="F3F5F7"/>
          </w:tcPr>
          <w:p>
            <w:r>
              <w:rPr>
                <w:rFonts w:ascii="Carlito" w:hAnsi="Carlito" w:eastAsia="Carlito"/>
                <w:b w:val="0"/>
                <w:color w:val="24303F"/>
                <w:sz w:val="16"/>
              </w:rPr>
              <w:t>No human APOE factor; cortical subset is too small for strong inference</w:t>
            </w:r>
          </w:p>
        </w:tc>
      </w:tr>
      <w:tr>
        <w:trPr>
          <w:cantSplit/>
        </w:trPr>
        <w:tc>
          <w:tcPr>
            <w:tcW w:type="dxa" w:w="1036"/>
            <w:tcMar>
              <w:top w:w="75" w:type="dxa"/>
              <w:start w:w="75" w:type="dxa"/>
              <w:bottom w:w="75" w:type="dxa"/>
              <w:end w:w="75" w:type="dxa"/>
            </w:tcMar>
            <w:vAlign w:val="top"/>
          </w:tcPr>
          <w:p>
            <w:r>
              <w:rPr>
                <w:rFonts w:ascii="Carlito" w:hAnsi="Carlito" w:eastAsia="Carlito"/>
                <w:b/>
                <w:color w:val="24303F"/>
                <w:sz w:val="16"/>
              </w:rPr>
              <w:t>Specialized</w:t>
            </w:r>
          </w:p>
        </w:tc>
        <w:tc>
          <w:tcPr>
            <w:tcW w:type="dxa" w:w="1296"/>
            <w:tcMar>
              <w:top w:w="75" w:type="dxa"/>
              <w:start w:w="75" w:type="dxa"/>
              <w:bottom w:w="75" w:type="dxa"/>
              <w:end w:w="75" w:type="dxa"/>
            </w:tcMar>
            <w:vAlign w:val="top"/>
          </w:tcPr>
          <w:p>
            <w:r>
              <w:rPr>
                <w:rFonts w:ascii="Carlito" w:hAnsi="Carlito" w:eastAsia="Carlito"/>
                <w:b w:val="0"/>
                <w:color w:val="24303F"/>
                <w:sz w:val="16"/>
              </w:rPr>
              <w:t>GSE225503</w:t>
            </w:r>
          </w:p>
        </w:tc>
        <w:tc>
          <w:tcPr>
            <w:tcW w:type="dxa" w:w="2088"/>
            <w:tcMar>
              <w:top w:w="75" w:type="dxa"/>
              <w:start w:w="75" w:type="dxa"/>
              <w:bottom w:w="75" w:type="dxa"/>
              <w:end w:w="75" w:type="dxa"/>
            </w:tcMar>
            <w:vAlign w:val="top"/>
          </w:tcPr>
          <w:p>
            <w:r>
              <w:rPr>
                <w:rFonts w:ascii="Carlito" w:hAnsi="Carlito" w:eastAsia="Carlito"/>
                <w:b w:val="0"/>
                <w:color w:val="24303F"/>
                <w:sz w:val="16"/>
              </w:rPr>
              <w:t>Cortical and hippocampal CD45+ cells; scRNA/multiome</w:t>
            </w:r>
          </w:p>
        </w:tc>
        <w:tc>
          <w:tcPr>
            <w:tcW w:type="dxa" w:w="3384"/>
            <w:tcMar>
              <w:top w:w="75" w:type="dxa"/>
              <w:start w:w="75" w:type="dxa"/>
              <w:bottom w:w="75" w:type="dxa"/>
              <w:end w:w="75" w:type="dxa"/>
            </w:tcMar>
            <w:vAlign w:val="top"/>
          </w:tcPr>
          <w:p>
            <w:r>
              <w:rPr>
                <w:rFonts w:ascii="Carlito" w:hAnsi="Carlito" w:eastAsia="Carlito"/>
                <w:b w:val="0"/>
                <w:color w:val="24303F"/>
                <w:sz w:val="16"/>
              </w:rPr>
              <w:t>APOE2/3/4 and immune-cell aging on 5xFAD background</w:t>
            </w:r>
          </w:p>
        </w:tc>
        <w:tc>
          <w:tcPr>
            <w:tcW w:type="dxa" w:w="2232"/>
            <w:tcMar>
              <w:top w:w="75" w:type="dxa"/>
              <w:start w:w="75" w:type="dxa"/>
              <w:bottom w:w="75" w:type="dxa"/>
              <w:end w:w="75" w:type="dxa"/>
            </w:tcMar>
            <w:vAlign w:val="top"/>
          </w:tcPr>
          <w:p>
            <w:r>
              <w:rPr>
                <w:rFonts w:ascii="Carlito" w:hAnsi="Carlito" w:eastAsia="Carlito"/>
                <w:b w:val="0"/>
                <w:color w:val="24303F"/>
                <w:sz w:val="16"/>
              </w:rPr>
              <w:t>No non-AD group; region and mouse-level metadata must be audited</w:t>
            </w:r>
          </w:p>
        </w:tc>
      </w:tr>
    </w:tbl>
    <w:p>
      <w:pPr>
        <w:spacing w:after="0"/>
      </w:pPr>
    </w:p>
    <w:p>
      <w:pPr>
        <w:pStyle w:val="Heading1"/>
      </w:pPr>
      <w:r>
        <w:t>3. The three core datasets</w:t>
      </w:r>
    </w:p>
    <w:p>
      <w:pPr>
        <w:pStyle w:val="Heading2"/>
      </w:pPr>
      <w:hyperlink r:id="rId13">
        <w:r>
          <w:rPr>
            <w:rFonts w:ascii="Carlito" w:hAnsi="Carlito"/>
            <w:color w:val="1F7A8C"/>
            <w:b/>
            <w:sz w:val="27"/>
            <w:szCs w:val="27"/>
          </w:rPr>
          <w:t>GSE241553</w:t>
        </w:r>
      </w:hyperlink>
      <w:r>
        <w:rPr>
          <w:rFonts w:ascii="Carlito" w:hAnsi="Carlito" w:eastAsia="Carlito"/>
          <w:b/>
          <w:color w:val="1F7A8C"/>
          <w:sz w:val="27"/>
        </w:rPr>
        <w:t xml:space="preserve"> - cortical APOE-by-sex anchor</w:t>
      </w:r>
    </w:p>
    <w:p>
      <w:r>
        <w:rPr>
          <w:rFonts w:ascii="Carlito" w:hAnsi="Carlito" w:eastAsia="Carlito"/>
        </w:rPr>
        <w:t>GEO describes 24 cortical single-cell samples from an amyloid-model mouse cohort. There are four groups with six mice per group, balanced as three females and three males. The groups compare control versus tamoxifen-induced APOE3 or APOE4 expression in microglia and CNS-associated macrophages.</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1718"/>
        <w:gridCol w:w="1718"/>
        <w:gridCol w:w="1718"/>
        <w:gridCol w:w="1718"/>
        <w:gridCol w:w="1718"/>
        <w:gridCol w:w="1718"/>
      </w:tblGrid>
      <w:tr>
        <w:trPr>
          <w:tblHeader w:val="true"/>
          <w:cantSplit/>
        </w:trPr>
        <w:tc>
          <w:tcPr>
            <w:tcW w:type="dxa" w:w="1584"/>
            <w:shd w:fill="17324D"/>
            <w:tcMar>
              <w:top w:w="80" w:type="dxa"/>
              <w:start w:w="80" w:type="dxa"/>
              <w:bottom w:w="80" w:type="dxa"/>
              <w:end w:w="80" w:type="dxa"/>
            </w:tcMar>
            <w:vAlign w:val="center"/>
          </w:tcPr>
          <w:p>
            <w:r>
              <w:rPr>
                <w:rFonts w:ascii="Carlito" w:hAnsi="Carlito" w:eastAsia="Carlito"/>
                <w:b/>
                <w:color w:val="FFFFFF"/>
                <w:sz w:val="17"/>
              </w:rPr>
              <w:t>Group</w:t>
            </w:r>
          </w:p>
        </w:tc>
        <w:tc>
          <w:tcPr>
            <w:tcW w:type="dxa" w:w="1440"/>
            <w:shd w:fill="17324D"/>
            <w:tcMar>
              <w:top w:w="80" w:type="dxa"/>
              <w:start w:w="80" w:type="dxa"/>
              <w:bottom w:w="80" w:type="dxa"/>
              <w:end w:w="80" w:type="dxa"/>
            </w:tcMar>
            <w:vAlign w:val="center"/>
          </w:tcPr>
          <w:p>
            <w:r>
              <w:rPr>
                <w:rFonts w:ascii="Carlito" w:hAnsi="Carlito" w:eastAsia="Carlito"/>
                <w:b/>
                <w:color w:val="FFFFFF"/>
                <w:sz w:val="17"/>
              </w:rPr>
              <w:t>APOE line</w:t>
            </w:r>
          </w:p>
        </w:tc>
        <w:tc>
          <w:tcPr>
            <w:tcW w:type="dxa" w:w="1296"/>
            <w:shd w:fill="17324D"/>
            <w:tcMar>
              <w:top w:w="80" w:type="dxa"/>
              <w:start w:w="80" w:type="dxa"/>
              <w:bottom w:w="80" w:type="dxa"/>
              <w:end w:w="80" w:type="dxa"/>
            </w:tcMar>
            <w:vAlign w:val="center"/>
          </w:tcPr>
          <w:p>
            <w:r>
              <w:rPr>
                <w:rFonts w:ascii="Carlito" w:hAnsi="Carlito" w:eastAsia="Carlito"/>
                <w:b/>
                <w:color w:val="FFFFFF"/>
                <w:sz w:val="17"/>
              </w:rPr>
              <w:t>Induction</w:t>
            </w:r>
          </w:p>
        </w:tc>
        <w:tc>
          <w:tcPr>
            <w:tcW w:type="dxa" w:w="1440"/>
            <w:shd w:fill="17324D"/>
            <w:tcMar>
              <w:top w:w="80" w:type="dxa"/>
              <w:start w:w="80" w:type="dxa"/>
              <w:bottom w:w="80" w:type="dxa"/>
              <w:end w:w="80" w:type="dxa"/>
            </w:tcMar>
            <w:vAlign w:val="center"/>
          </w:tcPr>
          <w:p>
            <w:r>
              <w:rPr>
                <w:rFonts w:ascii="Carlito" w:hAnsi="Carlito" w:eastAsia="Carlito"/>
                <w:b/>
                <w:color w:val="FFFFFF"/>
                <w:sz w:val="17"/>
              </w:rPr>
              <w:t>Female mice</w:t>
            </w:r>
          </w:p>
        </w:tc>
        <w:tc>
          <w:tcPr>
            <w:tcW w:type="dxa" w:w="1440"/>
            <w:shd w:fill="17324D"/>
            <w:tcMar>
              <w:top w:w="80" w:type="dxa"/>
              <w:start w:w="80" w:type="dxa"/>
              <w:bottom w:w="80" w:type="dxa"/>
              <w:end w:w="80" w:type="dxa"/>
            </w:tcMar>
            <w:vAlign w:val="center"/>
          </w:tcPr>
          <w:p>
            <w:r>
              <w:rPr>
                <w:rFonts w:ascii="Carlito" w:hAnsi="Carlito" w:eastAsia="Carlito"/>
                <w:b/>
                <w:color w:val="FFFFFF"/>
                <w:sz w:val="17"/>
              </w:rPr>
              <w:t>Male mice</w:t>
            </w:r>
          </w:p>
        </w:tc>
        <w:tc>
          <w:tcPr>
            <w:tcW w:type="dxa" w:w="1007"/>
            <w:shd w:fill="17324D"/>
            <w:tcMar>
              <w:top w:w="80" w:type="dxa"/>
              <w:start w:w="80" w:type="dxa"/>
              <w:bottom w:w="80" w:type="dxa"/>
              <w:end w:w="80" w:type="dxa"/>
            </w:tcMar>
            <w:vAlign w:val="center"/>
          </w:tcPr>
          <w:p>
            <w:r>
              <w:rPr>
                <w:rFonts w:ascii="Carlito" w:hAnsi="Carlito" w:eastAsia="Carlito"/>
                <w:b/>
                <w:color w:val="FFFFFF"/>
                <w:sz w:val="17"/>
              </w:rPr>
              <w:t>Total</w:t>
            </w:r>
          </w:p>
        </w:tc>
      </w:tr>
      <w:tr>
        <w:trPr>
          <w:cantSplit/>
        </w:trPr>
        <w:tc>
          <w:tcPr>
            <w:tcW w:type="dxa" w:w="1584"/>
            <w:tcMar>
              <w:top w:w="75" w:type="dxa"/>
              <w:start w:w="75" w:type="dxa"/>
              <w:bottom w:w="75" w:type="dxa"/>
              <w:end w:w="75" w:type="dxa"/>
            </w:tcMar>
            <w:vAlign w:val="top"/>
          </w:tcPr>
          <w:p>
            <w:r>
              <w:rPr>
                <w:rFonts w:ascii="Carlito" w:hAnsi="Carlito" w:eastAsia="Carlito"/>
                <w:b w:val="0"/>
                <w:color w:val="24303F"/>
                <w:sz w:val="17"/>
              </w:rPr>
              <w:t>E3 control</w:t>
            </w:r>
          </w:p>
        </w:tc>
        <w:tc>
          <w:tcPr>
            <w:tcW w:type="dxa" w:w="1440"/>
            <w:tcMar>
              <w:top w:w="75" w:type="dxa"/>
              <w:start w:w="75" w:type="dxa"/>
              <w:bottom w:w="75" w:type="dxa"/>
              <w:end w:w="75" w:type="dxa"/>
            </w:tcMar>
            <w:vAlign w:val="top"/>
          </w:tcPr>
          <w:p>
            <w:r>
              <w:rPr>
                <w:rFonts w:ascii="Carlito" w:hAnsi="Carlito" w:eastAsia="Carlito"/>
                <w:b w:val="0"/>
                <w:color w:val="24303F"/>
                <w:sz w:val="17"/>
              </w:rPr>
              <w:t>APOE3</w:t>
            </w:r>
          </w:p>
        </w:tc>
        <w:tc>
          <w:tcPr>
            <w:tcW w:type="dxa" w:w="1296"/>
            <w:tcMar>
              <w:top w:w="75" w:type="dxa"/>
              <w:start w:w="75" w:type="dxa"/>
              <w:bottom w:w="75" w:type="dxa"/>
              <w:end w:w="75" w:type="dxa"/>
            </w:tcMar>
            <w:vAlign w:val="top"/>
          </w:tcPr>
          <w:p>
            <w:r>
              <w:rPr>
                <w:rFonts w:ascii="Carlito" w:hAnsi="Carlito" w:eastAsia="Carlito"/>
                <w:b w:val="0"/>
                <w:color w:val="24303F"/>
                <w:sz w:val="17"/>
              </w:rPr>
              <w:t>No</w:t>
            </w:r>
          </w:p>
        </w:tc>
        <w:tc>
          <w:tcPr>
            <w:tcW w:type="dxa" w:w="1440"/>
            <w:tcMar>
              <w:top w:w="75" w:type="dxa"/>
              <w:start w:w="75" w:type="dxa"/>
              <w:bottom w:w="75" w:type="dxa"/>
              <w:end w:w="75" w:type="dxa"/>
            </w:tcMar>
            <w:vAlign w:val="top"/>
          </w:tcPr>
          <w:p>
            <w:r>
              <w:rPr>
                <w:rFonts w:ascii="Carlito" w:hAnsi="Carlito" w:eastAsia="Carlito"/>
                <w:b w:val="0"/>
                <w:color w:val="24303F"/>
                <w:sz w:val="17"/>
              </w:rPr>
              <w:t>3</w:t>
            </w:r>
          </w:p>
        </w:tc>
        <w:tc>
          <w:tcPr>
            <w:tcW w:type="dxa" w:w="1440"/>
            <w:tcMar>
              <w:top w:w="75" w:type="dxa"/>
              <w:start w:w="75" w:type="dxa"/>
              <w:bottom w:w="75" w:type="dxa"/>
              <w:end w:w="75" w:type="dxa"/>
            </w:tcMar>
            <w:vAlign w:val="top"/>
          </w:tcPr>
          <w:p>
            <w:r>
              <w:rPr>
                <w:rFonts w:ascii="Carlito" w:hAnsi="Carlito" w:eastAsia="Carlito"/>
                <w:b w:val="0"/>
                <w:color w:val="24303F"/>
                <w:sz w:val="17"/>
              </w:rPr>
              <w:t>3</w:t>
            </w:r>
          </w:p>
        </w:tc>
        <w:tc>
          <w:tcPr>
            <w:tcW w:type="dxa" w:w="1007"/>
            <w:tcMar>
              <w:top w:w="75" w:type="dxa"/>
              <w:start w:w="75" w:type="dxa"/>
              <w:bottom w:w="75" w:type="dxa"/>
              <w:end w:w="75" w:type="dxa"/>
            </w:tcMar>
            <w:vAlign w:val="top"/>
          </w:tcPr>
          <w:p>
            <w:r>
              <w:rPr>
                <w:rFonts w:ascii="Carlito" w:hAnsi="Carlito" w:eastAsia="Carlito"/>
                <w:b w:val="0"/>
                <w:color w:val="24303F"/>
                <w:sz w:val="17"/>
              </w:rPr>
              <w:t>6</w:t>
            </w:r>
          </w:p>
        </w:tc>
      </w:tr>
      <w:tr>
        <w:trPr>
          <w:cantSplit/>
        </w:trPr>
        <w:tc>
          <w:tcPr>
            <w:tcW w:type="dxa" w:w="1584"/>
            <w:tcMar>
              <w:top w:w="75" w:type="dxa"/>
              <w:start w:w="75" w:type="dxa"/>
              <w:bottom w:w="75" w:type="dxa"/>
              <w:end w:w="75" w:type="dxa"/>
            </w:tcMar>
            <w:vAlign w:val="top"/>
            <w:shd w:fill="F3F5F7"/>
          </w:tcPr>
          <w:p>
            <w:r>
              <w:rPr>
                <w:rFonts w:ascii="Carlito" w:hAnsi="Carlito" w:eastAsia="Carlito"/>
                <w:b w:val="0"/>
                <w:color w:val="24303F"/>
                <w:sz w:val="17"/>
              </w:rPr>
              <w:t>E3 induced</w:t>
            </w:r>
          </w:p>
        </w:tc>
        <w:tc>
          <w:tcPr>
            <w:tcW w:type="dxa" w:w="1440"/>
            <w:tcMar>
              <w:top w:w="75" w:type="dxa"/>
              <w:start w:w="75" w:type="dxa"/>
              <w:bottom w:w="75" w:type="dxa"/>
              <w:end w:w="75" w:type="dxa"/>
            </w:tcMar>
            <w:vAlign w:val="top"/>
            <w:shd w:fill="F3F5F7"/>
          </w:tcPr>
          <w:p>
            <w:r>
              <w:rPr>
                <w:rFonts w:ascii="Carlito" w:hAnsi="Carlito" w:eastAsia="Carlito"/>
                <w:b w:val="0"/>
                <w:color w:val="24303F"/>
                <w:sz w:val="17"/>
              </w:rPr>
              <w:t>APOE3</w:t>
            </w:r>
          </w:p>
        </w:tc>
        <w:tc>
          <w:tcPr>
            <w:tcW w:type="dxa" w:w="1296"/>
            <w:tcMar>
              <w:top w:w="75" w:type="dxa"/>
              <w:start w:w="75" w:type="dxa"/>
              <w:bottom w:w="75" w:type="dxa"/>
              <w:end w:w="75" w:type="dxa"/>
            </w:tcMar>
            <w:vAlign w:val="top"/>
            <w:shd w:fill="F3F5F7"/>
          </w:tcPr>
          <w:p>
            <w:r>
              <w:rPr>
                <w:rFonts w:ascii="Carlito" w:hAnsi="Carlito" w:eastAsia="Carlito"/>
                <w:b w:val="0"/>
                <w:color w:val="24303F"/>
                <w:sz w:val="17"/>
              </w:rPr>
              <w:t>Yes</w:t>
            </w:r>
          </w:p>
        </w:tc>
        <w:tc>
          <w:tcPr>
            <w:tcW w:type="dxa" w:w="1440"/>
            <w:tcMar>
              <w:top w:w="75" w:type="dxa"/>
              <w:start w:w="75" w:type="dxa"/>
              <w:bottom w:w="75" w:type="dxa"/>
              <w:end w:w="75" w:type="dxa"/>
            </w:tcMar>
            <w:vAlign w:val="top"/>
            <w:shd w:fill="F3F5F7"/>
          </w:tcPr>
          <w:p>
            <w:r>
              <w:rPr>
                <w:rFonts w:ascii="Carlito" w:hAnsi="Carlito" w:eastAsia="Carlito"/>
                <w:b w:val="0"/>
                <w:color w:val="24303F"/>
                <w:sz w:val="17"/>
              </w:rPr>
              <w:t>3</w:t>
            </w:r>
          </w:p>
        </w:tc>
        <w:tc>
          <w:tcPr>
            <w:tcW w:type="dxa" w:w="1440"/>
            <w:tcMar>
              <w:top w:w="75" w:type="dxa"/>
              <w:start w:w="75" w:type="dxa"/>
              <w:bottom w:w="75" w:type="dxa"/>
              <w:end w:w="75" w:type="dxa"/>
            </w:tcMar>
            <w:vAlign w:val="top"/>
            <w:shd w:fill="F3F5F7"/>
          </w:tcPr>
          <w:p>
            <w:r>
              <w:rPr>
                <w:rFonts w:ascii="Carlito" w:hAnsi="Carlito" w:eastAsia="Carlito"/>
                <w:b w:val="0"/>
                <w:color w:val="24303F"/>
                <w:sz w:val="17"/>
              </w:rPr>
              <w:t>3</w:t>
            </w:r>
          </w:p>
        </w:tc>
        <w:tc>
          <w:tcPr>
            <w:tcW w:type="dxa" w:w="1007"/>
            <w:tcMar>
              <w:top w:w="75" w:type="dxa"/>
              <w:start w:w="75" w:type="dxa"/>
              <w:bottom w:w="75" w:type="dxa"/>
              <w:end w:w="75" w:type="dxa"/>
            </w:tcMar>
            <w:vAlign w:val="top"/>
            <w:shd w:fill="F3F5F7"/>
          </w:tcPr>
          <w:p>
            <w:r>
              <w:rPr>
                <w:rFonts w:ascii="Carlito" w:hAnsi="Carlito" w:eastAsia="Carlito"/>
                <w:b w:val="0"/>
                <w:color w:val="24303F"/>
                <w:sz w:val="17"/>
              </w:rPr>
              <w:t>6</w:t>
            </w:r>
          </w:p>
        </w:tc>
      </w:tr>
      <w:tr>
        <w:trPr>
          <w:cantSplit/>
        </w:trPr>
        <w:tc>
          <w:tcPr>
            <w:tcW w:type="dxa" w:w="1584"/>
            <w:tcMar>
              <w:top w:w="75" w:type="dxa"/>
              <w:start w:w="75" w:type="dxa"/>
              <w:bottom w:w="75" w:type="dxa"/>
              <w:end w:w="75" w:type="dxa"/>
            </w:tcMar>
            <w:vAlign w:val="top"/>
          </w:tcPr>
          <w:p>
            <w:r>
              <w:rPr>
                <w:rFonts w:ascii="Carlito" w:hAnsi="Carlito" w:eastAsia="Carlito"/>
                <w:b w:val="0"/>
                <w:color w:val="24303F"/>
                <w:sz w:val="17"/>
              </w:rPr>
              <w:t>E4 control</w:t>
            </w:r>
          </w:p>
        </w:tc>
        <w:tc>
          <w:tcPr>
            <w:tcW w:type="dxa" w:w="1440"/>
            <w:tcMar>
              <w:top w:w="75" w:type="dxa"/>
              <w:start w:w="75" w:type="dxa"/>
              <w:bottom w:w="75" w:type="dxa"/>
              <w:end w:w="75" w:type="dxa"/>
            </w:tcMar>
            <w:vAlign w:val="top"/>
          </w:tcPr>
          <w:p>
            <w:r>
              <w:rPr>
                <w:rFonts w:ascii="Carlito" w:hAnsi="Carlito" w:eastAsia="Carlito"/>
                <w:b w:val="0"/>
                <w:color w:val="24303F"/>
                <w:sz w:val="17"/>
              </w:rPr>
              <w:t>APOE4</w:t>
            </w:r>
          </w:p>
        </w:tc>
        <w:tc>
          <w:tcPr>
            <w:tcW w:type="dxa" w:w="1296"/>
            <w:tcMar>
              <w:top w:w="75" w:type="dxa"/>
              <w:start w:w="75" w:type="dxa"/>
              <w:bottom w:w="75" w:type="dxa"/>
              <w:end w:w="75" w:type="dxa"/>
            </w:tcMar>
            <w:vAlign w:val="top"/>
          </w:tcPr>
          <w:p>
            <w:r>
              <w:rPr>
                <w:rFonts w:ascii="Carlito" w:hAnsi="Carlito" w:eastAsia="Carlito"/>
                <w:b w:val="0"/>
                <w:color w:val="24303F"/>
                <w:sz w:val="17"/>
              </w:rPr>
              <w:t>No</w:t>
            </w:r>
          </w:p>
        </w:tc>
        <w:tc>
          <w:tcPr>
            <w:tcW w:type="dxa" w:w="1440"/>
            <w:tcMar>
              <w:top w:w="75" w:type="dxa"/>
              <w:start w:w="75" w:type="dxa"/>
              <w:bottom w:w="75" w:type="dxa"/>
              <w:end w:w="75" w:type="dxa"/>
            </w:tcMar>
            <w:vAlign w:val="top"/>
          </w:tcPr>
          <w:p>
            <w:r>
              <w:rPr>
                <w:rFonts w:ascii="Carlito" w:hAnsi="Carlito" w:eastAsia="Carlito"/>
                <w:b w:val="0"/>
                <w:color w:val="24303F"/>
                <w:sz w:val="17"/>
              </w:rPr>
              <w:t>3</w:t>
            </w:r>
          </w:p>
        </w:tc>
        <w:tc>
          <w:tcPr>
            <w:tcW w:type="dxa" w:w="1440"/>
            <w:tcMar>
              <w:top w:w="75" w:type="dxa"/>
              <w:start w:w="75" w:type="dxa"/>
              <w:bottom w:w="75" w:type="dxa"/>
              <w:end w:w="75" w:type="dxa"/>
            </w:tcMar>
            <w:vAlign w:val="top"/>
          </w:tcPr>
          <w:p>
            <w:r>
              <w:rPr>
                <w:rFonts w:ascii="Carlito" w:hAnsi="Carlito" w:eastAsia="Carlito"/>
                <w:b w:val="0"/>
                <w:color w:val="24303F"/>
                <w:sz w:val="17"/>
              </w:rPr>
              <w:t>3</w:t>
            </w:r>
          </w:p>
        </w:tc>
        <w:tc>
          <w:tcPr>
            <w:tcW w:type="dxa" w:w="1007"/>
            <w:tcMar>
              <w:top w:w="75" w:type="dxa"/>
              <w:start w:w="75" w:type="dxa"/>
              <w:bottom w:w="75" w:type="dxa"/>
              <w:end w:w="75" w:type="dxa"/>
            </w:tcMar>
            <w:vAlign w:val="top"/>
          </w:tcPr>
          <w:p>
            <w:r>
              <w:rPr>
                <w:rFonts w:ascii="Carlito" w:hAnsi="Carlito" w:eastAsia="Carlito"/>
                <w:b w:val="0"/>
                <w:color w:val="24303F"/>
                <w:sz w:val="17"/>
              </w:rPr>
              <w:t>6</w:t>
            </w:r>
          </w:p>
        </w:tc>
      </w:tr>
      <w:tr>
        <w:trPr>
          <w:cantSplit/>
        </w:trPr>
        <w:tc>
          <w:tcPr>
            <w:tcW w:type="dxa" w:w="1584"/>
            <w:tcMar>
              <w:top w:w="75" w:type="dxa"/>
              <w:start w:w="75" w:type="dxa"/>
              <w:bottom w:w="75" w:type="dxa"/>
              <w:end w:w="75" w:type="dxa"/>
            </w:tcMar>
            <w:vAlign w:val="top"/>
            <w:shd w:fill="F3F5F7"/>
          </w:tcPr>
          <w:p>
            <w:r>
              <w:rPr>
                <w:rFonts w:ascii="Carlito" w:hAnsi="Carlito" w:eastAsia="Carlito"/>
                <w:b w:val="0"/>
                <w:color w:val="24303F"/>
                <w:sz w:val="17"/>
              </w:rPr>
              <w:t>E4 induced</w:t>
            </w:r>
          </w:p>
        </w:tc>
        <w:tc>
          <w:tcPr>
            <w:tcW w:type="dxa" w:w="1440"/>
            <w:tcMar>
              <w:top w:w="75" w:type="dxa"/>
              <w:start w:w="75" w:type="dxa"/>
              <w:bottom w:w="75" w:type="dxa"/>
              <w:end w:w="75" w:type="dxa"/>
            </w:tcMar>
            <w:vAlign w:val="top"/>
            <w:shd w:fill="F3F5F7"/>
          </w:tcPr>
          <w:p>
            <w:r>
              <w:rPr>
                <w:rFonts w:ascii="Carlito" w:hAnsi="Carlito" w:eastAsia="Carlito"/>
                <w:b w:val="0"/>
                <w:color w:val="24303F"/>
                <w:sz w:val="17"/>
              </w:rPr>
              <w:t>APOE4</w:t>
            </w:r>
          </w:p>
        </w:tc>
        <w:tc>
          <w:tcPr>
            <w:tcW w:type="dxa" w:w="1296"/>
            <w:tcMar>
              <w:top w:w="75" w:type="dxa"/>
              <w:start w:w="75" w:type="dxa"/>
              <w:bottom w:w="75" w:type="dxa"/>
              <w:end w:w="75" w:type="dxa"/>
            </w:tcMar>
            <w:vAlign w:val="top"/>
            <w:shd w:fill="F3F5F7"/>
          </w:tcPr>
          <w:p>
            <w:r>
              <w:rPr>
                <w:rFonts w:ascii="Carlito" w:hAnsi="Carlito" w:eastAsia="Carlito"/>
                <w:b w:val="0"/>
                <w:color w:val="24303F"/>
                <w:sz w:val="17"/>
              </w:rPr>
              <w:t>Yes</w:t>
            </w:r>
          </w:p>
        </w:tc>
        <w:tc>
          <w:tcPr>
            <w:tcW w:type="dxa" w:w="1440"/>
            <w:tcMar>
              <w:top w:w="75" w:type="dxa"/>
              <w:start w:w="75" w:type="dxa"/>
              <w:bottom w:w="75" w:type="dxa"/>
              <w:end w:w="75" w:type="dxa"/>
            </w:tcMar>
            <w:vAlign w:val="top"/>
            <w:shd w:fill="F3F5F7"/>
          </w:tcPr>
          <w:p>
            <w:r>
              <w:rPr>
                <w:rFonts w:ascii="Carlito" w:hAnsi="Carlito" w:eastAsia="Carlito"/>
                <w:b w:val="0"/>
                <w:color w:val="24303F"/>
                <w:sz w:val="17"/>
              </w:rPr>
              <w:t>3</w:t>
            </w:r>
          </w:p>
        </w:tc>
        <w:tc>
          <w:tcPr>
            <w:tcW w:type="dxa" w:w="1440"/>
            <w:tcMar>
              <w:top w:w="75" w:type="dxa"/>
              <w:start w:w="75" w:type="dxa"/>
              <w:bottom w:w="75" w:type="dxa"/>
              <w:end w:w="75" w:type="dxa"/>
            </w:tcMar>
            <w:vAlign w:val="top"/>
            <w:shd w:fill="F3F5F7"/>
          </w:tcPr>
          <w:p>
            <w:r>
              <w:rPr>
                <w:rFonts w:ascii="Carlito" w:hAnsi="Carlito" w:eastAsia="Carlito"/>
                <w:b w:val="0"/>
                <w:color w:val="24303F"/>
                <w:sz w:val="17"/>
              </w:rPr>
              <w:t>3</w:t>
            </w:r>
          </w:p>
        </w:tc>
        <w:tc>
          <w:tcPr>
            <w:tcW w:type="dxa" w:w="1007"/>
            <w:tcMar>
              <w:top w:w="75" w:type="dxa"/>
              <w:start w:w="75" w:type="dxa"/>
              <w:bottom w:w="75" w:type="dxa"/>
              <w:end w:w="75" w:type="dxa"/>
            </w:tcMar>
            <w:vAlign w:val="top"/>
            <w:shd w:fill="F3F5F7"/>
          </w:tcPr>
          <w:p>
            <w:r>
              <w:rPr>
                <w:rFonts w:ascii="Carlito" w:hAnsi="Carlito" w:eastAsia="Carlito"/>
                <w:b w:val="0"/>
                <w:color w:val="24303F"/>
                <w:sz w:val="17"/>
              </w:rPr>
              <w:t>6</w:t>
            </w:r>
          </w:p>
        </w:tc>
      </w:tr>
    </w:tbl>
    <w:p>
      <w:pPr>
        <w:spacing w:after="0"/>
      </w:pPr>
    </w:p>
    <w:p>
      <w:r>
        <w:rPr>
          <w:rFonts w:ascii="Carlito" w:hAnsi="Carlito" w:eastAsia="Carlito"/>
        </w:rPr>
        <w:t>Primary analysis: restrict the first confirmatory test to the induced APOE3 and induced APOE4 groups. Build one pseudobulk profile per mouse and cell type, then fit an APOE-by-sex model.</w:t>
      </w:r>
    </w:p>
    <w:p>
      <w:pPr>
        <w:pStyle w:val="CodeBlock"/>
        <w:shd w:fill="F3F5F7"/>
      </w:pPr>
      <w:r>
        <w:rPr>
          <w:rFonts w:ascii="DejaVu Sans Mono" w:hAnsi="DejaVu Sans Mono" w:eastAsia="DejaVu Sans Mono"/>
          <w:color w:val="24303F"/>
          <w:sz w:val="18"/>
        </w:rPr>
        <w:t>expression_or_module_score ~ APOE * sex</w:t>
      </w:r>
    </w:p>
    <w:p>
      <w:r>
        <w:rPr>
          <w:rFonts w:ascii="Carlito" w:hAnsi="Carlito" w:eastAsia="Carlito"/>
        </w:rPr>
        <w:t>Interpretation: this dataset can show whether a human PFC signature has a similar APOE-by-sex pattern in mouse cortical cells under amyloid pathology. It cannot estimate an AD-versus-non-AD effect because every group is on an amyloid-model background.</w:t>
      </w:r>
    </w:p>
    <w:p>
      <w:pPr>
        <w:pStyle w:val="Heading2"/>
      </w:pPr>
      <w:hyperlink r:id="rId14">
        <w:r>
          <w:rPr>
            <w:rFonts w:ascii="Carlito" w:hAnsi="Carlito"/>
            <w:color w:val="1F7A8C"/>
            <w:b/>
            <w:sz w:val="27"/>
            <w:szCs w:val="27"/>
          </w:rPr>
          <w:t>GSE185063</w:t>
        </w:r>
      </w:hyperlink>
      <w:r>
        <w:rPr>
          <w:rFonts w:ascii="Carlito" w:hAnsi="Carlito" w:eastAsia="Carlito"/>
          <w:b/>
          <w:color w:val="1F7A8C"/>
          <w:sz w:val="27"/>
        </w:rPr>
        <w:t xml:space="preserve"> - broad cortical cell-type anchor</w:t>
      </w:r>
    </w:p>
    <w:p>
      <w:r>
        <w:rPr>
          <w:rFonts w:ascii="Carlito" w:hAnsi="Carlito" w:eastAsia="Carlito"/>
        </w:rPr>
        <w:t>This study profiled 16 cortical snRNA-seq samples from APOE3 and APOE4 knock-in mice. The published methods describe four mice per genotype at 2-3 months and four mice per genotype at 9-12 months. Nuclei were isolated from the right cortical mantle after removal of the hippocampus and visible white matter.</w:t>
      </w:r>
    </w:p>
    <w:p>
      <w:r>
        <w:rPr>
          <w:rFonts w:ascii="Carlito" w:hAnsi="Carlito" w:eastAsia="Carlito"/>
        </w:rPr>
        <w:t>The study contains excitatory neurons, inhibitory neurons, oligodendrocytes and OPCs, astrocytes, microglia, endothelial cells, pericytes, and other vascular cells. It is therefore the best current dataset for locating a human PFC APOE-related module across broad cortical cell types.</w:t>
      </w:r>
    </w:p>
    <w:p>
      <w:pPr>
        <w:pStyle w:val="CodeBlock"/>
        <w:shd w:fill="F3F5F7"/>
      </w:pPr>
      <w:r>
        <w:rPr>
          <w:rFonts w:ascii="DejaVu Sans Mono" w:hAnsi="DejaVu Sans Mono" w:eastAsia="DejaVu Sans Mono"/>
          <w:color w:val="24303F"/>
          <w:sz w:val="18"/>
        </w:rPr>
        <w:t>expression_or_module_score ~ APOE * age</w:t>
      </w:r>
    </w:p>
    <w:p>
      <w:r>
        <w:rPr>
          <w:rFonts w:ascii="Carlito" w:hAnsi="Carlito" w:eastAsia="Carlito"/>
        </w:rPr>
        <w:t>Both male and female mice were used, but the public sample-to-sex map must be verified before fitting a sex interaction. Do not infer sex only from expression or filename patterns unless the assignment is independently confirmed.</w:t>
      </w:r>
    </w:p>
    <w:p>
      <w:pPr>
        <w:pStyle w:val="Heading2"/>
      </w:pPr>
      <w:hyperlink r:id="rId15">
        <w:r>
          <w:rPr>
            <w:rFonts w:ascii="Carlito" w:hAnsi="Carlito"/>
            <w:color w:val="1F7A8C"/>
            <w:b/>
            <w:sz w:val="27"/>
            <w:szCs w:val="27"/>
          </w:rPr>
          <w:t>GSE163857</w:t>
        </w:r>
      </w:hyperlink>
      <w:r>
        <w:rPr>
          <w:rFonts w:ascii="Carlito" w:hAnsi="Carlito" w:eastAsia="Carlito"/>
          <w:b/>
          <w:color w:val="1F7A8C"/>
          <w:sz w:val="27"/>
        </w:rPr>
        <w:t xml:space="preserve"> - direct factorial microglial anchor</w:t>
      </w:r>
    </w:p>
    <w:p>
      <w:r>
        <w:rPr>
          <w:rFonts w:ascii="Carlito" w:hAnsi="Carlito" w:eastAsia="Carlito"/>
        </w:rPr>
        <w:t>This is bulk RNA-seq from sorted mouse microglia carrying human APOE3 or APOE4 on either targeted-replacement control or 5xFAD backgrounds. Female and male mice are represented, creating all eight combinations of APOE, sex, and disease background.</w:t>
      </w:r>
    </w:p>
    <w:p>
      <w:pPr>
        <w:jc w:val="center"/>
      </w:pPr>
      <w:r>
        <w:drawing>
          <wp:inline xmlns:a="http://schemas.openxmlformats.org/drawingml/2006/main" xmlns:pic="http://schemas.openxmlformats.org/drawingml/2006/picture">
            <wp:extent cx="6309360" cy="3406873"/>
            <wp:docPr id="3" name="Picture 3" descr="Eight boxes showing female and male APOE3 and APOE4 mice on control and 5xFAD backgrounds." title="Figure 3. The complete 2 x 2 x 2 design contained in GSE163857."/>
            <wp:cNvGraphicFramePr>
              <a:graphicFrameLocks noChangeAspect="1"/>
            </wp:cNvGraphicFramePr>
            <a:graphic>
              <a:graphicData uri="http://schemas.openxmlformats.org/drawingml/2006/picture">
                <pic:pic>
                  <pic:nvPicPr>
                    <pic:cNvPr id="0" name="factorial_design.png"/>
                    <pic:cNvPicPr/>
                  </pic:nvPicPr>
                  <pic:blipFill>
                    <a:blip r:embed="rId16"/>
                    <a:stretch>
                      <a:fillRect/>
                    </a:stretch>
                  </pic:blipFill>
                  <pic:spPr>
                    <a:xfrm>
                      <a:off x="0" y="0"/>
                      <a:ext cx="6309360" cy="3406873"/>
                    </a:xfrm>
                    <a:prstGeom prst="rect"/>
                  </pic:spPr>
                </pic:pic>
              </a:graphicData>
            </a:graphic>
          </wp:inline>
        </w:drawing>
      </w:r>
    </w:p>
    <w:p>
      <w:pPr>
        <w:spacing w:after="120"/>
        <w:jc w:val="center"/>
      </w:pPr>
      <w:r>
        <w:rPr>
          <w:rFonts w:ascii="Carlito" w:hAnsi="Carlito" w:eastAsia="Carlito"/>
          <w:i/>
          <w:color w:val="5B6573"/>
          <w:sz w:val="17"/>
        </w:rPr>
        <w:t>Figure 3. The complete 2 x 2 x 2 design contained in GSE163857.</w:t>
      </w:r>
    </w:p>
    <w:p>
      <w:pPr>
        <w:pStyle w:val="CodeBlock"/>
        <w:shd w:fill="F3F5F7"/>
      </w:pPr>
      <w:r>
        <w:rPr>
          <w:rFonts w:ascii="DejaVu Sans Mono" w:hAnsi="DejaVu Sans Mono" w:eastAsia="DejaVu Sans Mono"/>
          <w:color w:val="24303F"/>
          <w:sz w:val="18"/>
        </w:rPr>
        <w:t>expression_or_module_score ~ sex * APOE * disease</w:t>
      </w:r>
    </w:p>
    <w:p>
      <w:r>
        <w:rPr>
          <w:rFonts w:ascii="Carlito" w:hAnsi="Carlito" w:eastAsia="Carlito"/>
        </w:rPr>
        <w:t>The most important coefficient is the three-way interaction: whether the disease-related APOE4 effect differs between females and males. However, the GEO sample list shows small and imbalanced control strata, so report effect sizes and confidence intervals and examine preplanned simpler contrasts rather than relying only on one p-value.</w:t>
      </w:r>
    </w:p>
    <w:p>
      <w:pPr>
        <w:pStyle w:val="ListBullet"/>
        <w:spacing w:after="60"/>
      </w:pPr>
      <w:r>
        <w:rPr>
          <w:rFonts w:ascii="Carlito" w:hAnsi="Carlito" w:eastAsia="Carlito"/>
        </w:rPr>
        <w:t>Female 5xFAD: APOE4 versus APOE3.</w:t>
      </w:r>
    </w:p>
    <w:p>
      <w:pPr>
        <w:pStyle w:val="ListBullet"/>
        <w:spacing w:after="60"/>
      </w:pPr>
      <w:r>
        <w:rPr>
          <w:rFonts w:ascii="Carlito" w:hAnsi="Carlito" w:eastAsia="Carlito"/>
        </w:rPr>
        <w:t>Male 5xFAD: APOE4 versus APOE3.</w:t>
      </w:r>
    </w:p>
    <w:p>
      <w:pPr>
        <w:pStyle w:val="ListBullet"/>
        <w:spacing w:after="60"/>
      </w:pPr>
      <w:r>
        <w:rPr>
          <w:rFonts w:ascii="Carlito" w:hAnsi="Carlito" w:eastAsia="Carlito"/>
        </w:rPr>
        <w:t>Female APOE4: 5xFAD versus control.</w:t>
      </w:r>
    </w:p>
    <w:p>
      <w:pPr>
        <w:pStyle w:val="ListBullet"/>
        <w:spacing w:after="60"/>
      </w:pPr>
      <w:r>
        <w:rPr>
          <w:rFonts w:ascii="Carlito" w:hAnsi="Carlito" w:eastAsia="Carlito"/>
        </w:rPr>
        <w:t>Male APOE4: 5xFAD versus control.</w:t>
      </w:r>
    </w:p>
    <w:p>
      <w:pPr>
        <w:pStyle w:val="Heading1"/>
      </w:pPr>
      <w:r>
        <w:t>4. Optional and supporting datasets</w:t>
      </w:r>
    </w:p>
    <w:p>
      <w:pPr>
        <w:pStyle w:val="Heading2"/>
      </w:pPr>
      <w:hyperlink r:id="rId17">
        <w:r>
          <w:rPr>
            <w:rFonts w:ascii="Carlito" w:hAnsi="Carlito"/>
            <w:color w:val="1F7A8C"/>
            <w:b/>
            <w:sz w:val="27"/>
            <w:szCs w:val="27"/>
          </w:rPr>
          <w:t>GSE140399</w:t>
        </w:r>
      </w:hyperlink>
      <w:r>
        <w:rPr>
          <w:rFonts w:ascii="Carlito" w:hAnsi="Carlito" w:eastAsia="Carlito"/>
          <w:b/>
          <w:color w:val="1F7A8C"/>
          <w:sz w:val="27"/>
        </w:rPr>
        <w:t xml:space="preserve"> - descriptive cortical disease direction</w:t>
      </w:r>
    </w:p>
    <w:p>
      <w:r>
        <w:rPr>
          <w:rFonts w:ascii="Carlito" w:hAnsi="Carlito" w:eastAsia="Carlito"/>
        </w:rPr>
        <w:t>This 15-month dataset includes separate cortex and hippocampus samples from WT, TREM2-knockout, 5xFAD, and combined TREM2-knockout/5xFAD mice. Its cortical component is anatomically useful, but GEO states that cells from three mice per genotype were pooled for sequencing. It can support pathway direction and cell-state localization, but ordinary mouse-level inference is not available from the pooled library.</w:t>
      </w:r>
    </w:p>
    <w:p>
      <w:pPr>
        <w:pStyle w:val="Heading2"/>
      </w:pPr>
      <w:hyperlink r:id="rId18">
        <w:r>
          <w:rPr>
            <w:rFonts w:ascii="Carlito" w:hAnsi="Carlito"/>
            <w:color w:val="1F7A8C"/>
            <w:b/>
            <w:sz w:val="27"/>
            <w:szCs w:val="27"/>
          </w:rPr>
          <w:t>GSE140510</w:t>
        </w:r>
      </w:hyperlink>
      <w:r>
        <w:rPr>
          <w:rFonts w:ascii="Carlito" w:hAnsi="Carlito" w:eastAsia="Carlito"/>
          <w:b/>
          <w:color w:val="1F7A8C"/>
          <w:sz w:val="27"/>
        </w:rPr>
        <w:t xml:space="preserve"> - replicated non-regional disease alternative</w:t>
      </w:r>
    </w:p>
    <w:p>
      <w:r>
        <w:rPr>
          <w:rFonts w:ascii="Carlito" w:hAnsi="Carlito" w:eastAsia="Carlito"/>
        </w:rPr>
        <w:t>This 7-month companion dataset contains three biologically independent mice per genotype processed and sequenced separately. It provides stronger biological replication than GSE140399, but it is not a clearly defined cortical or PFC dissection. Use it when independent replication matters more than regional matching.</w:t>
      </w:r>
    </w:p>
    <w:p>
      <w:pPr>
        <w:pStyle w:val="Heading2"/>
      </w:pPr>
      <w:hyperlink r:id="rId19">
        <w:r>
          <w:rPr>
            <w:rFonts w:ascii="Carlito" w:hAnsi="Carlito"/>
            <w:color w:val="1F7A8C"/>
            <w:b/>
            <w:sz w:val="27"/>
            <w:szCs w:val="27"/>
          </w:rPr>
          <w:t>GSE143758</w:t>
        </w:r>
      </w:hyperlink>
      <w:r>
        <w:rPr>
          <w:rFonts w:ascii="Carlito" w:hAnsi="Carlito" w:eastAsia="Carlito"/>
          <w:b/>
          <w:color w:val="1F7A8C"/>
          <w:sz w:val="27"/>
        </w:rPr>
        <w:t xml:space="preserve"> - astrocyte, age, and cross-region support</w:t>
      </w:r>
    </w:p>
    <w:p>
      <w:r>
        <w:rPr>
          <w:rFonts w:ascii="Carlito" w:hAnsi="Carlito" w:eastAsia="Carlito"/>
        </w:rPr>
        <w:t>The main all-cell matrix is a hippocampal 5xFAD-versus-WT snRNA-seq atlas, and the broader study is especially informative for disease-associated astrocytes and age progression. GEO also lists four cortical records, but the processed cortical matrix is astrocyte-focused and includes only one record per age-by-genotype combination at 7 and 10 months. This is too small for a strong cortical disease test.</w:t>
      </w:r>
    </w:p>
    <w:p>
      <w:r>
        <w:rPr>
          <w:rFonts w:ascii="Carlito" w:hAnsi="Carlito" w:eastAsia="Carlito"/>
        </w:rPr>
        <w:t>Recommended use: secondary evidence that a PFC-derived astrocyte or mitochondrial pathway also appears in 5xFAD disease or across vulnerable brain regions. Do not call it direct mouse PFC replication.</w:t>
      </w:r>
    </w:p>
    <w:p>
      <w:pPr>
        <w:pStyle w:val="Heading2"/>
      </w:pPr>
      <w:hyperlink r:id="rId20">
        <w:r>
          <w:rPr>
            <w:rFonts w:ascii="Carlito" w:hAnsi="Carlito"/>
            <w:color w:val="1F7A8C"/>
            <w:b/>
            <w:sz w:val="27"/>
            <w:szCs w:val="27"/>
          </w:rPr>
          <w:t>GSE225503</w:t>
        </w:r>
      </w:hyperlink>
      <w:r>
        <w:rPr>
          <w:rFonts w:ascii="Carlito" w:hAnsi="Carlito" w:eastAsia="Carlito"/>
          <w:b/>
          <w:color w:val="1F7A8C"/>
          <w:sz w:val="27"/>
        </w:rPr>
        <w:t xml:space="preserve"> - APOE2 and immune-aging support</w:t>
      </w:r>
    </w:p>
    <w:p>
      <w:r>
        <w:rPr>
          <w:rFonts w:ascii="Carlito" w:hAnsi="Carlito" w:eastAsia="Carlito"/>
        </w:rPr>
        <w:t>This study profiles CD45-positive immune cells from hippocampal and cortical regions of 5xFAD mice carrying human APOE2, APOE3, or APOE4 across several ages. It is most useful when APOE2, microglial aging, or late-stage immune states are part of the human finding. Because all animals are on the 5xFAD background, it does not provide a disease-versus-control comparison.</w:t>
      </w:r>
    </w:p>
    <w:p>
      <w:pPr>
        <w:pStyle w:val="Heading1"/>
      </w:pPr>
      <w:r>
        <w:t>5. Analysis plan</w:t>
      </w:r>
    </w:p>
    <w:p>
      <w:pPr>
        <w:pStyle w:val="ListNumber"/>
        <w:spacing w:after="60"/>
      </w:pPr>
      <w:r>
        <w:rPr>
          <w:rFonts w:ascii="Carlito" w:hAnsi="Carlito" w:eastAsia="Carlito"/>
        </w:rPr>
        <w:t>Freeze the human PFC findings before examining the mouse datasets. Create separate gene lists or module scores for each human cell type and contrast.</w:t>
      </w:r>
    </w:p>
    <w:p>
      <w:pPr>
        <w:pStyle w:val="ListNumber"/>
        <w:spacing w:after="60"/>
      </w:pPr>
      <w:r>
        <w:rPr>
          <w:rFonts w:ascii="Carlito" w:hAnsi="Carlito" w:eastAsia="Carlito"/>
        </w:rPr>
        <w:t>Convert human genes to one-to-one mouse orthologs and keep one fixed mapping table for all datasets.</w:t>
      </w:r>
    </w:p>
    <w:p>
      <w:pPr>
        <w:pStyle w:val="ListNumber"/>
        <w:spacing w:after="60"/>
      </w:pPr>
      <w:r>
        <w:rPr>
          <w:rFonts w:ascii="Carlito" w:hAnsi="Carlito" w:eastAsia="Carlito"/>
        </w:rPr>
        <w:t>Audit each dataset for mouse ID, sex, APOE genotype, disease background, age, region, cell type, pooling, library, and batch.</w:t>
      </w:r>
    </w:p>
    <w:p>
      <w:pPr>
        <w:pStyle w:val="ListNumber"/>
        <w:spacing w:after="60"/>
      </w:pPr>
      <w:r>
        <w:rPr>
          <w:rFonts w:ascii="Carlito" w:hAnsi="Carlito" w:eastAsia="Carlito"/>
        </w:rPr>
        <w:t>For scRNA-seq or snRNA-seq, sum counts by mouse and cell type to create one pseudobulk profile per mouse.</w:t>
      </w:r>
    </w:p>
    <w:p>
      <w:pPr>
        <w:pStyle w:val="ListNumber"/>
        <w:spacing w:after="60"/>
      </w:pPr>
      <w:r>
        <w:rPr>
          <w:rFonts w:ascii="Carlito" w:hAnsi="Carlito" w:eastAsia="Carlito"/>
        </w:rPr>
        <w:t>Analyze GSE241553 first for cortical APOE-by-sex evidence under amyloid.</w:t>
      </w:r>
    </w:p>
    <w:p>
      <w:pPr>
        <w:pStyle w:val="ListNumber"/>
        <w:spacing w:after="60"/>
      </w:pPr>
      <w:r>
        <w:rPr>
          <w:rFonts w:ascii="Carlito" w:hAnsi="Carlito" w:eastAsia="Carlito"/>
        </w:rPr>
        <w:t>Analyze GSE185063 second to locate the APOE-related module across cortical cell types and ages.</w:t>
      </w:r>
    </w:p>
    <w:p>
      <w:pPr>
        <w:pStyle w:val="ListNumber"/>
        <w:spacing w:after="60"/>
      </w:pPr>
      <w:r>
        <w:rPr>
          <w:rFonts w:ascii="Carlito" w:hAnsi="Carlito" w:eastAsia="Carlito"/>
        </w:rPr>
        <w:t>Analyze GSE163857 third for the complete APOE-by-sex-by-disease microglial design.</w:t>
      </w:r>
    </w:p>
    <w:p>
      <w:pPr>
        <w:pStyle w:val="ListNumber"/>
        <w:spacing w:after="60"/>
      </w:pPr>
      <w:r>
        <w:rPr>
          <w:rFonts w:ascii="Carlito" w:hAnsi="Carlito" w:eastAsia="Carlito"/>
        </w:rPr>
        <w:t>Use optional studies only to answer unresolved questions about cortical disease direction, astrocytes, age, APOE2, or cross-region consistency.</w:t>
      </w:r>
    </w:p>
    <w:p>
      <w:pPr>
        <w:pStyle w:val="ListNumber"/>
        <w:spacing w:after="60"/>
      </w:pPr>
      <w:r>
        <w:rPr>
          <w:rFonts w:ascii="Carlito" w:hAnsi="Carlito" w:eastAsia="Carlito"/>
        </w:rPr>
        <w:t>Compare study-specific effect sizes and directions. Do not merge raw count matrices across studies.</w:t>
      </w:r>
    </w:p>
    <w:p>
      <w:pPr>
        <w:jc w:val="center"/>
      </w:pPr>
      <w:r>
        <w:drawing>
          <wp:inline xmlns:a="http://schemas.openxmlformats.org/drawingml/2006/main" xmlns:pic="http://schemas.openxmlformats.org/drawingml/2006/picture">
            <wp:extent cx="6309360" cy="3304183"/>
            <wp:docPr id="4" name="Picture 4" descr="Three mice each contribute many cells, which are combined into one pseudobulk profile per mouse. A warning shows that cells are not independent mice." title="Figure 4. Pseudobulk analysis preserves the mouse as the independent experimenta"/>
            <wp:cNvGraphicFramePr>
              <a:graphicFrameLocks noChangeAspect="1"/>
            </wp:cNvGraphicFramePr>
            <a:graphic>
              <a:graphicData uri="http://schemas.openxmlformats.org/drawingml/2006/picture">
                <pic:pic>
                  <pic:nvPicPr>
                    <pic:cNvPr id="0" name="biological_replicate.png"/>
                    <pic:cNvPicPr/>
                  </pic:nvPicPr>
                  <pic:blipFill>
                    <a:blip r:embed="rId21"/>
                    <a:stretch>
                      <a:fillRect/>
                    </a:stretch>
                  </pic:blipFill>
                  <pic:spPr>
                    <a:xfrm>
                      <a:off x="0" y="0"/>
                      <a:ext cx="6309360" cy="3304183"/>
                    </a:xfrm>
                    <a:prstGeom prst="rect"/>
                  </pic:spPr>
                </pic:pic>
              </a:graphicData>
            </a:graphic>
          </wp:inline>
        </w:drawing>
      </w:r>
    </w:p>
    <w:p>
      <w:pPr>
        <w:spacing w:after="120"/>
        <w:jc w:val="center"/>
      </w:pPr>
      <w:r>
        <w:rPr>
          <w:rFonts w:ascii="Carlito" w:hAnsi="Carlito" w:eastAsia="Carlito"/>
          <w:i/>
          <w:color w:val="5B6573"/>
          <w:sz w:val="17"/>
        </w:rPr>
        <w:t>Figure 4. Pseudobulk analysis preserves the mouse as the independent experimental unit.</w:t>
      </w:r>
    </w:p>
    <w:p>
      <w:pPr>
        <w:pStyle w:val="Heading1"/>
      </w:pPr>
      <w:r>
        <w:t>6. Cell-type-specific use</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2577"/>
        <w:gridCol w:w="2577"/>
        <w:gridCol w:w="2577"/>
        <w:gridCol w:w="2577"/>
      </w:tblGrid>
      <w:tr>
        <w:trPr>
          <w:tblHeader w:val="true"/>
          <w:cantSplit/>
        </w:trPr>
        <w:tc>
          <w:tcPr>
            <w:tcW w:type="dxa" w:w="1944"/>
            <w:shd w:fill="17324D"/>
            <w:tcMar>
              <w:top w:w="80" w:type="dxa"/>
              <w:start w:w="80" w:type="dxa"/>
              <w:bottom w:w="80" w:type="dxa"/>
              <w:end w:w="80" w:type="dxa"/>
            </w:tcMar>
            <w:vAlign w:val="center"/>
          </w:tcPr>
          <w:p>
            <w:r>
              <w:rPr>
                <w:rFonts w:ascii="Carlito" w:hAnsi="Carlito" w:eastAsia="Carlito"/>
                <w:b/>
                <w:color w:val="FFFFFF"/>
                <w:sz w:val="16"/>
              </w:rPr>
              <w:t>Human PFC cell type</w:t>
            </w:r>
          </w:p>
        </w:tc>
        <w:tc>
          <w:tcPr>
            <w:tcW w:type="dxa" w:w="2376"/>
            <w:shd w:fill="17324D"/>
            <w:tcMar>
              <w:top w:w="80" w:type="dxa"/>
              <w:start w:w="80" w:type="dxa"/>
              <w:bottom w:w="80" w:type="dxa"/>
              <w:end w:w="80" w:type="dxa"/>
            </w:tcMar>
            <w:vAlign w:val="center"/>
          </w:tcPr>
          <w:p>
            <w:r>
              <w:rPr>
                <w:rFonts w:ascii="Carlito" w:hAnsi="Carlito" w:eastAsia="Carlito"/>
                <w:b/>
                <w:color w:val="FFFFFF"/>
                <w:sz w:val="16"/>
              </w:rPr>
              <w:t>Primary mouse evidence</w:t>
            </w:r>
          </w:p>
        </w:tc>
        <w:tc>
          <w:tcPr>
            <w:tcW w:type="dxa" w:w="2232"/>
            <w:shd w:fill="17324D"/>
            <w:tcMar>
              <w:top w:w="80" w:type="dxa"/>
              <w:start w:w="80" w:type="dxa"/>
              <w:bottom w:w="80" w:type="dxa"/>
              <w:end w:w="80" w:type="dxa"/>
            </w:tcMar>
            <w:vAlign w:val="center"/>
          </w:tcPr>
          <w:p>
            <w:r>
              <w:rPr>
                <w:rFonts w:ascii="Carlito" w:hAnsi="Carlito" w:eastAsia="Carlito"/>
                <w:b/>
                <w:color w:val="FFFFFF"/>
                <w:sz w:val="16"/>
              </w:rPr>
              <w:t>Secondary evidence</w:t>
            </w:r>
          </w:p>
        </w:tc>
        <w:tc>
          <w:tcPr>
            <w:tcW w:type="dxa" w:w="3528"/>
            <w:shd w:fill="17324D"/>
            <w:tcMar>
              <w:top w:w="80" w:type="dxa"/>
              <w:start w:w="80" w:type="dxa"/>
              <w:bottom w:w="80" w:type="dxa"/>
              <w:end w:w="80" w:type="dxa"/>
            </w:tcMar>
            <w:vAlign w:val="center"/>
          </w:tcPr>
          <w:p>
            <w:r>
              <w:rPr>
                <w:rFonts w:ascii="Carlito" w:hAnsi="Carlito" w:eastAsia="Carlito"/>
                <w:b/>
                <w:color w:val="FFFFFF"/>
                <w:sz w:val="16"/>
              </w:rPr>
              <w:t>Strongest defensible claim</w:t>
            </w:r>
          </w:p>
        </w:tc>
      </w:tr>
      <w:tr>
        <w:trPr>
          <w:cantSplit/>
        </w:trPr>
        <w:tc>
          <w:tcPr>
            <w:tcW w:type="dxa" w:w="1944"/>
            <w:tcMar>
              <w:top w:w="75" w:type="dxa"/>
              <w:start w:w="75" w:type="dxa"/>
              <w:bottom w:w="75" w:type="dxa"/>
              <w:end w:w="75" w:type="dxa"/>
            </w:tcMar>
            <w:vAlign w:val="top"/>
          </w:tcPr>
          <w:p>
            <w:r>
              <w:rPr>
                <w:rFonts w:ascii="Carlito" w:hAnsi="Carlito" w:eastAsia="Carlito"/>
                <w:b w:val="0"/>
                <w:color w:val="24303F"/>
                <w:sz w:val="16"/>
              </w:rPr>
              <w:t>Microglia</w:t>
            </w:r>
          </w:p>
        </w:tc>
        <w:tc>
          <w:tcPr>
            <w:tcW w:type="dxa" w:w="2376"/>
            <w:tcMar>
              <w:top w:w="75" w:type="dxa"/>
              <w:start w:w="75" w:type="dxa"/>
              <w:bottom w:w="75" w:type="dxa"/>
              <w:end w:w="75" w:type="dxa"/>
            </w:tcMar>
            <w:vAlign w:val="top"/>
          </w:tcPr>
          <w:p>
            <w:r>
              <w:rPr>
                <w:rFonts w:ascii="Carlito" w:hAnsi="Carlito" w:eastAsia="Carlito"/>
                <w:b w:val="0"/>
                <w:color w:val="24303F"/>
                <w:sz w:val="16"/>
              </w:rPr>
              <w:t>GSE241553 + GSE163857</w:t>
            </w:r>
          </w:p>
        </w:tc>
        <w:tc>
          <w:tcPr>
            <w:tcW w:type="dxa" w:w="2232"/>
            <w:tcMar>
              <w:top w:w="75" w:type="dxa"/>
              <w:start w:w="75" w:type="dxa"/>
              <w:bottom w:w="75" w:type="dxa"/>
              <w:end w:w="75" w:type="dxa"/>
            </w:tcMar>
            <w:vAlign w:val="top"/>
          </w:tcPr>
          <w:p>
            <w:r>
              <w:rPr>
                <w:rFonts w:ascii="Carlito" w:hAnsi="Carlito" w:eastAsia="Carlito"/>
                <w:b w:val="0"/>
                <w:color w:val="24303F"/>
                <w:sz w:val="16"/>
              </w:rPr>
              <w:t>GSE185063; GSE225503</w:t>
            </w:r>
          </w:p>
        </w:tc>
        <w:tc>
          <w:tcPr>
            <w:tcW w:type="dxa" w:w="3528"/>
            <w:tcMar>
              <w:top w:w="75" w:type="dxa"/>
              <w:start w:w="75" w:type="dxa"/>
              <w:bottom w:w="75" w:type="dxa"/>
              <w:end w:w="75" w:type="dxa"/>
            </w:tcMar>
            <w:vAlign w:val="top"/>
          </w:tcPr>
          <w:p>
            <w:r>
              <w:rPr>
                <w:rFonts w:ascii="Carlito" w:hAnsi="Carlito" w:eastAsia="Carlito"/>
                <w:b w:val="0"/>
                <w:color w:val="24303F"/>
                <w:sz w:val="16"/>
              </w:rPr>
              <w:t>Cortical APOE-by-sex support plus independent factorial microglial support</w:t>
            </w:r>
          </w:p>
        </w:tc>
      </w:tr>
      <w:tr>
        <w:trPr>
          <w:cantSplit/>
        </w:trPr>
        <w:tc>
          <w:tcPr>
            <w:tcW w:type="dxa" w:w="1944"/>
            <w:tcMar>
              <w:top w:w="75" w:type="dxa"/>
              <w:start w:w="75" w:type="dxa"/>
              <w:bottom w:w="75" w:type="dxa"/>
              <w:end w:w="75" w:type="dxa"/>
            </w:tcMar>
            <w:vAlign w:val="top"/>
            <w:shd w:fill="F3F5F7"/>
          </w:tcPr>
          <w:p>
            <w:r>
              <w:rPr>
                <w:rFonts w:ascii="Carlito" w:hAnsi="Carlito" w:eastAsia="Carlito"/>
                <w:b w:val="0"/>
                <w:color w:val="24303F"/>
                <w:sz w:val="16"/>
              </w:rPr>
              <w:t>Astrocytes</w:t>
            </w:r>
          </w:p>
        </w:tc>
        <w:tc>
          <w:tcPr>
            <w:tcW w:type="dxa" w:w="2376"/>
            <w:tcMar>
              <w:top w:w="75" w:type="dxa"/>
              <w:start w:w="75" w:type="dxa"/>
              <w:bottom w:w="75" w:type="dxa"/>
              <w:end w:w="75" w:type="dxa"/>
            </w:tcMar>
            <w:vAlign w:val="top"/>
            <w:shd w:fill="F3F5F7"/>
          </w:tcPr>
          <w:p>
            <w:r>
              <w:rPr>
                <w:rFonts w:ascii="Carlito" w:hAnsi="Carlito" w:eastAsia="Carlito"/>
                <w:b w:val="0"/>
                <w:color w:val="24303F"/>
                <w:sz w:val="16"/>
              </w:rPr>
              <w:t>GSE185063</w:t>
            </w:r>
          </w:p>
        </w:tc>
        <w:tc>
          <w:tcPr>
            <w:tcW w:type="dxa" w:w="2232"/>
            <w:tcMar>
              <w:top w:w="75" w:type="dxa"/>
              <w:start w:w="75" w:type="dxa"/>
              <w:bottom w:w="75" w:type="dxa"/>
              <w:end w:w="75" w:type="dxa"/>
            </w:tcMar>
            <w:vAlign w:val="top"/>
            <w:shd w:fill="F3F5F7"/>
          </w:tcPr>
          <w:p>
            <w:r>
              <w:rPr>
                <w:rFonts w:ascii="Carlito" w:hAnsi="Carlito" w:eastAsia="Carlito"/>
                <w:b w:val="0"/>
                <w:color w:val="24303F"/>
                <w:sz w:val="16"/>
              </w:rPr>
              <w:t>GSE140399; GSE143758</w:t>
            </w:r>
          </w:p>
        </w:tc>
        <w:tc>
          <w:tcPr>
            <w:tcW w:type="dxa" w:w="3528"/>
            <w:tcMar>
              <w:top w:w="75" w:type="dxa"/>
              <w:start w:w="75" w:type="dxa"/>
              <w:bottom w:w="75" w:type="dxa"/>
              <w:end w:w="75" w:type="dxa"/>
            </w:tcMar>
            <w:vAlign w:val="top"/>
            <w:shd w:fill="F3F5F7"/>
          </w:tcPr>
          <w:p>
            <w:r>
              <w:rPr>
                <w:rFonts w:ascii="Carlito" w:hAnsi="Carlito" w:eastAsia="Carlito"/>
                <w:b w:val="0"/>
                <w:color w:val="24303F"/>
                <w:sz w:val="16"/>
              </w:rPr>
              <w:t>Cortical APOE localization plus descriptive/cross-region AD support</w:t>
            </w:r>
          </w:p>
        </w:tc>
      </w:tr>
      <w:tr>
        <w:trPr>
          <w:cantSplit/>
        </w:trPr>
        <w:tc>
          <w:tcPr>
            <w:tcW w:type="dxa" w:w="1944"/>
            <w:tcMar>
              <w:top w:w="75" w:type="dxa"/>
              <w:start w:w="75" w:type="dxa"/>
              <w:bottom w:w="75" w:type="dxa"/>
              <w:end w:w="75" w:type="dxa"/>
            </w:tcMar>
            <w:vAlign w:val="top"/>
          </w:tcPr>
          <w:p>
            <w:r>
              <w:rPr>
                <w:rFonts w:ascii="Carlito" w:hAnsi="Carlito" w:eastAsia="Carlito"/>
                <w:b w:val="0"/>
                <w:color w:val="24303F"/>
                <w:sz w:val="16"/>
              </w:rPr>
              <w:t>Excitatory neurons</w:t>
            </w:r>
          </w:p>
        </w:tc>
        <w:tc>
          <w:tcPr>
            <w:tcW w:type="dxa" w:w="2376"/>
            <w:tcMar>
              <w:top w:w="75" w:type="dxa"/>
              <w:start w:w="75" w:type="dxa"/>
              <w:bottom w:w="75" w:type="dxa"/>
              <w:end w:w="75" w:type="dxa"/>
            </w:tcMar>
            <w:vAlign w:val="top"/>
          </w:tcPr>
          <w:p>
            <w:r>
              <w:rPr>
                <w:rFonts w:ascii="Carlito" w:hAnsi="Carlito" w:eastAsia="Carlito"/>
                <w:b w:val="0"/>
                <w:color w:val="24303F"/>
                <w:sz w:val="16"/>
              </w:rPr>
              <w:t>GSE185063</w:t>
            </w:r>
          </w:p>
        </w:tc>
        <w:tc>
          <w:tcPr>
            <w:tcW w:type="dxa" w:w="2232"/>
            <w:tcMar>
              <w:top w:w="75" w:type="dxa"/>
              <w:start w:w="75" w:type="dxa"/>
              <w:bottom w:w="75" w:type="dxa"/>
              <w:end w:w="75" w:type="dxa"/>
            </w:tcMar>
            <w:vAlign w:val="top"/>
          </w:tcPr>
          <w:p>
            <w:r>
              <w:rPr>
                <w:rFonts w:ascii="Carlito" w:hAnsi="Carlito" w:eastAsia="Carlito"/>
                <w:b w:val="0"/>
                <w:color w:val="24303F"/>
                <w:sz w:val="16"/>
              </w:rPr>
              <w:t>GSE140399 or GSE140510</w:t>
            </w:r>
          </w:p>
        </w:tc>
        <w:tc>
          <w:tcPr>
            <w:tcW w:type="dxa" w:w="3528"/>
            <w:tcMar>
              <w:top w:w="75" w:type="dxa"/>
              <w:start w:w="75" w:type="dxa"/>
              <w:bottom w:w="75" w:type="dxa"/>
              <w:end w:w="75" w:type="dxa"/>
            </w:tcMar>
            <w:vAlign w:val="top"/>
          </w:tcPr>
          <w:p>
            <w:r>
              <w:rPr>
                <w:rFonts w:ascii="Carlito" w:hAnsi="Carlito" w:eastAsia="Carlito"/>
                <w:b w:val="0"/>
                <w:color w:val="24303F"/>
                <w:sz w:val="16"/>
              </w:rPr>
              <w:t>Cortical APOE localization; AD direction remains separate</w:t>
            </w:r>
          </w:p>
        </w:tc>
      </w:tr>
      <w:tr>
        <w:trPr>
          <w:cantSplit/>
        </w:trPr>
        <w:tc>
          <w:tcPr>
            <w:tcW w:type="dxa" w:w="1944"/>
            <w:tcMar>
              <w:top w:w="75" w:type="dxa"/>
              <w:start w:w="75" w:type="dxa"/>
              <w:bottom w:w="75" w:type="dxa"/>
              <w:end w:w="75" w:type="dxa"/>
            </w:tcMar>
            <w:vAlign w:val="top"/>
            <w:shd w:fill="F3F5F7"/>
          </w:tcPr>
          <w:p>
            <w:r>
              <w:rPr>
                <w:rFonts w:ascii="Carlito" w:hAnsi="Carlito" w:eastAsia="Carlito"/>
                <w:b w:val="0"/>
                <w:color w:val="24303F"/>
                <w:sz w:val="16"/>
              </w:rPr>
              <w:t>Inhibitory neurons</w:t>
            </w:r>
          </w:p>
        </w:tc>
        <w:tc>
          <w:tcPr>
            <w:tcW w:type="dxa" w:w="2376"/>
            <w:tcMar>
              <w:top w:w="75" w:type="dxa"/>
              <w:start w:w="75" w:type="dxa"/>
              <w:bottom w:w="75" w:type="dxa"/>
              <w:end w:w="75" w:type="dxa"/>
            </w:tcMar>
            <w:vAlign w:val="top"/>
            <w:shd w:fill="F3F5F7"/>
          </w:tcPr>
          <w:p>
            <w:r>
              <w:rPr>
                <w:rFonts w:ascii="Carlito" w:hAnsi="Carlito" w:eastAsia="Carlito"/>
                <w:b w:val="0"/>
                <w:color w:val="24303F"/>
                <w:sz w:val="16"/>
              </w:rPr>
              <w:t>GSE185063</w:t>
            </w:r>
          </w:p>
        </w:tc>
        <w:tc>
          <w:tcPr>
            <w:tcW w:type="dxa" w:w="2232"/>
            <w:tcMar>
              <w:top w:w="75" w:type="dxa"/>
              <w:start w:w="75" w:type="dxa"/>
              <w:bottom w:w="75" w:type="dxa"/>
              <w:end w:w="75" w:type="dxa"/>
            </w:tcMar>
            <w:vAlign w:val="top"/>
            <w:shd w:fill="F3F5F7"/>
          </w:tcPr>
          <w:p>
            <w:r>
              <w:rPr>
                <w:rFonts w:ascii="Carlito" w:hAnsi="Carlito" w:eastAsia="Carlito"/>
                <w:b w:val="0"/>
                <w:color w:val="24303F"/>
                <w:sz w:val="16"/>
              </w:rPr>
              <w:t>GSE140399 or GSE140510</w:t>
            </w:r>
          </w:p>
        </w:tc>
        <w:tc>
          <w:tcPr>
            <w:tcW w:type="dxa" w:w="3528"/>
            <w:tcMar>
              <w:top w:w="75" w:type="dxa"/>
              <w:start w:w="75" w:type="dxa"/>
              <w:bottom w:w="75" w:type="dxa"/>
              <w:end w:w="75" w:type="dxa"/>
            </w:tcMar>
            <w:vAlign w:val="top"/>
            <w:shd w:fill="F3F5F7"/>
          </w:tcPr>
          <w:p>
            <w:r>
              <w:rPr>
                <w:rFonts w:ascii="Carlito" w:hAnsi="Carlito" w:eastAsia="Carlito"/>
                <w:b w:val="0"/>
                <w:color w:val="24303F"/>
                <w:sz w:val="16"/>
              </w:rPr>
              <w:t>Cortical APOE localization; avoid hippocampal neuron equivalence</w:t>
            </w:r>
          </w:p>
        </w:tc>
      </w:tr>
      <w:tr>
        <w:trPr>
          <w:cantSplit/>
        </w:trPr>
        <w:tc>
          <w:tcPr>
            <w:tcW w:type="dxa" w:w="1944"/>
            <w:tcMar>
              <w:top w:w="75" w:type="dxa"/>
              <w:start w:w="75" w:type="dxa"/>
              <w:bottom w:w="75" w:type="dxa"/>
              <w:end w:w="75" w:type="dxa"/>
            </w:tcMar>
            <w:vAlign w:val="top"/>
          </w:tcPr>
          <w:p>
            <w:r>
              <w:rPr>
                <w:rFonts w:ascii="Carlito" w:hAnsi="Carlito" w:eastAsia="Carlito"/>
                <w:b w:val="0"/>
                <w:color w:val="24303F"/>
                <w:sz w:val="16"/>
              </w:rPr>
              <w:t>Oligodendrocytes / OPCs</w:t>
            </w:r>
          </w:p>
        </w:tc>
        <w:tc>
          <w:tcPr>
            <w:tcW w:type="dxa" w:w="2376"/>
            <w:tcMar>
              <w:top w:w="75" w:type="dxa"/>
              <w:start w:w="75" w:type="dxa"/>
              <w:bottom w:w="75" w:type="dxa"/>
              <w:end w:w="75" w:type="dxa"/>
            </w:tcMar>
            <w:vAlign w:val="top"/>
          </w:tcPr>
          <w:p>
            <w:r>
              <w:rPr>
                <w:rFonts w:ascii="Carlito" w:hAnsi="Carlito" w:eastAsia="Carlito"/>
                <w:b w:val="0"/>
                <w:color w:val="24303F"/>
                <w:sz w:val="16"/>
              </w:rPr>
              <w:t>GSE185063</w:t>
            </w:r>
          </w:p>
        </w:tc>
        <w:tc>
          <w:tcPr>
            <w:tcW w:type="dxa" w:w="2232"/>
            <w:tcMar>
              <w:top w:w="75" w:type="dxa"/>
              <w:start w:w="75" w:type="dxa"/>
              <w:bottom w:w="75" w:type="dxa"/>
              <w:end w:w="75" w:type="dxa"/>
            </w:tcMar>
            <w:vAlign w:val="top"/>
          </w:tcPr>
          <w:p>
            <w:r>
              <w:rPr>
                <w:rFonts w:ascii="Carlito" w:hAnsi="Carlito" w:eastAsia="Carlito"/>
                <w:b w:val="0"/>
                <w:color w:val="24303F"/>
                <w:sz w:val="16"/>
              </w:rPr>
              <w:t>GSE140399 or GSE140510</w:t>
            </w:r>
          </w:p>
        </w:tc>
        <w:tc>
          <w:tcPr>
            <w:tcW w:type="dxa" w:w="3528"/>
            <w:tcMar>
              <w:top w:w="75" w:type="dxa"/>
              <w:start w:w="75" w:type="dxa"/>
              <w:bottom w:w="75" w:type="dxa"/>
              <w:end w:w="75" w:type="dxa"/>
            </w:tcMar>
            <w:vAlign w:val="top"/>
          </w:tcPr>
          <w:p>
            <w:r>
              <w:rPr>
                <w:rFonts w:ascii="Carlito" w:hAnsi="Carlito" w:eastAsia="Carlito"/>
                <w:b w:val="0"/>
                <w:color w:val="24303F"/>
                <w:sz w:val="16"/>
              </w:rPr>
              <w:t>Cortical APOE evidence with optional disease-direction support</w:t>
            </w:r>
          </w:p>
        </w:tc>
      </w:tr>
      <w:tr>
        <w:trPr>
          <w:cantSplit/>
        </w:trPr>
        <w:tc>
          <w:tcPr>
            <w:tcW w:type="dxa" w:w="1944"/>
            <w:tcMar>
              <w:top w:w="75" w:type="dxa"/>
              <w:start w:w="75" w:type="dxa"/>
              <w:bottom w:w="75" w:type="dxa"/>
              <w:end w:w="75" w:type="dxa"/>
            </w:tcMar>
            <w:vAlign w:val="top"/>
            <w:shd w:fill="F3F5F7"/>
          </w:tcPr>
          <w:p>
            <w:r>
              <w:rPr>
                <w:rFonts w:ascii="Carlito" w:hAnsi="Carlito" w:eastAsia="Carlito"/>
                <w:b w:val="0"/>
                <w:color w:val="24303F"/>
                <w:sz w:val="16"/>
              </w:rPr>
              <w:t>Endothelial / pericyte</w:t>
            </w:r>
          </w:p>
        </w:tc>
        <w:tc>
          <w:tcPr>
            <w:tcW w:type="dxa" w:w="2376"/>
            <w:tcMar>
              <w:top w:w="75" w:type="dxa"/>
              <w:start w:w="75" w:type="dxa"/>
              <w:bottom w:w="75" w:type="dxa"/>
              <w:end w:w="75" w:type="dxa"/>
            </w:tcMar>
            <w:vAlign w:val="top"/>
            <w:shd w:fill="F3F5F7"/>
          </w:tcPr>
          <w:p>
            <w:r>
              <w:rPr>
                <w:rFonts w:ascii="Carlito" w:hAnsi="Carlito" w:eastAsia="Carlito"/>
                <w:b w:val="0"/>
                <w:color w:val="24303F"/>
                <w:sz w:val="16"/>
              </w:rPr>
              <w:t>GSE185063</w:t>
            </w:r>
          </w:p>
        </w:tc>
        <w:tc>
          <w:tcPr>
            <w:tcW w:type="dxa" w:w="2232"/>
            <w:tcMar>
              <w:top w:w="75" w:type="dxa"/>
              <w:start w:w="75" w:type="dxa"/>
              <w:bottom w:w="75" w:type="dxa"/>
              <w:end w:w="75" w:type="dxa"/>
            </w:tcMar>
            <w:vAlign w:val="top"/>
            <w:shd w:fill="F3F5F7"/>
          </w:tcPr>
          <w:p>
            <w:r>
              <w:rPr>
                <w:rFonts w:ascii="Carlito" w:hAnsi="Carlito" w:eastAsia="Carlito"/>
                <w:b w:val="0"/>
                <w:color w:val="24303F"/>
                <w:sz w:val="16"/>
              </w:rPr>
              <w:t>New data may be needed</w:t>
            </w:r>
          </w:p>
        </w:tc>
        <w:tc>
          <w:tcPr>
            <w:tcW w:type="dxa" w:w="3528"/>
            <w:tcMar>
              <w:top w:w="75" w:type="dxa"/>
              <w:start w:w="75" w:type="dxa"/>
              <w:bottom w:w="75" w:type="dxa"/>
              <w:end w:w="75" w:type="dxa"/>
            </w:tcMar>
            <w:vAlign w:val="top"/>
            <w:shd w:fill="F3F5F7"/>
          </w:tcPr>
          <w:p>
            <w:r>
              <w:rPr>
                <w:rFonts w:ascii="Carlito" w:hAnsi="Carlito" w:eastAsia="Carlito"/>
                <w:b w:val="0"/>
                <w:color w:val="24303F"/>
                <w:sz w:val="16"/>
              </w:rPr>
              <w:t>Cortical APOE vascular evidence; no full public factorial AD test</w:t>
            </w:r>
          </w:p>
        </w:tc>
      </w:tr>
    </w:tbl>
    <w:p>
      <w:pPr>
        <w:spacing w:after="0"/>
      </w:pPr>
    </w:p>
    <w:p>
      <w:pPr>
        <w:pStyle w:val="Heading1"/>
      </w:pPr>
      <w:r>
        <w:t>7. Minimum, preferred, and definitive setups</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3437"/>
        <w:gridCol w:w="3437"/>
        <w:gridCol w:w="3437"/>
      </w:tblGrid>
      <w:tr>
        <w:trPr>
          <w:tblHeader w:val="true"/>
          <w:cantSplit/>
        </w:trPr>
        <w:tc>
          <w:tcPr>
            <w:tcW w:type="dxa" w:w="2232"/>
            <w:shd w:fill="17324D"/>
            <w:tcMar>
              <w:top w:w="80" w:type="dxa"/>
              <w:start w:w="80" w:type="dxa"/>
              <w:bottom w:w="80" w:type="dxa"/>
              <w:end w:w="80" w:type="dxa"/>
            </w:tcMar>
            <w:vAlign w:val="center"/>
          </w:tcPr>
          <w:p>
            <w:r>
              <w:rPr>
                <w:rFonts w:ascii="Carlito" w:hAnsi="Carlito" w:eastAsia="Carlito"/>
                <w:b/>
                <w:color w:val="FFFFFF"/>
                <w:sz w:val="17"/>
              </w:rPr>
              <w:t>Setup</w:t>
            </w:r>
          </w:p>
        </w:tc>
        <w:tc>
          <w:tcPr>
            <w:tcW w:type="dxa" w:w="3816"/>
            <w:shd w:fill="17324D"/>
            <w:tcMar>
              <w:top w:w="80" w:type="dxa"/>
              <w:start w:w="80" w:type="dxa"/>
              <w:bottom w:w="80" w:type="dxa"/>
              <w:end w:w="80" w:type="dxa"/>
            </w:tcMar>
            <w:vAlign w:val="center"/>
          </w:tcPr>
          <w:p>
            <w:r>
              <w:rPr>
                <w:rFonts w:ascii="Carlito" w:hAnsi="Carlito" w:eastAsia="Carlito"/>
                <w:b/>
                <w:color w:val="FFFFFF"/>
                <w:sz w:val="17"/>
              </w:rPr>
              <w:t>Datasets / design</w:t>
            </w:r>
          </w:p>
        </w:tc>
        <w:tc>
          <w:tcPr>
            <w:tcW w:type="dxa" w:w="3960"/>
            <w:shd w:fill="17324D"/>
            <w:tcMar>
              <w:top w:w="80" w:type="dxa"/>
              <w:start w:w="80" w:type="dxa"/>
              <w:bottom w:w="80" w:type="dxa"/>
              <w:end w:w="80" w:type="dxa"/>
            </w:tcMar>
            <w:vAlign w:val="center"/>
          </w:tcPr>
          <w:p>
            <w:r>
              <w:rPr>
                <w:rFonts w:ascii="Carlito" w:hAnsi="Carlito" w:eastAsia="Carlito"/>
                <w:b/>
                <w:color w:val="FFFFFF"/>
                <w:sz w:val="17"/>
              </w:rPr>
              <w:t>What it supports</w:t>
            </w:r>
          </w:p>
        </w:tc>
      </w:tr>
      <w:tr>
        <w:trPr>
          <w:cantSplit/>
        </w:trPr>
        <w:tc>
          <w:tcPr>
            <w:tcW w:type="dxa" w:w="2232"/>
            <w:tcMar>
              <w:top w:w="75" w:type="dxa"/>
              <w:start w:w="75" w:type="dxa"/>
              <w:bottom w:w="75" w:type="dxa"/>
              <w:end w:w="75" w:type="dxa"/>
            </w:tcMar>
            <w:vAlign w:val="top"/>
          </w:tcPr>
          <w:p>
            <w:r>
              <w:rPr>
                <w:rFonts w:ascii="Carlito" w:hAnsi="Carlito" w:eastAsia="Carlito"/>
                <w:b/>
                <w:color w:val="24303F"/>
                <w:sz w:val="17"/>
              </w:rPr>
              <w:t>Minimum defensible public-data package</w:t>
            </w:r>
          </w:p>
        </w:tc>
        <w:tc>
          <w:tcPr>
            <w:tcW w:type="dxa" w:w="3816"/>
            <w:tcMar>
              <w:top w:w="75" w:type="dxa"/>
              <w:start w:w="75" w:type="dxa"/>
              <w:bottom w:w="75" w:type="dxa"/>
              <w:end w:w="75" w:type="dxa"/>
            </w:tcMar>
            <w:vAlign w:val="top"/>
          </w:tcPr>
          <w:p>
            <w:r>
              <w:rPr>
                <w:rFonts w:ascii="Carlito" w:hAnsi="Carlito" w:eastAsia="Carlito"/>
                <w:b w:val="0"/>
                <w:color w:val="24303F"/>
                <w:sz w:val="17"/>
              </w:rPr>
              <w:t>GSE241553 + GSE185063 + GSE163857</w:t>
            </w:r>
          </w:p>
        </w:tc>
        <w:tc>
          <w:tcPr>
            <w:tcW w:type="dxa" w:w="3960"/>
            <w:tcMar>
              <w:top w:w="75" w:type="dxa"/>
              <w:start w:w="75" w:type="dxa"/>
              <w:bottom w:w="75" w:type="dxa"/>
              <w:end w:w="75" w:type="dxa"/>
            </w:tcMar>
            <w:vAlign w:val="top"/>
          </w:tcPr>
          <w:p>
            <w:r>
              <w:rPr>
                <w:rFonts w:ascii="Carlito" w:hAnsi="Carlito" w:eastAsia="Carlito"/>
                <w:b w:val="0"/>
                <w:color w:val="24303F"/>
                <w:sz w:val="17"/>
              </w:rPr>
              <w:t>Best balance of cortical relevance, broad cell-type localization, and direct factorial microglial testing</w:t>
            </w:r>
          </w:p>
        </w:tc>
      </w:tr>
      <w:tr>
        <w:trPr>
          <w:cantSplit/>
        </w:trPr>
        <w:tc>
          <w:tcPr>
            <w:tcW w:type="dxa" w:w="2232"/>
            <w:tcMar>
              <w:top w:w="75" w:type="dxa"/>
              <w:start w:w="75" w:type="dxa"/>
              <w:bottom w:w="75" w:type="dxa"/>
              <w:end w:w="75" w:type="dxa"/>
            </w:tcMar>
            <w:vAlign w:val="top"/>
            <w:shd w:fill="F3F5F7"/>
          </w:tcPr>
          <w:p>
            <w:r>
              <w:rPr>
                <w:rFonts w:ascii="Carlito" w:hAnsi="Carlito" w:eastAsia="Carlito"/>
                <w:b/>
                <w:color w:val="24303F"/>
                <w:sz w:val="17"/>
              </w:rPr>
              <w:t>Preferred public-data package</w:t>
            </w:r>
          </w:p>
        </w:tc>
        <w:tc>
          <w:tcPr>
            <w:tcW w:type="dxa" w:w="3816"/>
            <w:tcMar>
              <w:top w:w="75" w:type="dxa"/>
              <w:start w:w="75" w:type="dxa"/>
              <w:bottom w:w="75" w:type="dxa"/>
              <w:end w:w="75" w:type="dxa"/>
            </w:tcMar>
            <w:vAlign w:val="top"/>
            <w:shd w:fill="F3F5F7"/>
          </w:tcPr>
          <w:p>
            <w:r>
              <w:rPr>
                <w:rFonts w:ascii="Carlito" w:hAnsi="Carlito" w:eastAsia="Carlito"/>
                <w:b w:val="0"/>
                <w:color w:val="24303F"/>
                <w:sz w:val="17"/>
              </w:rPr>
              <w:t>Core three + GSE140399 or GSE140510 + GSE143758; add GSE225503 only when relevant</w:t>
            </w:r>
          </w:p>
        </w:tc>
        <w:tc>
          <w:tcPr>
            <w:tcW w:type="dxa" w:w="3960"/>
            <w:tcMar>
              <w:top w:w="75" w:type="dxa"/>
              <w:start w:w="75" w:type="dxa"/>
              <w:bottom w:w="75" w:type="dxa"/>
              <w:end w:w="75" w:type="dxa"/>
            </w:tcMar>
            <w:vAlign w:val="top"/>
            <w:shd w:fill="F3F5F7"/>
          </w:tcPr>
          <w:p>
            <w:r>
              <w:rPr>
                <w:rFonts w:ascii="Carlito" w:hAnsi="Carlito" w:eastAsia="Carlito"/>
                <w:b w:val="0"/>
                <w:color w:val="24303F"/>
                <w:sz w:val="17"/>
              </w:rPr>
              <w:t>Adds disease direction, astrocyte/age evidence, and optional APOE2 or immune-aging context</w:t>
            </w:r>
          </w:p>
        </w:tc>
      </w:tr>
      <w:tr>
        <w:trPr>
          <w:cantSplit/>
        </w:trPr>
        <w:tc>
          <w:tcPr>
            <w:tcW w:type="dxa" w:w="2232"/>
            <w:tcMar>
              <w:top w:w="75" w:type="dxa"/>
              <w:start w:w="75" w:type="dxa"/>
              <w:bottom w:w="75" w:type="dxa"/>
              <w:end w:w="75" w:type="dxa"/>
            </w:tcMar>
            <w:vAlign w:val="top"/>
          </w:tcPr>
          <w:p>
            <w:r>
              <w:rPr>
                <w:rFonts w:ascii="Carlito" w:hAnsi="Carlito" w:eastAsia="Carlito"/>
                <w:b/>
                <w:color w:val="24303F"/>
                <w:sz w:val="17"/>
              </w:rPr>
              <w:t>Definitive new experiment</w:t>
            </w:r>
          </w:p>
        </w:tc>
        <w:tc>
          <w:tcPr>
            <w:tcW w:type="dxa" w:w="3816"/>
            <w:tcMar>
              <w:top w:w="75" w:type="dxa"/>
              <w:start w:w="75" w:type="dxa"/>
              <w:bottom w:w="75" w:type="dxa"/>
              <w:end w:w="75" w:type="dxa"/>
            </w:tcMar>
            <w:vAlign w:val="top"/>
          </w:tcPr>
          <w:p>
            <w:r>
              <w:rPr>
                <w:rFonts w:ascii="Carlito" w:hAnsi="Carlito" w:eastAsia="Carlito"/>
                <w:b w:val="0"/>
                <w:color w:val="24303F"/>
                <w:sz w:val="17"/>
              </w:rPr>
              <w:t>APOE3/4 x female/male x AD/control; frontal or medial PFC snRNA-seq; independent mice in all eight groups</w:t>
            </w:r>
          </w:p>
        </w:tc>
        <w:tc>
          <w:tcPr>
            <w:tcW w:type="dxa" w:w="3960"/>
            <w:tcMar>
              <w:top w:w="75" w:type="dxa"/>
              <w:start w:w="75" w:type="dxa"/>
              <w:bottom w:w="75" w:type="dxa"/>
              <w:end w:w="75" w:type="dxa"/>
            </w:tcMar>
            <w:vAlign w:val="top"/>
          </w:tcPr>
          <w:p>
            <w:r>
              <w:rPr>
                <w:rFonts w:ascii="Carlito" w:hAnsi="Carlito" w:eastAsia="Carlito"/>
                <w:b w:val="0"/>
                <w:color w:val="24303F"/>
                <w:sz w:val="17"/>
              </w:rPr>
              <w:t>Direct region-matched, cell-type-specific interaction testing</w:t>
            </w:r>
          </w:p>
        </w:tc>
      </w:tr>
    </w:tbl>
    <w:p>
      <w:pPr>
        <w:spacing w:after="0"/>
      </w:pPr>
    </w:p>
    <w:tbl>
      <w:tblPr>
        <w:tblW w:type="auto" w:w="0"/>
        <w:jc w:val="center"/>
        <w:tblLayout w:type="fixed"/>
        <w:tblLook w:firstColumn="1" w:firstRow="1" w:lastColumn="0" w:lastRow="0" w:noHBand="0" w:noVBand="1" w:val="04A0"/>
        <w:tblBorders>
          <w:top w:val="single" w:sz="10" w:space="0" w:color="6B5CA5"/>
          <w:left w:val="single" w:sz="10" w:space="0" w:color="6B5CA5"/>
          <w:bottom w:val="single" w:sz="10" w:space="0" w:color="6B5CA5"/>
          <w:right w:val="single" w:sz="10" w:space="0" w:color="6B5CA5"/>
          <w:insideH w:val="single" w:sz="10" w:space="0" w:color="6B5CA5"/>
          <w:insideV w:val="single" w:sz="10" w:space="0" w:color="6B5CA5"/>
        </w:tblBorders>
      </w:tblPr>
      <w:tblGrid>
        <w:gridCol w:w="10310"/>
      </w:tblGrid>
      <w:tr>
        <w:tc>
          <w:tcPr>
            <w:tcW w:type="dxa" w:w="10080"/>
            <w:shd w:fill="F2EEFA"/>
            <w:tcMar>
              <w:top w:w="120" w:type="dxa"/>
              <w:start w:w="150" w:type="dxa"/>
              <w:bottom w:w="120" w:type="dxa"/>
              <w:end w:w="150" w:type="dxa"/>
            </w:tcMar>
          </w:tcPr>
          <w:p>
            <w:pPr>
              <w:spacing w:after="40"/>
            </w:pPr>
            <w:r>
              <w:rPr>
                <w:rFonts w:ascii="Carlito" w:hAnsi="Carlito" w:eastAsia="Carlito"/>
                <w:b/>
                <w:color w:val="6B5CA5"/>
                <w:sz w:val="21"/>
              </w:rPr>
              <w:t>Planning target for a new experiment</w:t>
            </w:r>
          </w:p>
          <w:p>
            <w:pPr>
              <w:spacing w:after="0"/>
            </w:pPr>
            <w:r>
              <w:rPr>
                <w:rFonts w:ascii="Carlito" w:hAnsi="Carlito" w:eastAsia="Carlito"/>
                <w:color w:val="24303F"/>
                <w:sz w:val="20"/>
              </w:rPr>
              <w:t>A reasonable starting design is 6-8 independent mice per group across eight groups, followed by formal power analysis. Use one library per mouse, randomize groups across processing batches, and retain adjacent tissue for pathology or protein validation.</w:t>
            </w:r>
          </w:p>
        </w:tc>
      </w:tr>
    </w:tbl>
    <w:p>
      <w:pPr>
        <w:spacing w:after="0"/>
      </w:pPr>
    </w:p>
    <w:p>
      <w:pPr>
        <w:pStyle w:val="Heading1"/>
      </w:pPr>
      <w:r>
        <w:t>8. Evidence labels and reporting language</w:t>
      </w:r>
    </w:p>
    <w:tbl>
      <w:tblPr>
        <w:tblW w:type="auto" w:w="0"/>
        <w:jc w:val="center"/>
        <w:tblLayout w:type="fixed"/>
        <w:tblLook w:firstColumn="1" w:firstRow="1" w:lastColumn="0" w:lastRow="0" w:noHBand="0" w:noVBand="1" w:val="04A0"/>
        <w:tblBorders>
          <w:top w:val="single" w:sz="6" w:space="0" w:color="CBD3DD"/>
          <w:left w:val="single" w:sz="6" w:space="0" w:color="CBD3DD"/>
          <w:bottom w:val="single" w:sz="6" w:space="0" w:color="CBD3DD"/>
          <w:right w:val="single" w:sz="6" w:space="0" w:color="CBD3DD"/>
          <w:insideH w:val="single" w:sz="6" w:space="0" w:color="CBD3DD"/>
          <w:insideV w:val="single" w:sz="6" w:space="0" w:color="CBD3DD"/>
        </w:tblBorders>
      </w:tblPr>
      <w:tblGrid>
        <w:gridCol w:w="5155"/>
        <w:gridCol w:w="5155"/>
      </w:tblGrid>
      <w:tr>
        <w:trPr>
          <w:tblHeader w:val="true"/>
          <w:cantSplit/>
        </w:trPr>
        <w:tc>
          <w:tcPr>
            <w:tcW w:type="dxa" w:w="4608"/>
            <w:shd w:fill="17324D"/>
            <w:tcMar>
              <w:top w:w="80" w:type="dxa"/>
              <w:start w:w="80" w:type="dxa"/>
              <w:bottom w:w="80" w:type="dxa"/>
              <w:end w:w="80" w:type="dxa"/>
            </w:tcMar>
            <w:vAlign w:val="center"/>
          </w:tcPr>
          <w:p>
            <w:r>
              <w:rPr>
                <w:rFonts w:ascii="Carlito" w:hAnsi="Carlito" w:eastAsia="Carlito"/>
                <w:b/>
                <w:color w:val="FFFFFF"/>
                <w:sz w:val="17"/>
              </w:rPr>
              <w:t>Observed evidence</w:t>
            </w:r>
          </w:p>
        </w:tc>
        <w:tc>
          <w:tcPr>
            <w:tcW w:type="dxa" w:w="5184"/>
            <w:shd w:fill="17324D"/>
            <w:tcMar>
              <w:top w:w="80" w:type="dxa"/>
              <w:start w:w="80" w:type="dxa"/>
              <w:bottom w:w="80" w:type="dxa"/>
              <w:end w:w="80" w:type="dxa"/>
            </w:tcMar>
            <w:vAlign w:val="center"/>
          </w:tcPr>
          <w:p>
            <w:r>
              <w:rPr>
                <w:rFonts w:ascii="Carlito" w:hAnsi="Carlito" w:eastAsia="Carlito"/>
                <w:b/>
                <w:color w:val="FFFFFF"/>
                <w:sz w:val="17"/>
              </w:rPr>
              <w:t>Recommended wording</w:t>
            </w:r>
          </w:p>
        </w:tc>
      </w:tr>
      <w:tr>
        <w:trPr>
          <w:cantSplit/>
        </w:trPr>
        <w:tc>
          <w:tcPr>
            <w:tcW w:type="dxa" w:w="4608"/>
            <w:tcMar>
              <w:top w:w="75" w:type="dxa"/>
              <w:start w:w="75" w:type="dxa"/>
              <w:bottom w:w="75" w:type="dxa"/>
              <w:end w:w="75" w:type="dxa"/>
            </w:tcMar>
            <w:vAlign w:val="top"/>
          </w:tcPr>
          <w:p>
            <w:r>
              <w:rPr>
                <w:rFonts w:ascii="Carlito" w:hAnsi="Carlito" w:eastAsia="Carlito"/>
                <w:b w:val="0"/>
                <w:color w:val="24303F"/>
                <w:sz w:val="17"/>
              </w:rPr>
              <w:t>Human PFC and mouse cortical data agree</w:t>
            </w:r>
          </w:p>
        </w:tc>
        <w:tc>
          <w:tcPr>
            <w:tcW w:type="dxa" w:w="5184"/>
            <w:tcMar>
              <w:top w:w="75" w:type="dxa"/>
              <w:start w:w="75" w:type="dxa"/>
              <w:bottom w:w="75" w:type="dxa"/>
              <w:end w:w="75" w:type="dxa"/>
            </w:tcMar>
            <w:vAlign w:val="top"/>
          </w:tcPr>
          <w:p>
            <w:r>
              <w:rPr>
                <w:rFonts w:ascii="Carlito" w:hAnsi="Carlito" w:eastAsia="Carlito"/>
                <w:b w:val="0"/>
                <w:color w:val="24303F"/>
                <w:sz w:val="17"/>
              </w:rPr>
              <w:t>Cortical cross-species validation</w:t>
            </w:r>
          </w:p>
        </w:tc>
      </w:tr>
      <w:tr>
        <w:trPr>
          <w:cantSplit/>
        </w:trPr>
        <w:tc>
          <w:tcPr>
            <w:tcW w:type="dxa" w:w="4608"/>
            <w:tcMar>
              <w:top w:w="75" w:type="dxa"/>
              <w:start w:w="75" w:type="dxa"/>
              <w:bottom w:w="75" w:type="dxa"/>
              <w:end w:w="75" w:type="dxa"/>
            </w:tcMar>
            <w:vAlign w:val="top"/>
            <w:shd w:fill="F3F5F7"/>
          </w:tcPr>
          <w:p>
            <w:r>
              <w:rPr>
                <w:rFonts w:ascii="Carlito" w:hAnsi="Carlito" w:eastAsia="Carlito"/>
                <w:b w:val="0"/>
                <w:color w:val="24303F"/>
                <w:sz w:val="17"/>
              </w:rPr>
              <w:t>Same cell type agrees in non-cortical mouse tissue</w:t>
            </w:r>
          </w:p>
        </w:tc>
        <w:tc>
          <w:tcPr>
            <w:tcW w:type="dxa" w:w="5184"/>
            <w:tcMar>
              <w:top w:w="75" w:type="dxa"/>
              <w:start w:w="75" w:type="dxa"/>
              <w:bottom w:w="75" w:type="dxa"/>
              <w:end w:w="75" w:type="dxa"/>
            </w:tcMar>
            <w:vAlign w:val="top"/>
            <w:shd w:fill="F3F5F7"/>
          </w:tcPr>
          <w:p>
            <w:r>
              <w:rPr>
                <w:rFonts w:ascii="Carlito" w:hAnsi="Carlito" w:eastAsia="Carlito"/>
                <w:b w:val="0"/>
                <w:color w:val="24303F"/>
                <w:sz w:val="17"/>
              </w:rPr>
              <w:t>Cell-type-specific cross-species support</w:t>
            </w:r>
          </w:p>
        </w:tc>
      </w:tr>
      <w:tr>
        <w:trPr>
          <w:cantSplit/>
        </w:trPr>
        <w:tc>
          <w:tcPr>
            <w:tcW w:type="dxa" w:w="4608"/>
            <w:tcMar>
              <w:top w:w="75" w:type="dxa"/>
              <w:start w:w="75" w:type="dxa"/>
              <w:bottom w:w="75" w:type="dxa"/>
              <w:end w:w="75" w:type="dxa"/>
            </w:tcMar>
            <w:vAlign w:val="top"/>
          </w:tcPr>
          <w:p>
            <w:r>
              <w:rPr>
                <w:rFonts w:ascii="Carlito" w:hAnsi="Carlito" w:eastAsia="Carlito"/>
                <w:b w:val="0"/>
                <w:color w:val="24303F"/>
                <w:sz w:val="17"/>
              </w:rPr>
              <w:t>Human PFC and mouse hippocampus agree</w:t>
            </w:r>
          </w:p>
        </w:tc>
        <w:tc>
          <w:tcPr>
            <w:tcW w:type="dxa" w:w="5184"/>
            <w:tcMar>
              <w:top w:w="75" w:type="dxa"/>
              <w:start w:w="75" w:type="dxa"/>
              <w:bottom w:w="75" w:type="dxa"/>
              <w:end w:w="75" w:type="dxa"/>
            </w:tcMar>
            <w:vAlign w:val="top"/>
          </w:tcPr>
          <w:p>
            <w:r>
              <w:rPr>
                <w:rFonts w:ascii="Carlito" w:hAnsi="Carlito" w:eastAsia="Carlito"/>
                <w:b w:val="0"/>
                <w:color w:val="24303F"/>
                <w:sz w:val="17"/>
              </w:rPr>
              <w:t>Cross-region pathway support</w:t>
            </w:r>
          </w:p>
        </w:tc>
      </w:tr>
      <w:tr>
        <w:trPr>
          <w:cantSplit/>
        </w:trPr>
        <w:tc>
          <w:tcPr>
            <w:tcW w:type="dxa" w:w="4608"/>
            <w:tcMar>
              <w:top w:w="75" w:type="dxa"/>
              <w:start w:w="75" w:type="dxa"/>
              <w:bottom w:w="75" w:type="dxa"/>
              <w:end w:w="75" w:type="dxa"/>
            </w:tcMar>
            <w:vAlign w:val="top"/>
            <w:shd w:fill="F3F5F7"/>
          </w:tcPr>
          <w:p>
            <w:r>
              <w:rPr>
                <w:rFonts w:ascii="Carlito" w:hAnsi="Carlito" w:eastAsia="Carlito"/>
                <w:b w:val="0"/>
                <w:color w:val="24303F"/>
                <w:sz w:val="17"/>
              </w:rPr>
              <w:t>Pooled mouse sample agrees</w:t>
            </w:r>
          </w:p>
        </w:tc>
        <w:tc>
          <w:tcPr>
            <w:tcW w:type="dxa" w:w="5184"/>
            <w:tcMar>
              <w:top w:w="75" w:type="dxa"/>
              <w:start w:w="75" w:type="dxa"/>
              <w:bottom w:w="75" w:type="dxa"/>
              <w:end w:w="75" w:type="dxa"/>
            </w:tcMar>
            <w:vAlign w:val="top"/>
            <w:shd w:fill="F3F5F7"/>
          </w:tcPr>
          <w:p>
            <w:r>
              <w:rPr>
                <w:rFonts w:ascii="Carlito" w:hAnsi="Carlito" w:eastAsia="Carlito"/>
                <w:b w:val="0"/>
                <w:color w:val="24303F"/>
                <w:sz w:val="17"/>
              </w:rPr>
              <w:t>Descriptive concordance</w:t>
            </w:r>
          </w:p>
        </w:tc>
      </w:tr>
      <w:tr>
        <w:trPr>
          <w:cantSplit/>
        </w:trPr>
        <w:tc>
          <w:tcPr>
            <w:tcW w:type="dxa" w:w="4608"/>
            <w:tcMar>
              <w:top w:w="75" w:type="dxa"/>
              <w:start w:w="75" w:type="dxa"/>
              <w:bottom w:w="75" w:type="dxa"/>
              <w:end w:w="75" w:type="dxa"/>
            </w:tcMar>
            <w:vAlign w:val="top"/>
          </w:tcPr>
          <w:p>
            <w:r>
              <w:rPr>
                <w:rFonts w:ascii="Carlito" w:hAnsi="Carlito" w:eastAsia="Carlito"/>
                <w:b w:val="0"/>
                <w:color w:val="24303F"/>
                <w:sz w:val="17"/>
              </w:rPr>
              <w:t>GSE163857 three-way pattern agrees</w:t>
            </w:r>
          </w:p>
        </w:tc>
        <w:tc>
          <w:tcPr>
            <w:tcW w:type="dxa" w:w="5184"/>
            <w:tcMar>
              <w:top w:w="75" w:type="dxa"/>
              <w:start w:w="75" w:type="dxa"/>
              <w:bottom w:w="75" w:type="dxa"/>
              <w:end w:w="75" w:type="dxa"/>
            </w:tcMar>
            <w:vAlign w:val="top"/>
          </w:tcPr>
          <w:p>
            <w:r>
              <w:rPr>
                <w:rFonts w:ascii="Carlito" w:hAnsi="Carlito" w:eastAsia="Carlito"/>
                <w:b w:val="0"/>
                <w:color w:val="24303F"/>
                <w:sz w:val="17"/>
              </w:rPr>
              <w:t>Factorial microglial support</w:t>
            </w:r>
          </w:p>
        </w:tc>
      </w:tr>
      <w:tr>
        <w:trPr>
          <w:cantSplit/>
        </w:trPr>
        <w:tc>
          <w:tcPr>
            <w:tcW w:type="dxa" w:w="4608"/>
            <w:tcMar>
              <w:top w:w="75" w:type="dxa"/>
              <w:start w:w="75" w:type="dxa"/>
              <w:bottom w:w="75" w:type="dxa"/>
              <w:end w:w="75" w:type="dxa"/>
            </w:tcMar>
            <w:vAlign w:val="top"/>
            <w:shd w:fill="F3F5F7"/>
          </w:tcPr>
          <w:p>
            <w:r>
              <w:rPr>
                <w:rFonts w:ascii="Carlito" w:hAnsi="Carlito" w:eastAsia="Carlito"/>
                <w:b w:val="0"/>
                <w:color w:val="24303F"/>
                <w:sz w:val="17"/>
              </w:rPr>
              <w:t>Several complementary studies agree</w:t>
            </w:r>
          </w:p>
        </w:tc>
        <w:tc>
          <w:tcPr>
            <w:tcW w:type="dxa" w:w="5184"/>
            <w:tcMar>
              <w:top w:w="75" w:type="dxa"/>
              <w:start w:w="75" w:type="dxa"/>
              <w:bottom w:w="75" w:type="dxa"/>
              <w:end w:w="75" w:type="dxa"/>
            </w:tcMar>
            <w:vAlign w:val="top"/>
            <w:shd w:fill="F3F5F7"/>
          </w:tcPr>
          <w:p>
            <w:r>
              <w:rPr>
                <w:rFonts w:ascii="Carlito" w:hAnsi="Carlito" w:eastAsia="Carlito"/>
                <w:b w:val="0"/>
                <w:color w:val="24303F"/>
                <w:sz w:val="17"/>
              </w:rPr>
              <w:t>Convergent or triangulated validation</w:t>
            </w:r>
          </w:p>
        </w:tc>
      </w:tr>
    </w:tbl>
    <w:p>
      <w:pPr>
        <w:spacing w:after="0"/>
      </w:pPr>
    </w:p>
    <w:p>
      <w:r>
        <w:rPr>
          <w:rFonts w:ascii="Carlito" w:hAnsi="Carlito" w:eastAsia="Carlito"/>
        </w:rPr>
        <w:t>Recommended final summary sentence:</w:t>
      </w:r>
    </w:p>
    <w:tbl>
      <w:tblPr>
        <w:tblW w:type="auto" w:w="0"/>
        <w:jc w:val="center"/>
        <w:tblLayout w:type="fixed"/>
        <w:tblLook w:firstColumn="1" w:firstRow="1" w:lastColumn="0" w:lastRow="0" w:noHBand="0" w:noVBand="1" w:val="04A0"/>
        <w:tblBorders>
          <w:top w:val="single" w:sz="10" w:space="0" w:color="2E7D32"/>
          <w:left w:val="single" w:sz="10" w:space="0" w:color="2E7D32"/>
          <w:bottom w:val="single" w:sz="10" w:space="0" w:color="2E7D32"/>
          <w:right w:val="single" w:sz="10" w:space="0" w:color="2E7D32"/>
          <w:insideH w:val="single" w:sz="10" w:space="0" w:color="2E7D32"/>
          <w:insideV w:val="single" w:sz="10" w:space="0" w:color="2E7D32"/>
        </w:tblBorders>
      </w:tblPr>
      <w:tblGrid>
        <w:gridCol w:w="10310"/>
      </w:tblGrid>
      <w:tr>
        <w:tc>
          <w:tcPr>
            <w:tcW w:type="dxa" w:w="10080"/>
            <w:shd w:fill="EDF7EE"/>
            <w:tcMar>
              <w:top w:w="120" w:type="dxa"/>
              <w:start w:w="150" w:type="dxa"/>
              <w:bottom w:w="120" w:type="dxa"/>
              <w:end w:w="150" w:type="dxa"/>
            </w:tcMar>
          </w:tcPr>
          <w:p>
            <w:pPr>
              <w:spacing w:after="40"/>
            </w:pPr>
            <w:r>
              <w:rPr>
                <w:rFonts w:ascii="Carlito" w:hAnsi="Carlito" w:eastAsia="Carlito"/>
                <w:b/>
                <w:color w:val="2E7D32"/>
                <w:sz w:val="21"/>
              </w:rPr>
              <w:t>Suggested language</w:t>
            </w:r>
          </w:p>
          <w:p>
            <w:pPr>
              <w:spacing w:after="0"/>
            </w:pPr>
            <w:r>
              <w:rPr>
                <w:rFonts w:ascii="Carlito" w:hAnsi="Carlito" w:eastAsia="Carlito"/>
                <w:color w:val="24303F"/>
                <w:sz w:val="20"/>
              </w:rPr>
              <w:t>We used GSE241553, GSE185063, and GSE163857 as complementary mouse validation datasets. Together they provided cortical APOE-by-sex evidence, broad cortical cell-type localization, and independent factorial testing in microglia. Supporting datasets were used only for disease direction, age, astrocyte state, APOE2, or cross-region concordance. Results were compared at the effect-size and pathway level without merging studies.</w:t>
            </w:r>
          </w:p>
        </w:tc>
      </w:tr>
    </w:tbl>
    <w:p>
      <w:pPr>
        <w:spacing w:after="0"/>
      </w:pPr>
    </w:p>
    <w:p>
      <w:pPr>
        <w:pStyle w:val="Heading1"/>
      </w:pPr>
      <w:r>
        <w:t>9. Main limitations</w:t>
      </w:r>
    </w:p>
    <w:p>
      <w:pPr>
        <w:pStyle w:val="ListBullet"/>
        <w:spacing w:after="60"/>
      </w:pPr>
      <w:r>
        <w:rPr>
          <w:rFonts w:ascii="Carlito" w:hAnsi="Carlito" w:eastAsia="Carlito"/>
        </w:rPr>
        <w:t>None of the public datasets is an exact mouse PFC APOE3/4 x sex x AD/control single-nucleus experiment.</w:t>
      </w:r>
    </w:p>
    <w:p>
      <w:pPr>
        <w:pStyle w:val="ListBullet"/>
        <w:spacing w:after="60"/>
      </w:pPr>
      <w:r>
        <w:rPr>
          <w:rFonts w:ascii="Carlito" w:hAnsi="Carlito" w:eastAsia="Carlito"/>
        </w:rPr>
        <w:t>Mouse cortex is not always labeled as frontal or prefrontal cortex.</w:t>
      </w:r>
    </w:p>
    <w:p>
      <w:pPr>
        <w:pStyle w:val="ListBullet"/>
        <w:spacing w:after="60"/>
      </w:pPr>
      <w:r>
        <w:rPr>
          <w:rFonts w:ascii="Carlito" w:hAnsi="Carlito" w:eastAsia="Carlito"/>
        </w:rPr>
        <w:t>GSE241553 has no non-AD comparison.</w:t>
      </w:r>
    </w:p>
    <w:p>
      <w:pPr>
        <w:pStyle w:val="ListBullet"/>
        <w:spacing w:after="60"/>
      </w:pPr>
      <w:r>
        <w:rPr>
          <w:rFonts w:ascii="Carlito" w:hAnsi="Carlito" w:eastAsia="Carlito"/>
        </w:rPr>
        <w:t>GSE185063 has no AD background and requires careful sex-metadata verification.</w:t>
      </w:r>
    </w:p>
    <w:p>
      <w:pPr>
        <w:pStyle w:val="ListBullet"/>
        <w:spacing w:after="60"/>
      </w:pPr>
      <w:r>
        <w:rPr>
          <w:rFonts w:ascii="Carlito" w:hAnsi="Carlito" w:eastAsia="Carlito"/>
        </w:rPr>
        <w:t>GSE163857 is bulk sorted microglia, not broad cortical single-cell data, and its control groups are small.</w:t>
      </w:r>
    </w:p>
    <w:p>
      <w:pPr>
        <w:pStyle w:val="ListBullet"/>
        <w:spacing w:after="60"/>
      </w:pPr>
      <w:r>
        <w:rPr>
          <w:rFonts w:ascii="Carlito" w:hAnsi="Carlito" w:eastAsia="Carlito"/>
        </w:rPr>
        <w:t>Pooled or one-library-per-group datasets should be used descriptively rather than for ordinary replicate-aware inference.</w:t>
      </w:r>
    </w:p>
    <w:p>
      <w:pPr>
        <w:pStyle w:val="ListBullet"/>
        <w:spacing w:after="60"/>
      </w:pPr>
      <w:r>
        <w:rPr>
          <w:rFonts w:ascii="Carlito" w:hAnsi="Carlito" w:eastAsia="Carlito"/>
        </w:rPr>
        <w:t>Human-to-mouse validation should emphasize conserved pathways and pre-specified gene modules, not only exact one-gene matches.</w:t>
      </w:r>
    </w:p>
    <w:p>
      <w:pPr>
        <w:pStyle w:val="Heading1"/>
      </w:pPr>
      <w:r>
        <w:t>Sources and verification links</w:t>
      </w:r>
    </w:p>
    <w:p>
      <w:pPr>
        <w:pStyle w:val="SmallText"/>
      </w:pPr>
      <w:r>
        <w:rPr>
          <w:rFonts w:ascii="Carlito" w:hAnsi="Carlito" w:eastAsia="Carlito"/>
          <w:color w:val="24303F"/>
          <w:sz w:val="17"/>
        </w:rPr>
        <w:t xml:space="preserve">1. GEO: GSE241553: </w:t>
      </w:r>
      <w:hyperlink r:id="rId13">
        <w:r>
          <w:rPr>
            <w:rFonts w:ascii="Carlito" w:hAnsi="Carlito"/>
            <w:color w:val="2F5597"/>
            <w:u w:val="single"/>
            <w:sz w:val="17"/>
            <w:szCs w:val="17"/>
          </w:rPr>
          <w:t>https://www.ncbi.nlm.nih.gov/geo/query/acc.cgi?acc=GSE241553</w:t>
        </w:r>
      </w:hyperlink>
    </w:p>
    <w:p>
      <w:pPr>
        <w:pStyle w:val="SmallText"/>
      </w:pPr>
      <w:r>
        <w:rPr>
          <w:rFonts w:ascii="Carlito" w:hAnsi="Carlito" w:eastAsia="Carlito"/>
          <w:color w:val="24303F"/>
          <w:sz w:val="17"/>
        </w:rPr>
        <w:t xml:space="preserve">2. GEO: GSE185063: </w:t>
      </w:r>
      <w:hyperlink r:id="rId14">
        <w:r>
          <w:rPr>
            <w:rFonts w:ascii="Carlito" w:hAnsi="Carlito"/>
            <w:color w:val="2F5597"/>
            <w:u w:val="single"/>
            <w:sz w:val="17"/>
            <w:szCs w:val="17"/>
          </w:rPr>
          <w:t>https://www.ncbi.nlm.nih.gov/geo/query/acc.cgi?acc=GSE185063</w:t>
        </w:r>
      </w:hyperlink>
    </w:p>
    <w:p>
      <w:pPr>
        <w:pStyle w:val="SmallText"/>
      </w:pPr>
      <w:r>
        <w:rPr>
          <w:rFonts w:ascii="Carlito" w:hAnsi="Carlito" w:eastAsia="Carlito"/>
          <w:color w:val="24303F"/>
          <w:sz w:val="17"/>
        </w:rPr>
        <w:t xml:space="preserve">3. Barisano et al., Journal of Experimental Medicine, 2022: </w:t>
      </w:r>
      <w:hyperlink r:id="rId22">
        <w:r>
          <w:rPr>
            <w:rFonts w:ascii="Carlito" w:hAnsi="Carlito"/>
            <w:color w:val="2F5597"/>
            <w:u w:val="single"/>
            <w:sz w:val="17"/>
            <w:szCs w:val="17"/>
          </w:rPr>
          <w:t>https://doi.org/10.1084/jem.20221137</w:t>
        </w:r>
      </w:hyperlink>
    </w:p>
    <w:p>
      <w:pPr>
        <w:pStyle w:val="SmallText"/>
      </w:pPr>
      <w:r>
        <w:rPr>
          <w:rFonts w:ascii="Carlito" w:hAnsi="Carlito" w:eastAsia="Carlito"/>
          <w:color w:val="24303F"/>
          <w:sz w:val="17"/>
        </w:rPr>
        <w:t xml:space="preserve">4. GEO: GSE163857: </w:t>
      </w:r>
      <w:hyperlink r:id="rId15">
        <w:r>
          <w:rPr>
            <w:rFonts w:ascii="Carlito" w:hAnsi="Carlito"/>
            <w:color w:val="2F5597"/>
            <w:u w:val="single"/>
            <w:sz w:val="17"/>
            <w:szCs w:val="17"/>
          </w:rPr>
          <w:t>https://www.ncbi.nlm.nih.gov/geo/query/acc.cgi?acc=GSE163857</w:t>
        </w:r>
      </w:hyperlink>
    </w:p>
    <w:p>
      <w:pPr>
        <w:pStyle w:val="SmallText"/>
      </w:pPr>
      <w:r>
        <w:rPr>
          <w:rFonts w:ascii="Carlito" w:hAnsi="Carlito" w:eastAsia="Carlito"/>
          <w:color w:val="24303F"/>
          <w:sz w:val="17"/>
        </w:rPr>
        <w:t xml:space="preserve">5. GEO: GSE140399: </w:t>
      </w:r>
      <w:hyperlink r:id="rId17">
        <w:r>
          <w:rPr>
            <w:rFonts w:ascii="Carlito" w:hAnsi="Carlito"/>
            <w:color w:val="2F5597"/>
            <w:u w:val="single"/>
            <w:sz w:val="17"/>
            <w:szCs w:val="17"/>
          </w:rPr>
          <w:t>https://www.ncbi.nlm.nih.gov/geo/query/acc.cgi?acc=GSE140399</w:t>
        </w:r>
      </w:hyperlink>
    </w:p>
    <w:p>
      <w:pPr>
        <w:pStyle w:val="SmallText"/>
      </w:pPr>
      <w:r>
        <w:rPr>
          <w:rFonts w:ascii="Carlito" w:hAnsi="Carlito" w:eastAsia="Carlito"/>
          <w:color w:val="24303F"/>
          <w:sz w:val="17"/>
        </w:rPr>
        <w:t xml:space="preserve">6. GEO: GSE140510: </w:t>
      </w:r>
      <w:hyperlink r:id="rId18">
        <w:r>
          <w:rPr>
            <w:rFonts w:ascii="Carlito" w:hAnsi="Carlito"/>
            <w:color w:val="2F5597"/>
            <w:u w:val="single"/>
            <w:sz w:val="17"/>
            <w:szCs w:val="17"/>
          </w:rPr>
          <w:t>https://www.ncbi.nlm.nih.gov/geo/query/acc.cgi?acc=GSE140510</w:t>
        </w:r>
      </w:hyperlink>
    </w:p>
    <w:p>
      <w:pPr>
        <w:pStyle w:val="SmallText"/>
      </w:pPr>
      <w:r>
        <w:rPr>
          <w:rFonts w:ascii="Carlito" w:hAnsi="Carlito" w:eastAsia="Carlito"/>
          <w:color w:val="24303F"/>
          <w:sz w:val="17"/>
        </w:rPr>
        <w:t xml:space="preserve">7. GEO: GSE143758: </w:t>
      </w:r>
      <w:hyperlink r:id="rId19">
        <w:r>
          <w:rPr>
            <w:rFonts w:ascii="Carlito" w:hAnsi="Carlito"/>
            <w:color w:val="2F5597"/>
            <w:u w:val="single"/>
            <w:sz w:val="17"/>
            <w:szCs w:val="17"/>
          </w:rPr>
          <w:t>https://www.ncbi.nlm.nih.gov/geo/query/acc.cgi?acc=GSE143758</w:t>
        </w:r>
      </w:hyperlink>
    </w:p>
    <w:p>
      <w:pPr>
        <w:pStyle w:val="SmallText"/>
      </w:pPr>
      <w:r>
        <w:rPr>
          <w:rFonts w:ascii="Carlito" w:hAnsi="Carlito" w:eastAsia="Carlito"/>
          <w:color w:val="24303F"/>
          <w:sz w:val="17"/>
        </w:rPr>
        <w:t xml:space="preserve">8. GEO: GSE225503: </w:t>
      </w:r>
      <w:hyperlink r:id="rId20">
        <w:r>
          <w:rPr>
            <w:rFonts w:ascii="Carlito" w:hAnsi="Carlito"/>
            <w:color w:val="2F5597"/>
            <w:u w:val="single"/>
            <w:sz w:val="17"/>
            <w:szCs w:val="17"/>
          </w:rPr>
          <w:t>https://www.ncbi.nlm.nih.gov/geo/query/acc.cgi?acc=GSE225503</w:t>
        </w:r>
      </w:hyperlink>
    </w:p>
    <w:p>
      <w:pPr>
        <w:pStyle w:val="SmallText"/>
      </w:pPr>
      <w:r>
        <w:rPr>
          <w:rFonts w:ascii="Carlito" w:hAnsi="Carlito" w:eastAsia="Carlito"/>
          <w:color w:val="24303F"/>
          <w:sz w:val="17"/>
        </w:rPr>
        <w:t xml:space="preserve">9. Zhou et al., Nature Medicine, 2020: </w:t>
      </w:r>
      <w:hyperlink r:id="rId23">
        <w:r>
          <w:rPr>
            <w:rFonts w:ascii="Carlito" w:hAnsi="Carlito"/>
            <w:color w:val="2F5597"/>
            <w:u w:val="single"/>
            <w:sz w:val="17"/>
            <w:szCs w:val="17"/>
          </w:rPr>
          <w:t>https://pubmed.ncbi.nlm.nih.gov/31932797/</w:t>
        </w:r>
      </w:hyperlink>
    </w:p>
    <w:p>
      <w:pPr>
        <w:pStyle w:val="SmallText"/>
      </w:pPr>
      <w:r>
        <w:rPr>
          <w:rFonts w:ascii="Carlito" w:hAnsi="Carlito" w:eastAsia="Carlito"/>
        </w:rPr>
        <w:t>Scientific planning note: dataset metadata should be re-audited immediately before analysis. The document distinguishes directly verified GEO or paper facts from analysis recommendations and inferential choices.</w:t>
      </w:r>
    </w:p>
    <w:sectPr w:rsidR="00FC693F" w:rsidRPr="0006063C" w:rsidSect="00034616">
      <w:headerReference w:type="default" r:id="rId9"/>
      <w:footerReference w:type="default" r:id="rId10"/>
      <w:pgSz w:w="12240" w:h="15840"/>
      <w:pgMar w:top="893" w:right="965" w:bottom="893" w:left="965"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rlito" w:hAnsi="Carlito" w:eastAsia="Carlito"/>
        <w:color w:val="5B6573"/>
        <w:sz w:val="17"/>
      </w:rPr>
      <w:t xml:space="preserve">Page </w:t>
    </w:r>
    <w:r>
      <w:rPr>
        <w:rFonts w:ascii="Carlito" w:hAnsi="Carlito"/>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1" w:color="CBD3DD"/>
      </w:pBdr>
    </w:pPr>
    <w:r>
      <w:rPr>
        <w:rFonts w:ascii="Carlito" w:hAnsi="Carlito" w:eastAsia="Carlito"/>
        <w:b/>
        <w:color w:val="5B6573"/>
        <w:sz w:val="17"/>
      </w:rPr>
      <w:t>Revised mouse validation strategy - human PFC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rlito" w:hAnsi="Carlito"/>
      <w:color w:val="24303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rlito" w:hAnsi="Carlito"/>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Carlito" w:hAnsi="Carlito"/>
      <w:b/>
      <w:bCs/>
      <w:color w:val="1F7A8C"/>
      <w:sz w:val="27"/>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Carlito" w:hAnsi="Carlito"/>
      <w:b/>
      <w:bCs/>
      <w:color w:val="6B5CA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Carlito" w:hAnsi="Carlito"/>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Carlito" w:hAnsi="Carlito"/>
      <w:b w:val="0"/>
      <w:i/>
      <w:iCs/>
      <w:color w:val="5B6573"/>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line="240" w:lineRule="auto"/>
    </w:pPr>
    <w:rPr>
      <w:rFonts w:ascii="Carlito" w:hAnsi="Carlito"/>
      <w:color w:val="5B6573"/>
      <w:sz w:val="17"/>
    </w:rPr>
  </w:style>
  <w:style w:type="paragraph" w:customStyle="1" w:styleId="CodeBlock">
    <w:name w:val="Code Block"/>
    <w:pPr>
      <w:spacing w:before="60" w:after="100" w:line="240" w:lineRule="auto"/>
      <w:ind w:left="259" w:right="259"/>
    </w:pPr>
    <w:rPr>
      <w:rFonts w:ascii="DejaVu Sans Mono" w:hAnsi="DejaVu Sans Mono"/>
      <w:color w:val="24303F"/>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ncbi.nlm.nih.gov/geo/query/acc.cgi?acc=GSE241553" TargetMode="External"/><Relationship Id="rId14" Type="http://schemas.openxmlformats.org/officeDocument/2006/relationships/hyperlink" Target="https://www.ncbi.nlm.nih.gov/geo/query/acc.cgi?acc=GSE185063" TargetMode="External"/><Relationship Id="rId15" Type="http://schemas.openxmlformats.org/officeDocument/2006/relationships/hyperlink" Target="https://www.ncbi.nlm.nih.gov/geo/query/acc.cgi?acc=GSE163857" TargetMode="External"/><Relationship Id="rId16" Type="http://schemas.openxmlformats.org/officeDocument/2006/relationships/image" Target="media/image3.png"/><Relationship Id="rId17" Type="http://schemas.openxmlformats.org/officeDocument/2006/relationships/hyperlink" Target="https://www.ncbi.nlm.nih.gov/geo/query/acc.cgi?acc=GSE140399" TargetMode="External"/><Relationship Id="rId18" Type="http://schemas.openxmlformats.org/officeDocument/2006/relationships/hyperlink" Target="https://www.ncbi.nlm.nih.gov/geo/query/acc.cgi?acc=GSE140510" TargetMode="External"/><Relationship Id="rId19" Type="http://schemas.openxmlformats.org/officeDocument/2006/relationships/hyperlink" Target="https://www.ncbi.nlm.nih.gov/geo/query/acc.cgi?acc=GSE143758" TargetMode="External"/><Relationship Id="rId20" Type="http://schemas.openxmlformats.org/officeDocument/2006/relationships/hyperlink" Target="https://www.ncbi.nlm.nih.gov/geo/query/acc.cgi?acc=GSE225503" TargetMode="External"/><Relationship Id="rId21" Type="http://schemas.openxmlformats.org/officeDocument/2006/relationships/image" Target="media/image4.png"/><Relationship Id="rId22" Type="http://schemas.openxmlformats.org/officeDocument/2006/relationships/hyperlink" Target="https://doi.org/10.1084/jem.20221137" TargetMode="External"/><Relationship Id="rId23" Type="http://schemas.openxmlformats.org/officeDocument/2006/relationships/hyperlink" Target="https://pubmed.ncbi.nlm.nih.gov/319327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