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10"/>
      </w:tblGrid>
      <w:tr>
        <w:tc>
          <w:tcPr>
            <w:tcW w:type="dxa" w:w="10080"/>
            <w:shd w:fill="17324D"/>
            <w:tcMar>
              <w:top w:w="420" w:type="dxa"/>
              <w:start w:w="320" w:type="dxa"/>
              <w:bottom w:w="420" w:type="dxa"/>
              <w:end w:w="320" w:type="dxa"/>
            </w:tcMar>
          </w:tcPr>
          <w:p>
            <w:pPr>
              <w:jc w:val="center"/>
            </w:pPr>
            <w:r>
              <w:rPr>
                <w:rFonts w:ascii="Carlito" w:hAnsi="Carlito" w:eastAsia="Carlito"/>
                <w:b/>
                <w:color w:val="FFFFFF"/>
                <w:sz w:val="48"/>
              </w:rPr>
              <w:t>Beginner's Tutorial: Validating Human PFC Alzheimer's Findings with Mouse Data</w:t>
            </w:r>
          </w:p>
          <w:p>
            <w:pPr>
              <w:jc w:val="center"/>
            </w:pPr>
            <w:r>
              <w:rPr>
                <w:rFonts w:ascii="Carlito" w:hAnsi="Carlito" w:eastAsia="Carlito"/>
                <w:color w:val="D9E7F3"/>
                <w:sz w:val="25"/>
              </w:rPr>
              <w:t>How to use complementary APOE, sex, disease, and single-cell datasets</w:t>
            </w:r>
          </w:p>
        </w:tc>
      </w:tr>
    </w:tbl>
    <w:p>
      <w:pPr>
        <w:jc w:val="center"/>
      </w:pPr>
      <w:r>
        <w:rPr>
          <w:rFonts w:ascii="Carlito" w:hAnsi="Carlito" w:eastAsia="Carlito"/>
          <w:i/>
          <w:color w:val="5B6573"/>
          <w:sz w:val="22"/>
        </w:rPr>
        <w:t>Prepared for a human prefrontal cortex Alzheimer's disease validation project</w:t>
      </w:r>
    </w:p>
    <w:p>
      <w:pPr>
        <w:jc w:val="center"/>
      </w:pPr>
      <w:r>
        <w:rPr>
          <w:rFonts w:ascii="Carlito" w:hAnsi="Carlito" w:eastAsia="Carlito"/>
          <w:color w:val="5B6573"/>
          <w:sz w:val="20"/>
        </w:rPr>
        <w:t>Updated August 22, 2026</w:t>
      </w:r>
    </w:p>
    <w:tbl>
      <w:tblPr>
        <w:tblW w:type="auto" w:w="0"/>
        <w:jc w:val="center"/>
        <w:tblLayout w:type="fixed"/>
        <w:tblLook w:firstColumn="1" w:firstRow="1" w:lastColumn="0" w:lastRow="0" w:noHBand="0" w:noVBand="1" w:val="04A0"/>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Pr>
      <w:tblGrid>
        <w:gridCol w:w="10310"/>
      </w:tblGrid>
      <w:tr>
        <w:tc>
          <w:tcPr>
            <w:tcW w:type="dxa" w:w="10080"/>
            <w:shd w:fill="EAF1FB"/>
            <w:tcMar>
              <w:top w:w="120" w:type="dxa"/>
              <w:start w:w="150" w:type="dxa"/>
              <w:bottom w:w="120" w:type="dxa"/>
              <w:end w:w="150" w:type="dxa"/>
            </w:tcMar>
          </w:tcPr>
          <w:p>
            <w:pPr>
              <w:spacing w:after="40"/>
            </w:pPr>
            <w:r>
              <w:rPr>
                <w:rFonts w:ascii="Carlito" w:hAnsi="Carlito" w:eastAsia="Carlito"/>
                <w:b/>
                <w:color w:val="2F5597"/>
                <w:sz w:val="21"/>
              </w:rPr>
              <w:t>Scope note</w:t>
            </w:r>
          </w:p>
          <w:p>
            <w:pPr>
              <w:spacing w:after="0"/>
            </w:pPr>
            <w:r>
              <w:rPr>
                <w:rFonts w:ascii="Carlito" w:hAnsi="Carlito" w:eastAsia="Carlito"/>
                <w:color w:val="24303F"/>
                <w:sz w:val="20"/>
              </w:rPr>
              <w:t>This tutorial assumes no advanced biology background. It explains the vocabulary first, then walks through the revised three-dataset strategy. Examples and numerical plots are educational illustrations, not biological results.</w:t>
            </w:r>
          </w:p>
        </w:tc>
      </w:tr>
    </w:tbl>
    <w:p>
      <w:pPr>
        <w:spacing w:after="0"/>
      </w:pPr>
    </w:p>
    <w:p>
      <w:r>
        <w:br w:type="page"/>
      </w:r>
    </w:p>
    <w:p>
      <w:pPr>
        <w:pStyle w:val="Heading1"/>
      </w:pPr>
      <w:r>
        <w:t>How to use this tutorial</w:t>
      </w:r>
    </w:p>
    <w:p>
      <w:r>
        <w:rPr>
          <w:rFonts w:ascii="Carlito" w:hAnsi="Carlito" w:eastAsia="Carlito"/>
        </w:rPr>
        <w:t>Read Chapters 1-5 first if you are new to Alzheimer's biology or RNA sequencing. Chapters 6-10 describe the actual project workflow. Chapters 11-14 show how to interpret results, avoid common mistakes, and prepare figures for a paper.</w:t>
      </w:r>
    </w:p>
    <w:tbl>
      <w:tblPr>
        <w:tblW w:type="auto" w:w="0"/>
        <w:jc w:val="center"/>
        <w:tblLayout w:type="fixed"/>
        <w:tblLook w:firstColumn="1" w:firstRow="1" w:lastColumn="0" w:lastRow="0" w:noHBand="0" w:noVBand="1" w:val="04A0"/>
        <w:tblBorders>
          <w:top w:val="single" w:sz="10" w:space="0" w:color="1F7A8C"/>
          <w:left w:val="single" w:sz="10" w:space="0" w:color="1F7A8C"/>
          <w:bottom w:val="single" w:sz="10" w:space="0" w:color="1F7A8C"/>
          <w:right w:val="single" w:sz="10" w:space="0" w:color="1F7A8C"/>
          <w:insideH w:val="single" w:sz="10" w:space="0" w:color="1F7A8C"/>
          <w:insideV w:val="single" w:sz="10" w:space="0" w:color="1F7A8C"/>
        </w:tblBorders>
      </w:tblPr>
      <w:tblGrid>
        <w:gridCol w:w="10310"/>
      </w:tblGrid>
      <w:tr>
        <w:tc>
          <w:tcPr>
            <w:tcW w:type="dxa" w:w="10080"/>
            <w:shd w:fill="EAF6F7"/>
            <w:tcMar>
              <w:top w:w="120" w:type="dxa"/>
              <w:start w:w="150" w:type="dxa"/>
              <w:bottom w:w="120" w:type="dxa"/>
              <w:end w:w="150" w:type="dxa"/>
            </w:tcMar>
          </w:tcPr>
          <w:p>
            <w:pPr>
              <w:spacing w:after="40"/>
            </w:pPr>
            <w:r>
              <w:rPr>
                <w:rFonts w:ascii="Carlito" w:hAnsi="Carlito" w:eastAsia="Carlito"/>
                <w:b/>
                <w:color w:val="1F7A8C"/>
                <w:sz w:val="21"/>
              </w:rPr>
              <w:t>The one-sentence plan</w:t>
            </w:r>
          </w:p>
          <w:p>
            <w:pPr>
              <w:spacing w:after="0"/>
            </w:pPr>
            <w:r>
              <w:rPr>
                <w:rFonts w:ascii="Carlito" w:hAnsi="Carlito" w:eastAsia="Carlito"/>
                <w:color w:val="24303F"/>
                <w:sz w:val="20"/>
              </w:rPr>
              <w:t>Use GSE241553 to test APOE-by-sex patterns in mouse cortex under amyloid, GSE185063 to learn which cortical cell types carry the signal, and GSE163857 to test the complete APOE-by-sex-by-disease pattern in microglia. Treat the other datasets as specialized supporting evidence.</w:t>
            </w:r>
          </w:p>
        </w:tc>
      </w:tr>
    </w:tbl>
    <w:p>
      <w:pPr>
        <w:spacing w:after="0"/>
      </w:pPr>
    </w:p>
    <w:p>
      <w:pPr>
        <w:jc w:val="center"/>
      </w:pPr>
      <w:r>
        <w:drawing>
          <wp:inline xmlns:a="http://schemas.openxmlformats.org/drawingml/2006/main" xmlns:pic="http://schemas.openxmlformats.org/drawingml/2006/picture">
            <wp:extent cx="6309360" cy="3814611"/>
            <wp:docPr id="1" name="Picture 1" descr="A diagram of human PFC findings feeding into three core mouse datasets and optional supporting datasets." title="Figure 1. The three core datasets answer different pieces of the same question."/>
            <wp:cNvGraphicFramePr>
              <a:graphicFrameLocks noChangeAspect="1"/>
            </wp:cNvGraphicFramePr>
            <a:graphic>
              <a:graphicData uri="http://schemas.openxmlformats.org/drawingml/2006/picture">
                <pic:pic>
                  <pic:nvPicPr>
                    <pic:cNvPr id="0" name="strategy_architecture.png"/>
                    <pic:cNvPicPr/>
                  </pic:nvPicPr>
                  <pic:blipFill>
                    <a:blip r:embed="rId11"/>
                    <a:stretch>
                      <a:fillRect/>
                    </a:stretch>
                  </pic:blipFill>
                  <pic:spPr>
                    <a:xfrm>
                      <a:off x="0" y="0"/>
                      <a:ext cx="6309360" cy="3814611"/>
                    </a:xfrm>
                    <a:prstGeom prst="rect"/>
                  </pic:spPr>
                </pic:pic>
              </a:graphicData>
            </a:graphic>
          </wp:inline>
        </w:drawing>
      </w:r>
    </w:p>
    <w:p>
      <w:pPr>
        <w:spacing w:after="120"/>
        <w:jc w:val="center"/>
      </w:pPr>
      <w:r>
        <w:rPr>
          <w:rFonts w:ascii="Carlito" w:hAnsi="Carlito" w:eastAsia="Carlito"/>
          <w:i/>
          <w:color w:val="5B6573"/>
          <w:sz w:val="17"/>
        </w:rPr>
        <w:t>Figure 1. The three core datasets answer different pieces of the same question.</w:t>
      </w:r>
    </w:p>
    <w:p>
      <w:pPr>
        <w:pStyle w:val="Heading1"/>
      </w:pPr>
      <w:r>
        <w:t>1. The biological question in plain language</w:t>
      </w:r>
    </w:p>
    <w:p>
      <w:r>
        <w:rPr>
          <w:rFonts w:ascii="Carlito" w:hAnsi="Carlito" w:eastAsia="Carlito"/>
        </w:rPr>
        <w:t>Your human study starts with tissue from the prefrontal cortex, usually shortened to PFC. You are asking whether Alzheimer's disease changes gene activity differently depending on a person's APOE type and sex, and whether those changes occur in specific brain cell types.</w:t>
      </w:r>
    </w:p>
    <w:p>
      <w:r>
        <w:rPr>
          <w:rFonts w:ascii="Carlito" w:hAnsi="Carlito" w:eastAsia="Carlito"/>
        </w:rPr>
        <w:t>Mouse data are used as external validation. External validation means checking whether a result appears again in a different experiment. A mouse study cannot perfectly reproduce a human brain, but it can test whether the same cell type, gene group, or biological pathway changes in a similar direction.</w:t>
      </w:r>
    </w:p>
    <w:tbl>
      <w:tblPr>
        <w:tblW w:type="auto" w:w="0"/>
        <w:jc w:val="center"/>
        <w:tblLayout w:type="fixed"/>
        <w:tblLook w:firstColumn="1" w:firstRow="1" w:lastColumn="0" w:lastRow="0" w:noHBand="0" w:noVBand="1" w:val="04A0"/>
        <w:tblBorders>
          <w:top w:val="single" w:sz="10" w:space="0" w:color="1F7A8C"/>
          <w:left w:val="single" w:sz="10" w:space="0" w:color="1F7A8C"/>
          <w:bottom w:val="single" w:sz="10" w:space="0" w:color="1F7A8C"/>
          <w:right w:val="single" w:sz="10" w:space="0" w:color="1F7A8C"/>
          <w:insideH w:val="single" w:sz="10" w:space="0" w:color="1F7A8C"/>
          <w:insideV w:val="single" w:sz="10" w:space="0" w:color="1F7A8C"/>
        </w:tblBorders>
      </w:tblPr>
      <w:tblGrid>
        <w:gridCol w:w="10310"/>
      </w:tblGrid>
      <w:tr>
        <w:tc>
          <w:tcPr>
            <w:tcW w:type="dxa" w:w="10080"/>
            <w:shd w:fill="EAF6F7"/>
            <w:tcMar>
              <w:top w:w="120" w:type="dxa"/>
              <w:start w:w="150" w:type="dxa"/>
              <w:bottom w:w="120" w:type="dxa"/>
              <w:end w:w="150" w:type="dxa"/>
            </w:tcMar>
          </w:tcPr>
          <w:p>
            <w:pPr>
              <w:spacing w:after="40"/>
            </w:pPr>
            <w:r>
              <w:rPr>
                <w:rFonts w:ascii="Carlito" w:hAnsi="Carlito" w:eastAsia="Carlito"/>
                <w:b/>
                <w:color w:val="1F7A8C"/>
                <w:sz w:val="21"/>
              </w:rPr>
              <w:t>Important idea</w:t>
            </w:r>
          </w:p>
          <w:p>
            <w:pPr>
              <w:spacing w:after="0"/>
            </w:pPr>
            <w:r>
              <w:rPr>
                <w:rFonts w:ascii="Carlito" w:hAnsi="Carlito" w:eastAsia="Carlito"/>
                <w:color w:val="24303F"/>
                <w:sz w:val="20"/>
              </w:rPr>
              <w:t>Validation is not all-or-nothing. A result can receive regional support, cell-type support, pathway support, or full-factorial support. The wording of the conclusion should match the type of evidence.</w:t>
            </w:r>
          </w:p>
        </w:tc>
      </w:tr>
    </w:tbl>
    <w:p>
      <w:pPr>
        <w:spacing w:after="0"/>
      </w:pPr>
    </w:p>
    <w:p>
      <w:pPr>
        <w:pStyle w:val="Heading1"/>
      </w:pPr>
      <w:r>
        <w:t>2. Essential biology vocabulary</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2088"/>
            <w:shd w:fill="17324D"/>
            <w:tcMar>
              <w:top w:w="80" w:type="dxa"/>
              <w:start w:w="80" w:type="dxa"/>
              <w:bottom w:w="80" w:type="dxa"/>
              <w:end w:w="80" w:type="dxa"/>
            </w:tcMar>
            <w:vAlign w:val="center"/>
          </w:tcPr>
          <w:p>
            <w:r>
              <w:rPr>
                <w:rFonts w:ascii="Carlito" w:hAnsi="Carlito" w:eastAsia="Carlito"/>
                <w:b/>
                <w:color w:val="FFFFFF"/>
                <w:sz w:val="16"/>
              </w:rPr>
              <w:t>Term</w:t>
            </w:r>
          </w:p>
        </w:tc>
        <w:tc>
          <w:tcPr>
            <w:tcW w:type="dxa" w:w="4392"/>
            <w:shd w:fill="17324D"/>
            <w:tcMar>
              <w:top w:w="80" w:type="dxa"/>
              <w:start w:w="80" w:type="dxa"/>
              <w:bottom w:w="80" w:type="dxa"/>
              <w:end w:w="80" w:type="dxa"/>
            </w:tcMar>
            <w:vAlign w:val="center"/>
          </w:tcPr>
          <w:p>
            <w:r>
              <w:rPr>
                <w:rFonts w:ascii="Carlito" w:hAnsi="Carlito" w:eastAsia="Carlito"/>
                <w:b/>
                <w:color w:val="FFFFFF"/>
                <w:sz w:val="16"/>
              </w:rPr>
              <w:t>Beginner definition</w:t>
            </w:r>
          </w:p>
        </w:tc>
        <w:tc>
          <w:tcPr>
            <w:tcW w:type="dxa" w:w="3384"/>
            <w:shd w:fill="17324D"/>
            <w:tcMar>
              <w:top w:w="80" w:type="dxa"/>
              <w:start w:w="80" w:type="dxa"/>
              <w:bottom w:w="80" w:type="dxa"/>
              <w:end w:w="80" w:type="dxa"/>
            </w:tcMar>
            <w:vAlign w:val="center"/>
          </w:tcPr>
          <w:p>
            <w:r>
              <w:rPr>
                <w:rFonts w:ascii="Carlito" w:hAnsi="Carlito" w:eastAsia="Carlito"/>
                <w:b/>
                <w:color w:val="FFFFFF"/>
                <w:sz w:val="16"/>
              </w:rPr>
              <w:t>Why it matters here</w:t>
            </w:r>
          </w:p>
        </w:tc>
      </w:tr>
      <w:tr>
        <w:trPr>
          <w:cantSplit/>
        </w:trPr>
        <w:tc>
          <w:tcPr>
            <w:tcW w:type="dxa" w:w="2088"/>
            <w:tcMar>
              <w:top w:w="75" w:type="dxa"/>
              <w:start w:w="75" w:type="dxa"/>
              <w:bottom w:w="75" w:type="dxa"/>
              <w:end w:w="75" w:type="dxa"/>
            </w:tcMar>
            <w:vAlign w:val="top"/>
          </w:tcPr>
          <w:p>
            <w:r>
              <w:rPr>
                <w:rFonts w:ascii="Carlito" w:hAnsi="Carlito" w:eastAsia="Carlito"/>
                <w:b/>
                <w:color w:val="24303F"/>
                <w:sz w:val="16"/>
              </w:rPr>
              <w:t>Alzheimer's disease (AD)</w:t>
            </w:r>
          </w:p>
        </w:tc>
        <w:tc>
          <w:tcPr>
            <w:tcW w:type="dxa" w:w="4392"/>
            <w:tcMar>
              <w:top w:w="75" w:type="dxa"/>
              <w:start w:w="75" w:type="dxa"/>
              <w:bottom w:w="75" w:type="dxa"/>
              <w:end w:w="75" w:type="dxa"/>
            </w:tcMar>
            <w:vAlign w:val="top"/>
          </w:tcPr>
          <w:p>
            <w:r>
              <w:rPr>
                <w:rFonts w:ascii="Carlito" w:hAnsi="Carlito" w:eastAsia="Carlito"/>
                <w:b w:val="0"/>
                <w:color w:val="24303F"/>
                <w:sz w:val="16"/>
              </w:rPr>
              <w:t>A brain disease involving memory and thinking problems, abnormal proteins, inflammation, and loss of brain function.</w:t>
            </w:r>
          </w:p>
        </w:tc>
        <w:tc>
          <w:tcPr>
            <w:tcW w:type="dxa" w:w="3384"/>
            <w:tcMar>
              <w:top w:w="75" w:type="dxa"/>
              <w:start w:w="75" w:type="dxa"/>
              <w:bottom w:w="75" w:type="dxa"/>
              <w:end w:w="75" w:type="dxa"/>
            </w:tcMar>
            <w:vAlign w:val="top"/>
          </w:tcPr>
          <w:p>
            <w:r>
              <w:rPr>
                <w:rFonts w:ascii="Carlito" w:hAnsi="Carlito" w:eastAsia="Carlito"/>
                <w:b w:val="0"/>
                <w:color w:val="24303F"/>
                <w:sz w:val="16"/>
              </w:rPr>
              <w:t>The mouse models imitate selected parts of AD, especially amyloid pathology.</w:t>
            </w:r>
          </w:p>
        </w:tc>
      </w:tr>
      <w:tr>
        <w:trPr>
          <w:cantSplit/>
        </w:trPr>
        <w:tc>
          <w:tcPr>
            <w:tcW w:type="dxa" w:w="2088"/>
            <w:tcMar>
              <w:top w:w="75" w:type="dxa"/>
              <w:start w:w="75" w:type="dxa"/>
              <w:bottom w:w="75" w:type="dxa"/>
              <w:end w:w="75" w:type="dxa"/>
            </w:tcMar>
            <w:vAlign w:val="top"/>
            <w:shd w:fill="F3F5F7"/>
          </w:tcPr>
          <w:p>
            <w:r>
              <w:rPr>
                <w:rFonts w:ascii="Carlito" w:hAnsi="Carlito" w:eastAsia="Carlito"/>
                <w:b/>
                <w:color w:val="24303F"/>
                <w:sz w:val="16"/>
              </w:rPr>
              <w:t>Prefrontal cortex (PFC)</w:t>
            </w:r>
          </w:p>
        </w:tc>
        <w:tc>
          <w:tcPr>
            <w:tcW w:type="dxa" w:w="4392"/>
            <w:tcMar>
              <w:top w:w="75" w:type="dxa"/>
              <w:start w:w="75" w:type="dxa"/>
              <w:bottom w:w="75" w:type="dxa"/>
              <w:end w:w="75" w:type="dxa"/>
            </w:tcMar>
            <w:vAlign w:val="top"/>
            <w:shd w:fill="F3F5F7"/>
          </w:tcPr>
          <w:p>
            <w:r>
              <w:rPr>
                <w:rFonts w:ascii="Carlito" w:hAnsi="Carlito" w:eastAsia="Carlito"/>
                <w:b w:val="0"/>
                <w:color w:val="24303F"/>
                <w:sz w:val="16"/>
              </w:rPr>
              <w:t>A front part of the cerebral cortex involved in planning, judgment, attention, and working memory.</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Your human discovery tissue comes from this region, so cortical mouse tissue is preferred.</w:t>
            </w:r>
          </w:p>
        </w:tc>
      </w:tr>
      <w:tr>
        <w:trPr>
          <w:cantSplit/>
        </w:trPr>
        <w:tc>
          <w:tcPr>
            <w:tcW w:type="dxa" w:w="2088"/>
            <w:tcMar>
              <w:top w:w="75" w:type="dxa"/>
              <w:start w:w="75" w:type="dxa"/>
              <w:bottom w:w="75" w:type="dxa"/>
              <w:end w:w="75" w:type="dxa"/>
            </w:tcMar>
            <w:vAlign w:val="top"/>
          </w:tcPr>
          <w:p>
            <w:r>
              <w:rPr>
                <w:rFonts w:ascii="Carlito" w:hAnsi="Carlito" w:eastAsia="Carlito"/>
                <w:b/>
                <w:color w:val="24303F"/>
                <w:sz w:val="16"/>
              </w:rPr>
              <w:t>APOE</w:t>
            </w:r>
          </w:p>
        </w:tc>
        <w:tc>
          <w:tcPr>
            <w:tcW w:type="dxa" w:w="4392"/>
            <w:tcMar>
              <w:top w:w="75" w:type="dxa"/>
              <w:start w:w="75" w:type="dxa"/>
              <w:bottom w:w="75" w:type="dxa"/>
              <w:end w:w="75" w:type="dxa"/>
            </w:tcMar>
            <w:vAlign w:val="top"/>
          </w:tcPr>
          <w:p>
            <w:r>
              <w:rPr>
                <w:rFonts w:ascii="Carlito" w:hAnsi="Carlito" w:eastAsia="Carlito"/>
                <w:b w:val="0"/>
                <w:color w:val="24303F"/>
                <w:sz w:val="16"/>
              </w:rPr>
              <w:t>A gene that helps move fats and cholesterol and influences brain cells and immune responses.</w:t>
            </w:r>
          </w:p>
        </w:tc>
        <w:tc>
          <w:tcPr>
            <w:tcW w:type="dxa" w:w="3384"/>
            <w:tcMar>
              <w:top w:w="75" w:type="dxa"/>
              <w:start w:w="75" w:type="dxa"/>
              <w:bottom w:w="75" w:type="dxa"/>
              <w:end w:w="75" w:type="dxa"/>
            </w:tcMar>
            <w:vAlign w:val="top"/>
          </w:tcPr>
          <w:p>
            <w:r>
              <w:rPr>
                <w:rFonts w:ascii="Carlito" w:hAnsi="Carlito" w:eastAsia="Carlito"/>
                <w:b w:val="0"/>
                <w:color w:val="24303F"/>
                <w:sz w:val="16"/>
              </w:rPr>
              <w:t>APOE4 increases AD risk; APOE3 is more common; APOE2 is often considered relatively protective.</w:t>
            </w:r>
          </w:p>
        </w:tc>
      </w:tr>
      <w:tr>
        <w:trPr>
          <w:cantSplit/>
        </w:trPr>
        <w:tc>
          <w:tcPr>
            <w:tcW w:type="dxa" w:w="2088"/>
            <w:tcMar>
              <w:top w:w="75" w:type="dxa"/>
              <w:start w:w="75" w:type="dxa"/>
              <w:bottom w:w="75" w:type="dxa"/>
              <w:end w:w="75" w:type="dxa"/>
            </w:tcMar>
            <w:vAlign w:val="top"/>
            <w:shd w:fill="F3F5F7"/>
          </w:tcPr>
          <w:p>
            <w:r>
              <w:rPr>
                <w:rFonts w:ascii="Carlito" w:hAnsi="Carlito" w:eastAsia="Carlito"/>
                <w:b/>
                <w:color w:val="24303F"/>
                <w:sz w:val="16"/>
              </w:rPr>
              <w:t>Isoform / allele</w:t>
            </w:r>
          </w:p>
        </w:tc>
        <w:tc>
          <w:tcPr>
            <w:tcW w:type="dxa" w:w="4392"/>
            <w:tcMar>
              <w:top w:w="75" w:type="dxa"/>
              <w:start w:w="75" w:type="dxa"/>
              <w:bottom w:w="75" w:type="dxa"/>
              <w:end w:w="75" w:type="dxa"/>
            </w:tcMar>
            <w:vAlign w:val="top"/>
            <w:shd w:fill="F3F5F7"/>
          </w:tcPr>
          <w:p>
            <w:r>
              <w:rPr>
                <w:rFonts w:ascii="Carlito" w:hAnsi="Carlito" w:eastAsia="Carlito"/>
                <w:b w:val="0"/>
                <w:color w:val="24303F"/>
                <w:sz w:val="16"/>
              </w:rPr>
              <w:t>A different version of the same gene.</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APOE2, APOE3, and APOE4 are different APOE versions.</w:t>
            </w:r>
          </w:p>
        </w:tc>
      </w:tr>
      <w:tr>
        <w:trPr>
          <w:cantSplit/>
        </w:trPr>
        <w:tc>
          <w:tcPr>
            <w:tcW w:type="dxa" w:w="2088"/>
            <w:tcMar>
              <w:top w:w="75" w:type="dxa"/>
              <w:start w:w="75" w:type="dxa"/>
              <w:bottom w:w="75" w:type="dxa"/>
              <w:end w:w="75" w:type="dxa"/>
            </w:tcMar>
            <w:vAlign w:val="top"/>
          </w:tcPr>
          <w:p>
            <w:r>
              <w:rPr>
                <w:rFonts w:ascii="Carlito" w:hAnsi="Carlito" w:eastAsia="Carlito"/>
                <w:b/>
                <w:color w:val="24303F"/>
                <w:sz w:val="16"/>
              </w:rPr>
              <w:t>Sex as a biological variable</w:t>
            </w:r>
          </w:p>
        </w:tc>
        <w:tc>
          <w:tcPr>
            <w:tcW w:type="dxa" w:w="4392"/>
            <w:tcMar>
              <w:top w:w="75" w:type="dxa"/>
              <w:start w:w="75" w:type="dxa"/>
              <w:bottom w:w="75" w:type="dxa"/>
              <w:end w:w="75" w:type="dxa"/>
            </w:tcMar>
            <w:vAlign w:val="top"/>
          </w:tcPr>
          <w:p>
            <w:r>
              <w:rPr>
                <w:rFonts w:ascii="Carlito" w:hAnsi="Carlito" w:eastAsia="Carlito"/>
                <w:b w:val="0"/>
                <w:color w:val="24303F"/>
                <w:sz w:val="16"/>
              </w:rPr>
              <w:t>Female and male organisms can show different biology because of chromosomes, hormones, development, and other factors.</w:t>
            </w:r>
          </w:p>
        </w:tc>
        <w:tc>
          <w:tcPr>
            <w:tcW w:type="dxa" w:w="3384"/>
            <w:tcMar>
              <w:top w:w="75" w:type="dxa"/>
              <w:start w:w="75" w:type="dxa"/>
              <w:bottom w:w="75" w:type="dxa"/>
              <w:end w:w="75" w:type="dxa"/>
            </w:tcMar>
            <w:vAlign w:val="top"/>
          </w:tcPr>
          <w:p>
            <w:r>
              <w:rPr>
                <w:rFonts w:ascii="Carlito" w:hAnsi="Carlito" w:eastAsia="Carlito"/>
                <w:b w:val="0"/>
                <w:color w:val="24303F"/>
                <w:sz w:val="16"/>
              </w:rPr>
              <w:t>The APOE4 effect may not be the same in females and males.</w:t>
            </w:r>
          </w:p>
        </w:tc>
      </w:tr>
      <w:tr>
        <w:trPr>
          <w:cantSplit/>
        </w:trPr>
        <w:tc>
          <w:tcPr>
            <w:tcW w:type="dxa" w:w="2088"/>
            <w:tcMar>
              <w:top w:w="75" w:type="dxa"/>
              <w:start w:w="75" w:type="dxa"/>
              <w:bottom w:w="75" w:type="dxa"/>
              <w:end w:w="75" w:type="dxa"/>
            </w:tcMar>
            <w:vAlign w:val="top"/>
            <w:shd w:fill="F3F5F7"/>
          </w:tcPr>
          <w:p>
            <w:r>
              <w:rPr>
                <w:rFonts w:ascii="Carlito" w:hAnsi="Carlito" w:eastAsia="Carlito"/>
                <w:b/>
                <w:color w:val="24303F"/>
                <w:sz w:val="16"/>
              </w:rPr>
              <w:t>Amyloid</w:t>
            </w:r>
          </w:p>
        </w:tc>
        <w:tc>
          <w:tcPr>
            <w:tcW w:type="dxa" w:w="4392"/>
            <w:tcMar>
              <w:top w:w="75" w:type="dxa"/>
              <w:start w:w="75" w:type="dxa"/>
              <w:bottom w:w="75" w:type="dxa"/>
              <w:end w:w="75" w:type="dxa"/>
            </w:tcMar>
            <w:vAlign w:val="top"/>
            <w:shd w:fill="F3F5F7"/>
          </w:tcPr>
          <w:p>
            <w:r>
              <w:rPr>
                <w:rFonts w:ascii="Carlito" w:hAnsi="Carlito" w:eastAsia="Carlito"/>
                <w:b w:val="0"/>
                <w:color w:val="24303F"/>
                <w:sz w:val="16"/>
              </w:rPr>
              <w:t>A protein fragment that can accumulate into plaques in AD.</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5xFAD mice develop strong amyloid pathology.</w:t>
            </w:r>
          </w:p>
        </w:tc>
      </w:tr>
      <w:tr>
        <w:trPr>
          <w:cantSplit/>
        </w:trPr>
        <w:tc>
          <w:tcPr>
            <w:tcW w:type="dxa" w:w="2088"/>
            <w:tcMar>
              <w:top w:w="75" w:type="dxa"/>
              <w:start w:w="75" w:type="dxa"/>
              <w:bottom w:w="75" w:type="dxa"/>
              <w:end w:w="75" w:type="dxa"/>
            </w:tcMar>
            <w:vAlign w:val="top"/>
          </w:tcPr>
          <w:p>
            <w:r>
              <w:rPr>
                <w:rFonts w:ascii="Carlito" w:hAnsi="Carlito" w:eastAsia="Carlito"/>
                <w:b/>
                <w:color w:val="24303F"/>
                <w:sz w:val="16"/>
              </w:rPr>
              <w:t>5xFAD mouse</w:t>
            </w:r>
          </w:p>
        </w:tc>
        <w:tc>
          <w:tcPr>
            <w:tcW w:type="dxa" w:w="4392"/>
            <w:tcMar>
              <w:top w:w="75" w:type="dxa"/>
              <w:start w:w="75" w:type="dxa"/>
              <w:bottom w:w="75" w:type="dxa"/>
              <w:end w:w="75" w:type="dxa"/>
            </w:tcMar>
            <w:vAlign w:val="top"/>
          </w:tcPr>
          <w:p>
            <w:r>
              <w:rPr>
                <w:rFonts w:ascii="Carlito" w:hAnsi="Carlito" w:eastAsia="Carlito"/>
                <w:b w:val="0"/>
                <w:color w:val="24303F"/>
                <w:sz w:val="16"/>
              </w:rPr>
              <w:t>A genetically engineered mouse that develops amyloid plaques quickly.</w:t>
            </w:r>
          </w:p>
        </w:tc>
        <w:tc>
          <w:tcPr>
            <w:tcW w:type="dxa" w:w="3384"/>
            <w:tcMar>
              <w:top w:w="75" w:type="dxa"/>
              <w:start w:w="75" w:type="dxa"/>
              <w:bottom w:w="75" w:type="dxa"/>
              <w:end w:w="75" w:type="dxa"/>
            </w:tcMar>
            <w:vAlign w:val="top"/>
          </w:tcPr>
          <w:p>
            <w:r>
              <w:rPr>
                <w:rFonts w:ascii="Carlito" w:hAnsi="Carlito" w:eastAsia="Carlito"/>
                <w:b w:val="0"/>
                <w:color w:val="24303F"/>
                <w:sz w:val="16"/>
              </w:rPr>
              <w:t>It models amyloid-related parts of AD but not every feature of human disease.</w:t>
            </w:r>
          </w:p>
        </w:tc>
      </w:tr>
      <w:tr>
        <w:trPr>
          <w:cantSplit/>
        </w:trPr>
        <w:tc>
          <w:tcPr>
            <w:tcW w:type="dxa" w:w="2088"/>
            <w:tcMar>
              <w:top w:w="75" w:type="dxa"/>
              <w:start w:w="75" w:type="dxa"/>
              <w:bottom w:w="75" w:type="dxa"/>
              <w:end w:w="75" w:type="dxa"/>
            </w:tcMar>
            <w:vAlign w:val="top"/>
            <w:shd w:fill="F3F5F7"/>
          </w:tcPr>
          <w:p>
            <w:r>
              <w:rPr>
                <w:rFonts w:ascii="Carlito" w:hAnsi="Carlito" w:eastAsia="Carlito"/>
                <w:b/>
                <w:color w:val="24303F"/>
                <w:sz w:val="16"/>
              </w:rPr>
              <w:t>Knock-in / targeted replacement</w:t>
            </w:r>
          </w:p>
        </w:tc>
        <w:tc>
          <w:tcPr>
            <w:tcW w:type="dxa" w:w="4392"/>
            <w:tcMar>
              <w:top w:w="75" w:type="dxa"/>
              <w:start w:w="75" w:type="dxa"/>
              <w:bottom w:w="75" w:type="dxa"/>
              <w:end w:w="75" w:type="dxa"/>
            </w:tcMar>
            <w:vAlign w:val="top"/>
            <w:shd w:fill="F3F5F7"/>
          </w:tcPr>
          <w:p>
            <w:r>
              <w:rPr>
                <w:rFonts w:ascii="Carlito" w:hAnsi="Carlito" w:eastAsia="Carlito"/>
                <w:b w:val="0"/>
                <w:color w:val="24303F"/>
                <w:sz w:val="16"/>
              </w:rPr>
              <w:t>A mouse is engineered to carry a chosen gene version, such as human APOE3 or APOE4.</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This allows direct comparison of human APOE types in mice.</w:t>
            </w:r>
          </w:p>
        </w:tc>
      </w:tr>
      <w:tr>
        <w:trPr>
          <w:cantSplit/>
        </w:trPr>
        <w:tc>
          <w:tcPr>
            <w:tcW w:type="dxa" w:w="2088"/>
            <w:tcMar>
              <w:top w:w="75" w:type="dxa"/>
              <w:start w:w="75" w:type="dxa"/>
              <w:bottom w:w="75" w:type="dxa"/>
              <w:end w:w="75" w:type="dxa"/>
            </w:tcMar>
            <w:vAlign w:val="top"/>
          </w:tcPr>
          <w:p>
            <w:r>
              <w:rPr>
                <w:rFonts w:ascii="Carlito" w:hAnsi="Carlito" w:eastAsia="Carlito"/>
                <w:b/>
                <w:color w:val="24303F"/>
                <w:sz w:val="16"/>
              </w:rPr>
              <w:t>Cell type</w:t>
            </w:r>
          </w:p>
        </w:tc>
        <w:tc>
          <w:tcPr>
            <w:tcW w:type="dxa" w:w="4392"/>
            <w:tcMar>
              <w:top w:w="75" w:type="dxa"/>
              <w:start w:w="75" w:type="dxa"/>
              <w:bottom w:w="75" w:type="dxa"/>
              <w:end w:w="75" w:type="dxa"/>
            </w:tcMar>
            <w:vAlign w:val="top"/>
          </w:tcPr>
          <w:p>
            <w:r>
              <w:rPr>
                <w:rFonts w:ascii="Carlito" w:hAnsi="Carlito" w:eastAsia="Carlito"/>
                <w:b w:val="0"/>
                <w:color w:val="24303F"/>
                <w:sz w:val="16"/>
              </w:rPr>
              <w:t>A category of cell with a particular job.</w:t>
            </w:r>
          </w:p>
        </w:tc>
        <w:tc>
          <w:tcPr>
            <w:tcW w:type="dxa" w:w="3384"/>
            <w:tcMar>
              <w:top w:w="75" w:type="dxa"/>
              <w:start w:w="75" w:type="dxa"/>
              <w:bottom w:w="75" w:type="dxa"/>
              <w:end w:w="75" w:type="dxa"/>
            </w:tcMar>
            <w:vAlign w:val="top"/>
          </w:tcPr>
          <w:p>
            <w:r>
              <w:rPr>
                <w:rFonts w:ascii="Carlito" w:hAnsi="Carlito" w:eastAsia="Carlito"/>
                <w:b w:val="0"/>
                <w:color w:val="24303F"/>
                <w:sz w:val="16"/>
              </w:rPr>
              <w:t>Different cell types may react differently to APOE, sex, and disease.</w:t>
            </w:r>
          </w:p>
        </w:tc>
      </w:tr>
    </w:tbl>
    <w:p>
      <w:pPr>
        <w:spacing w:after="0"/>
      </w:pPr>
    </w:p>
    <w:p>
      <w:pPr>
        <w:pStyle w:val="Heading1"/>
      </w:pPr>
      <w:r>
        <w:t>3. The major brain cell types</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2577"/>
        <w:gridCol w:w="2577"/>
        <w:gridCol w:w="2577"/>
        <w:gridCol w:w="2577"/>
      </w:tblGrid>
      <w:tr>
        <w:trPr>
          <w:tblHeader w:val="true"/>
          <w:cantSplit/>
        </w:trPr>
        <w:tc>
          <w:tcPr>
            <w:tcW w:type="dxa" w:w="1800"/>
            <w:shd w:fill="17324D"/>
            <w:tcMar>
              <w:top w:w="80" w:type="dxa"/>
              <w:start w:w="80" w:type="dxa"/>
              <w:bottom w:w="80" w:type="dxa"/>
              <w:end w:w="80" w:type="dxa"/>
            </w:tcMar>
            <w:vAlign w:val="center"/>
          </w:tcPr>
          <w:p>
            <w:r>
              <w:rPr>
                <w:rFonts w:ascii="Carlito" w:hAnsi="Carlito" w:eastAsia="Carlito"/>
                <w:b/>
                <w:color w:val="FFFFFF"/>
                <w:sz w:val="16"/>
              </w:rPr>
              <w:t>Cell type</w:t>
            </w:r>
          </w:p>
        </w:tc>
        <w:tc>
          <w:tcPr>
            <w:tcW w:type="dxa" w:w="2160"/>
            <w:shd w:fill="17324D"/>
            <w:tcMar>
              <w:top w:w="80" w:type="dxa"/>
              <w:start w:w="80" w:type="dxa"/>
              <w:bottom w:w="80" w:type="dxa"/>
              <w:end w:w="80" w:type="dxa"/>
            </w:tcMar>
            <w:vAlign w:val="center"/>
          </w:tcPr>
          <w:p>
            <w:r>
              <w:rPr>
                <w:rFonts w:ascii="Carlito" w:hAnsi="Carlito" w:eastAsia="Carlito"/>
                <w:b/>
                <w:color w:val="FFFFFF"/>
                <w:sz w:val="16"/>
              </w:rPr>
              <w:t>Simple analogy</w:t>
            </w:r>
          </w:p>
        </w:tc>
        <w:tc>
          <w:tcPr>
            <w:tcW w:type="dxa" w:w="2880"/>
            <w:shd w:fill="17324D"/>
            <w:tcMar>
              <w:top w:w="80" w:type="dxa"/>
              <w:start w:w="80" w:type="dxa"/>
              <w:bottom w:w="80" w:type="dxa"/>
              <w:end w:w="80" w:type="dxa"/>
            </w:tcMar>
            <w:vAlign w:val="center"/>
          </w:tcPr>
          <w:p>
            <w:r>
              <w:rPr>
                <w:rFonts w:ascii="Carlito" w:hAnsi="Carlito" w:eastAsia="Carlito"/>
                <w:b/>
                <w:color w:val="FFFFFF"/>
                <w:sz w:val="16"/>
              </w:rPr>
              <w:t>Main job</w:t>
            </w:r>
          </w:p>
        </w:tc>
        <w:tc>
          <w:tcPr>
            <w:tcW w:type="dxa" w:w="3096"/>
            <w:shd w:fill="17324D"/>
            <w:tcMar>
              <w:top w:w="80" w:type="dxa"/>
              <w:start w:w="80" w:type="dxa"/>
              <w:bottom w:w="80" w:type="dxa"/>
              <w:end w:w="80" w:type="dxa"/>
            </w:tcMar>
            <w:vAlign w:val="center"/>
          </w:tcPr>
          <w:p>
            <w:r>
              <w:rPr>
                <w:rFonts w:ascii="Carlito" w:hAnsi="Carlito" w:eastAsia="Carlito"/>
                <w:b/>
                <w:color w:val="FFFFFF"/>
                <w:sz w:val="16"/>
              </w:rPr>
              <w:t>Why it may matter in AD</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6"/>
              </w:rPr>
              <w:t>Excitatory neuron</w:t>
            </w:r>
          </w:p>
        </w:tc>
        <w:tc>
          <w:tcPr>
            <w:tcW w:type="dxa" w:w="2160"/>
            <w:tcMar>
              <w:top w:w="75" w:type="dxa"/>
              <w:start w:w="75" w:type="dxa"/>
              <w:bottom w:w="75" w:type="dxa"/>
              <w:end w:w="75" w:type="dxa"/>
            </w:tcMar>
            <w:vAlign w:val="top"/>
          </w:tcPr>
          <w:p>
            <w:r>
              <w:rPr>
                <w:rFonts w:ascii="Carlito" w:hAnsi="Carlito" w:eastAsia="Carlito"/>
                <w:b w:val="0"/>
                <w:color w:val="24303F"/>
                <w:sz w:val="16"/>
              </w:rPr>
              <w:t>The brain's "send" wires</w:t>
            </w:r>
          </w:p>
        </w:tc>
        <w:tc>
          <w:tcPr>
            <w:tcW w:type="dxa" w:w="2880"/>
            <w:tcMar>
              <w:top w:w="75" w:type="dxa"/>
              <w:start w:w="75" w:type="dxa"/>
              <w:bottom w:w="75" w:type="dxa"/>
              <w:end w:w="75" w:type="dxa"/>
            </w:tcMar>
            <w:vAlign w:val="top"/>
          </w:tcPr>
          <w:p>
            <w:r>
              <w:rPr>
                <w:rFonts w:ascii="Carlito" w:hAnsi="Carlito" w:eastAsia="Carlito"/>
                <w:b w:val="0"/>
                <w:color w:val="24303F"/>
                <w:sz w:val="16"/>
              </w:rPr>
              <w:t>Sends signals that activate other neurons</w:t>
            </w:r>
          </w:p>
        </w:tc>
        <w:tc>
          <w:tcPr>
            <w:tcW w:type="dxa" w:w="3096"/>
            <w:tcMar>
              <w:top w:w="75" w:type="dxa"/>
              <w:start w:w="75" w:type="dxa"/>
              <w:bottom w:w="75" w:type="dxa"/>
              <w:end w:w="75" w:type="dxa"/>
            </w:tcMar>
            <w:vAlign w:val="top"/>
          </w:tcPr>
          <w:p>
            <w:r>
              <w:rPr>
                <w:rFonts w:ascii="Carlito" w:hAnsi="Carlito" w:eastAsia="Carlito"/>
                <w:b w:val="0"/>
                <w:color w:val="24303F"/>
                <w:sz w:val="16"/>
              </w:rPr>
              <w:t>May lose connections or change energy use</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6"/>
              </w:rPr>
              <w:t>Inhibitory neuron</w:t>
            </w:r>
          </w:p>
        </w:tc>
        <w:tc>
          <w:tcPr>
            <w:tcW w:type="dxa" w:w="2160"/>
            <w:tcMar>
              <w:top w:w="75" w:type="dxa"/>
              <w:start w:w="75" w:type="dxa"/>
              <w:bottom w:w="75" w:type="dxa"/>
              <w:end w:w="75" w:type="dxa"/>
            </w:tcMar>
            <w:vAlign w:val="top"/>
            <w:shd w:fill="F3F5F7"/>
          </w:tcPr>
          <w:p>
            <w:r>
              <w:rPr>
                <w:rFonts w:ascii="Carlito" w:hAnsi="Carlito" w:eastAsia="Carlito"/>
                <w:b w:val="0"/>
                <w:color w:val="24303F"/>
                <w:sz w:val="16"/>
              </w:rPr>
              <w:t>The brain's brakes</w:t>
            </w:r>
          </w:p>
        </w:tc>
        <w:tc>
          <w:tcPr>
            <w:tcW w:type="dxa" w:w="2880"/>
            <w:tcMar>
              <w:top w:w="75" w:type="dxa"/>
              <w:start w:w="75" w:type="dxa"/>
              <w:bottom w:w="75" w:type="dxa"/>
              <w:end w:w="75" w:type="dxa"/>
            </w:tcMar>
            <w:vAlign w:val="top"/>
            <w:shd w:fill="F3F5F7"/>
          </w:tcPr>
          <w:p>
            <w:r>
              <w:rPr>
                <w:rFonts w:ascii="Carlito" w:hAnsi="Carlito" w:eastAsia="Carlito"/>
                <w:b w:val="0"/>
                <w:color w:val="24303F"/>
                <w:sz w:val="16"/>
              </w:rPr>
              <w:t>Prevents circuits from becoming overactive</w:t>
            </w:r>
          </w:p>
        </w:tc>
        <w:tc>
          <w:tcPr>
            <w:tcW w:type="dxa" w:w="3096"/>
            <w:tcMar>
              <w:top w:w="75" w:type="dxa"/>
              <w:start w:w="75" w:type="dxa"/>
              <w:bottom w:w="75" w:type="dxa"/>
              <w:end w:w="75" w:type="dxa"/>
            </w:tcMar>
            <w:vAlign w:val="top"/>
            <w:shd w:fill="F3F5F7"/>
          </w:tcPr>
          <w:p>
            <w:r>
              <w:rPr>
                <w:rFonts w:ascii="Carlito" w:hAnsi="Carlito" w:eastAsia="Carlito"/>
                <w:b w:val="0"/>
                <w:color w:val="24303F"/>
                <w:sz w:val="16"/>
              </w:rPr>
              <w:t>May change network balance</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6"/>
              </w:rPr>
              <w:t>Microglia</w:t>
            </w:r>
          </w:p>
        </w:tc>
        <w:tc>
          <w:tcPr>
            <w:tcW w:type="dxa" w:w="2160"/>
            <w:tcMar>
              <w:top w:w="75" w:type="dxa"/>
              <w:start w:w="75" w:type="dxa"/>
              <w:bottom w:w="75" w:type="dxa"/>
              <w:end w:w="75" w:type="dxa"/>
            </w:tcMar>
            <w:vAlign w:val="top"/>
          </w:tcPr>
          <w:p>
            <w:r>
              <w:rPr>
                <w:rFonts w:ascii="Carlito" w:hAnsi="Carlito" w:eastAsia="Carlito"/>
                <w:b w:val="0"/>
                <w:color w:val="24303F"/>
                <w:sz w:val="16"/>
              </w:rPr>
              <w:t>Resident immune and cleanup cells</w:t>
            </w:r>
          </w:p>
        </w:tc>
        <w:tc>
          <w:tcPr>
            <w:tcW w:type="dxa" w:w="2880"/>
            <w:tcMar>
              <w:top w:w="75" w:type="dxa"/>
              <w:start w:w="75" w:type="dxa"/>
              <w:bottom w:w="75" w:type="dxa"/>
              <w:end w:w="75" w:type="dxa"/>
            </w:tcMar>
            <w:vAlign w:val="top"/>
          </w:tcPr>
          <w:p>
            <w:r>
              <w:rPr>
                <w:rFonts w:ascii="Carlito" w:hAnsi="Carlito" w:eastAsia="Carlito"/>
                <w:b w:val="0"/>
                <w:color w:val="24303F"/>
                <w:sz w:val="16"/>
              </w:rPr>
              <w:t>Survey tissue, remove debris, respond to damage</w:t>
            </w:r>
          </w:p>
        </w:tc>
        <w:tc>
          <w:tcPr>
            <w:tcW w:type="dxa" w:w="3096"/>
            <w:tcMar>
              <w:top w:w="75" w:type="dxa"/>
              <w:start w:w="75" w:type="dxa"/>
              <w:bottom w:w="75" w:type="dxa"/>
              <w:end w:w="75" w:type="dxa"/>
            </w:tcMar>
            <w:vAlign w:val="top"/>
          </w:tcPr>
          <w:p>
            <w:r>
              <w:rPr>
                <w:rFonts w:ascii="Carlito" w:hAnsi="Carlito" w:eastAsia="Carlito"/>
                <w:b w:val="0"/>
                <w:color w:val="24303F"/>
                <w:sz w:val="16"/>
              </w:rPr>
              <w:t>Strongly affected by APOE and amyloid</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6"/>
              </w:rPr>
              <w:t>Astrocyte</w:t>
            </w:r>
          </w:p>
        </w:tc>
        <w:tc>
          <w:tcPr>
            <w:tcW w:type="dxa" w:w="2160"/>
            <w:tcMar>
              <w:top w:w="75" w:type="dxa"/>
              <w:start w:w="75" w:type="dxa"/>
              <w:bottom w:w="75" w:type="dxa"/>
              <w:end w:w="75" w:type="dxa"/>
            </w:tcMar>
            <w:vAlign w:val="top"/>
            <w:shd w:fill="F3F5F7"/>
          </w:tcPr>
          <w:p>
            <w:r>
              <w:rPr>
                <w:rFonts w:ascii="Carlito" w:hAnsi="Carlito" w:eastAsia="Carlito"/>
                <w:b w:val="0"/>
                <w:color w:val="24303F"/>
                <w:sz w:val="16"/>
              </w:rPr>
              <w:t>Support and maintenance crew</w:t>
            </w:r>
          </w:p>
        </w:tc>
        <w:tc>
          <w:tcPr>
            <w:tcW w:type="dxa" w:w="2880"/>
            <w:tcMar>
              <w:top w:w="75" w:type="dxa"/>
              <w:start w:w="75" w:type="dxa"/>
              <w:bottom w:w="75" w:type="dxa"/>
              <w:end w:w="75" w:type="dxa"/>
            </w:tcMar>
            <w:vAlign w:val="top"/>
            <w:shd w:fill="F3F5F7"/>
          </w:tcPr>
          <w:p>
            <w:r>
              <w:rPr>
                <w:rFonts w:ascii="Carlito" w:hAnsi="Carlito" w:eastAsia="Carlito"/>
                <w:b w:val="0"/>
                <w:color w:val="24303F"/>
                <w:sz w:val="16"/>
              </w:rPr>
              <w:t>Feeds neurons, manages chemicals, supports blood vessels</w:t>
            </w:r>
          </w:p>
        </w:tc>
        <w:tc>
          <w:tcPr>
            <w:tcW w:type="dxa" w:w="3096"/>
            <w:tcMar>
              <w:top w:w="75" w:type="dxa"/>
              <w:start w:w="75" w:type="dxa"/>
              <w:bottom w:w="75" w:type="dxa"/>
              <w:end w:w="75" w:type="dxa"/>
            </w:tcMar>
            <w:vAlign w:val="top"/>
            <w:shd w:fill="F3F5F7"/>
          </w:tcPr>
          <w:p>
            <w:r>
              <w:rPr>
                <w:rFonts w:ascii="Carlito" w:hAnsi="Carlito" w:eastAsia="Carlito"/>
                <w:b w:val="0"/>
                <w:color w:val="24303F"/>
                <w:sz w:val="16"/>
              </w:rPr>
              <w:t>Can enter reactive disease states</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6"/>
              </w:rPr>
              <w:t>Oligodendrocyte</w:t>
            </w:r>
          </w:p>
        </w:tc>
        <w:tc>
          <w:tcPr>
            <w:tcW w:type="dxa" w:w="2160"/>
            <w:tcMar>
              <w:top w:w="75" w:type="dxa"/>
              <w:start w:w="75" w:type="dxa"/>
              <w:bottom w:w="75" w:type="dxa"/>
              <w:end w:w="75" w:type="dxa"/>
            </w:tcMar>
            <w:vAlign w:val="top"/>
          </w:tcPr>
          <w:p>
            <w:r>
              <w:rPr>
                <w:rFonts w:ascii="Carlito" w:hAnsi="Carlito" w:eastAsia="Carlito"/>
                <w:b w:val="0"/>
                <w:color w:val="24303F"/>
                <w:sz w:val="16"/>
              </w:rPr>
              <w:t>Cable-insulation maker</w:t>
            </w:r>
          </w:p>
        </w:tc>
        <w:tc>
          <w:tcPr>
            <w:tcW w:type="dxa" w:w="2880"/>
            <w:tcMar>
              <w:top w:w="75" w:type="dxa"/>
              <w:start w:w="75" w:type="dxa"/>
              <w:bottom w:w="75" w:type="dxa"/>
              <w:end w:w="75" w:type="dxa"/>
            </w:tcMar>
            <w:vAlign w:val="top"/>
          </w:tcPr>
          <w:p>
            <w:r>
              <w:rPr>
                <w:rFonts w:ascii="Carlito" w:hAnsi="Carlito" w:eastAsia="Carlito"/>
                <w:b w:val="0"/>
                <w:color w:val="24303F"/>
                <w:sz w:val="16"/>
              </w:rPr>
              <w:t>Produces myelin around axons</w:t>
            </w:r>
          </w:p>
        </w:tc>
        <w:tc>
          <w:tcPr>
            <w:tcW w:type="dxa" w:w="3096"/>
            <w:tcMar>
              <w:top w:w="75" w:type="dxa"/>
              <w:start w:w="75" w:type="dxa"/>
              <w:bottom w:w="75" w:type="dxa"/>
              <w:end w:w="75" w:type="dxa"/>
            </w:tcMar>
            <w:vAlign w:val="top"/>
          </w:tcPr>
          <w:p>
            <w:r>
              <w:rPr>
                <w:rFonts w:ascii="Carlito" w:hAnsi="Carlito" w:eastAsia="Carlito"/>
                <w:b w:val="0"/>
                <w:color w:val="24303F"/>
                <w:sz w:val="16"/>
              </w:rPr>
              <w:t>May show stress or altered metabolism</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6"/>
              </w:rPr>
              <w:t>OPC</w:t>
            </w:r>
          </w:p>
        </w:tc>
        <w:tc>
          <w:tcPr>
            <w:tcW w:type="dxa" w:w="2160"/>
            <w:tcMar>
              <w:top w:w="75" w:type="dxa"/>
              <w:start w:w="75" w:type="dxa"/>
              <w:bottom w:w="75" w:type="dxa"/>
              <w:end w:w="75" w:type="dxa"/>
            </w:tcMar>
            <w:vAlign w:val="top"/>
            <w:shd w:fill="F3F5F7"/>
          </w:tcPr>
          <w:p>
            <w:r>
              <w:rPr>
                <w:rFonts w:ascii="Carlito" w:hAnsi="Carlito" w:eastAsia="Carlito"/>
                <w:b w:val="0"/>
                <w:color w:val="24303F"/>
                <w:sz w:val="16"/>
              </w:rPr>
              <w:t>Oligodendrocyte precursor</w:t>
            </w:r>
          </w:p>
        </w:tc>
        <w:tc>
          <w:tcPr>
            <w:tcW w:type="dxa" w:w="2880"/>
            <w:tcMar>
              <w:top w:w="75" w:type="dxa"/>
              <w:start w:w="75" w:type="dxa"/>
              <w:bottom w:w="75" w:type="dxa"/>
              <w:end w:w="75" w:type="dxa"/>
            </w:tcMar>
            <w:vAlign w:val="top"/>
            <w:shd w:fill="F3F5F7"/>
          </w:tcPr>
          <w:p>
            <w:r>
              <w:rPr>
                <w:rFonts w:ascii="Carlito" w:hAnsi="Carlito" w:eastAsia="Carlito"/>
                <w:b w:val="0"/>
                <w:color w:val="24303F"/>
                <w:sz w:val="16"/>
              </w:rPr>
              <w:t>Can develop into oligodendrocytes</w:t>
            </w:r>
          </w:p>
        </w:tc>
        <w:tc>
          <w:tcPr>
            <w:tcW w:type="dxa" w:w="3096"/>
            <w:tcMar>
              <w:top w:w="75" w:type="dxa"/>
              <w:start w:w="75" w:type="dxa"/>
              <w:bottom w:w="75" w:type="dxa"/>
              <w:end w:w="75" w:type="dxa"/>
            </w:tcMar>
            <w:vAlign w:val="top"/>
            <w:shd w:fill="F3F5F7"/>
          </w:tcPr>
          <w:p>
            <w:r>
              <w:rPr>
                <w:rFonts w:ascii="Carlito" w:hAnsi="Carlito" w:eastAsia="Carlito"/>
                <w:b w:val="0"/>
                <w:color w:val="24303F"/>
                <w:sz w:val="16"/>
              </w:rPr>
              <w:t>May respond to injury and aging</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6"/>
              </w:rPr>
              <w:t>Endothelial cell</w:t>
            </w:r>
          </w:p>
        </w:tc>
        <w:tc>
          <w:tcPr>
            <w:tcW w:type="dxa" w:w="2160"/>
            <w:tcMar>
              <w:top w:w="75" w:type="dxa"/>
              <w:start w:w="75" w:type="dxa"/>
              <w:bottom w:w="75" w:type="dxa"/>
              <w:end w:w="75" w:type="dxa"/>
            </w:tcMar>
            <w:vAlign w:val="top"/>
          </w:tcPr>
          <w:p>
            <w:r>
              <w:rPr>
                <w:rFonts w:ascii="Carlito" w:hAnsi="Carlito" w:eastAsia="Carlito"/>
                <w:b w:val="0"/>
                <w:color w:val="24303F"/>
                <w:sz w:val="16"/>
              </w:rPr>
              <w:t>Blood-vessel lining</w:t>
            </w:r>
          </w:p>
        </w:tc>
        <w:tc>
          <w:tcPr>
            <w:tcW w:type="dxa" w:w="2880"/>
            <w:tcMar>
              <w:top w:w="75" w:type="dxa"/>
              <w:start w:w="75" w:type="dxa"/>
              <w:bottom w:w="75" w:type="dxa"/>
              <w:end w:w="75" w:type="dxa"/>
            </w:tcMar>
            <w:vAlign w:val="top"/>
          </w:tcPr>
          <w:p>
            <w:r>
              <w:rPr>
                <w:rFonts w:ascii="Carlito" w:hAnsi="Carlito" w:eastAsia="Carlito"/>
                <w:b w:val="0"/>
                <w:color w:val="24303F"/>
                <w:sz w:val="16"/>
              </w:rPr>
              <w:t>Forms the blood-brain barrier</w:t>
            </w:r>
          </w:p>
        </w:tc>
        <w:tc>
          <w:tcPr>
            <w:tcW w:type="dxa" w:w="3096"/>
            <w:tcMar>
              <w:top w:w="75" w:type="dxa"/>
              <w:start w:w="75" w:type="dxa"/>
              <w:bottom w:w="75" w:type="dxa"/>
              <w:end w:w="75" w:type="dxa"/>
            </w:tcMar>
            <w:vAlign w:val="top"/>
          </w:tcPr>
          <w:p>
            <w:r>
              <w:rPr>
                <w:rFonts w:ascii="Carlito" w:hAnsi="Carlito" w:eastAsia="Carlito"/>
                <w:b w:val="0"/>
                <w:color w:val="24303F"/>
                <w:sz w:val="16"/>
              </w:rPr>
              <w:t>APOE4 can affect vascular function</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6"/>
              </w:rPr>
              <w:t>Pericyte</w:t>
            </w:r>
          </w:p>
        </w:tc>
        <w:tc>
          <w:tcPr>
            <w:tcW w:type="dxa" w:w="2160"/>
            <w:tcMar>
              <w:top w:w="75" w:type="dxa"/>
              <w:start w:w="75" w:type="dxa"/>
              <w:bottom w:w="75" w:type="dxa"/>
              <w:end w:w="75" w:type="dxa"/>
            </w:tcMar>
            <w:vAlign w:val="top"/>
            <w:shd w:fill="F3F5F7"/>
          </w:tcPr>
          <w:p>
            <w:r>
              <w:rPr>
                <w:rFonts w:ascii="Carlito" w:hAnsi="Carlito" w:eastAsia="Carlito"/>
                <w:b w:val="0"/>
                <w:color w:val="24303F"/>
                <w:sz w:val="16"/>
              </w:rPr>
              <w:t>Blood-vessel support cell</w:t>
            </w:r>
          </w:p>
        </w:tc>
        <w:tc>
          <w:tcPr>
            <w:tcW w:type="dxa" w:w="2880"/>
            <w:tcMar>
              <w:top w:w="75" w:type="dxa"/>
              <w:start w:w="75" w:type="dxa"/>
              <w:bottom w:w="75" w:type="dxa"/>
              <w:end w:w="75" w:type="dxa"/>
            </w:tcMar>
            <w:vAlign w:val="top"/>
            <w:shd w:fill="F3F5F7"/>
          </w:tcPr>
          <w:p>
            <w:r>
              <w:rPr>
                <w:rFonts w:ascii="Carlito" w:hAnsi="Carlito" w:eastAsia="Carlito"/>
                <w:b w:val="0"/>
                <w:color w:val="24303F"/>
                <w:sz w:val="16"/>
              </w:rPr>
              <w:t>Stabilizes small vessels and barrier function</w:t>
            </w:r>
          </w:p>
        </w:tc>
        <w:tc>
          <w:tcPr>
            <w:tcW w:type="dxa" w:w="3096"/>
            <w:tcMar>
              <w:top w:w="75" w:type="dxa"/>
              <w:start w:w="75" w:type="dxa"/>
              <w:bottom w:w="75" w:type="dxa"/>
              <w:end w:w="75" w:type="dxa"/>
            </w:tcMar>
            <w:vAlign w:val="top"/>
            <w:shd w:fill="F3F5F7"/>
          </w:tcPr>
          <w:p>
            <w:r>
              <w:rPr>
                <w:rFonts w:ascii="Carlito" w:hAnsi="Carlito" w:eastAsia="Carlito"/>
                <w:b w:val="0"/>
                <w:color w:val="24303F"/>
                <w:sz w:val="16"/>
              </w:rPr>
              <w:t>Can be involved in blood-brain barrier breakdown</w:t>
            </w:r>
          </w:p>
        </w:tc>
      </w:tr>
    </w:tbl>
    <w:p>
      <w:pPr>
        <w:spacing w:after="0"/>
      </w:pPr>
    </w:p>
    <w:p>
      <w:r>
        <w:rPr>
          <w:rFonts w:ascii="Carlito" w:hAnsi="Carlito" w:eastAsia="Carlito"/>
        </w:rPr>
        <w:t>A strong validation result should compare roughly corresponding cell types. For example, human PFC microglia should be compared with mouse microglia, and human PFC excitatory neurons should be compared with mouse cortical excitatory neurons rather than with all mouse neurons mixed together.</w:t>
      </w:r>
    </w:p>
    <w:p>
      <w:pPr>
        <w:pStyle w:val="Heading1"/>
      </w:pPr>
      <w:r>
        <w:t>4. What RNA sequencing measures</w:t>
      </w:r>
    </w:p>
    <w:p>
      <w:r>
        <w:rPr>
          <w:rFonts w:ascii="Carlito" w:hAnsi="Carlito" w:eastAsia="Carlito"/>
        </w:rPr>
        <w:t>DNA is the long-term instruction book in a cell. RNA is a working copy of selected instructions. When a gene is active, the cell often produces more RNA from that gene. RNA sequencing measures these RNA molecules and gives an estimate of gene expression.</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2577"/>
        <w:gridCol w:w="2577"/>
        <w:gridCol w:w="2577"/>
        <w:gridCol w:w="2577"/>
      </w:tblGrid>
      <w:tr>
        <w:trPr>
          <w:tblHeader w:val="true"/>
          <w:cantSplit/>
        </w:trPr>
        <w:tc>
          <w:tcPr>
            <w:tcW w:type="dxa" w:w="1728"/>
            <w:shd w:fill="17324D"/>
            <w:tcMar>
              <w:top w:w="80" w:type="dxa"/>
              <w:start w:w="80" w:type="dxa"/>
              <w:bottom w:w="80" w:type="dxa"/>
              <w:end w:w="80" w:type="dxa"/>
            </w:tcMar>
            <w:vAlign w:val="center"/>
          </w:tcPr>
          <w:p>
            <w:r>
              <w:rPr>
                <w:rFonts w:ascii="Carlito" w:hAnsi="Carlito" w:eastAsia="Carlito"/>
                <w:b/>
                <w:color w:val="FFFFFF"/>
                <w:sz w:val="17"/>
              </w:rPr>
              <w:t>Method</w:t>
            </w:r>
          </w:p>
        </w:tc>
        <w:tc>
          <w:tcPr>
            <w:tcW w:type="dxa" w:w="2880"/>
            <w:shd w:fill="17324D"/>
            <w:tcMar>
              <w:top w:w="80" w:type="dxa"/>
              <w:start w:w="80" w:type="dxa"/>
              <w:bottom w:w="80" w:type="dxa"/>
              <w:end w:w="80" w:type="dxa"/>
            </w:tcMar>
            <w:vAlign w:val="center"/>
          </w:tcPr>
          <w:p>
            <w:r>
              <w:rPr>
                <w:rFonts w:ascii="Carlito" w:hAnsi="Carlito" w:eastAsia="Carlito"/>
                <w:b/>
                <w:color w:val="FFFFFF"/>
                <w:sz w:val="17"/>
              </w:rPr>
              <w:t>What is measured</w:t>
            </w:r>
          </w:p>
        </w:tc>
        <w:tc>
          <w:tcPr>
            <w:tcW w:type="dxa" w:w="2880"/>
            <w:shd w:fill="17324D"/>
            <w:tcMar>
              <w:top w:w="80" w:type="dxa"/>
              <w:start w:w="80" w:type="dxa"/>
              <w:bottom w:w="80" w:type="dxa"/>
              <w:end w:w="80" w:type="dxa"/>
            </w:tcMar>
            <w:vAlign w:val="center"/>
          </w:tcPr>
          <w:p>
            <w:r>
              <w:rPr>
                <w:rFonts w:ascii="Carlito" w:hAnsi="Carlito" w:eastAsia="Carlito"/>
                <w:b/>
                <w:color w:val="FFFFFF"/>
                <w:sz w:val="17"/>
              </w:rPr>
              <w:t>Main advantage</w:t>
            </w:r>
          </w:p>
        </w:tc>
        <w:tc>
          <w:tcPr>
            <w:tcW w:type="dxa" w:w="2736"/>
            <w:shd w:fill="17324D"/>
            <w:tcMar>
              <w:top w:w="80" w:type="dxa"/>
              <w:start w:w="80" w:type="dxa"/>
              <w:bottom w:w="80" w:type="dxa"/>
              <w:end w:w="80" w:type="dxa"/>
            </w:tcMar>
            <w:vAlign w:val="center"/>
          </w:tcPr>
          <w:p>
            <w:r>
              <w:rPr>
                <w:rFonts w:ascii="Carlito" w:hAnsi="Carlito" w:eastAsia="Carlito"/>
                <w:b/>
                <w:color w:val="FFFFFF"/>
                <w:sz w:val="17"/>
              </w:rPr>
              <w:t>Main limitation</w:t>
            </w:r>
          </w:p>
        </w:tc>
      </w:tr>
      <w:tr>
        <w:trPr>
          <w:cantSplit/>
        </w:trPr>
        <w:tc>
          <w:tcPr>
            <w:tcW w:type="dxa" w:w="1728"/>
            <w:tcMar>
              <w:top w:w="75" w:type="dxa"/>
              <w:start w:w="75" w:type="dxa"/>
              <w:bottom w:w="75" w:type="dxa"/>
              <w:end w:w="75" w:type="dxa"/>
            </w:tcMar>
            <w:vAlign w:val="top"/>
          </w:tcPr>
          <w:p>
            <w:r>
              <w:rPr>
                <w:rFonts w:ascii="Carlito" w:hAnsi="Carlito" w:eastAsia="Carlito"/>
                <w:b/>
                <w:color w:val="24303F"/>
                <w:sz w:val="17"/>
              </w:rPr>
              <w:t>Bulk RNA-seq</w:t>
            </w:r>
          </w:p>
        </w:tc>
        <w:tc>
          <w:tcPr>
            <w:tcW w:type="dxa" w:w="2880"/>
            <w:tcMar>
              <w:top w:w="75" w:type="dxa"/>
              <w:start w:w="75" w:type="dxa"/>
              <w:bottom w:w="75" w:type="dxa"/>
              <w:end w:w="75" w:type="dxa"/>
            </w:tcMar>
            <w:vAlign w:val="top"/>
          </w:tcPr>
          <w:p>
            <w:r>
              <w:rPr>
                <w:rFonts w:ascii="Carlito" w:hAnsi="Carlito" w:eastAsia="Carlito"/>
                <w:b w:val="0"/>
                <w:color w:val="24303F"/>
                <w:sz w:val="17"/>
              </w:rPr>
              <w:t>RNA mixed from many cells</w:t>
            </w:r>
          </w:p>
        </w:tc>
        <w:tc>
          <w:tcPr>
            <w:tcW w:type="dxa" w:w="2880"/>
            <w:tcMar>
              <w:top w:w="75" w:type="dxa"/>
              <w:start w:w="75" w:type="dxa"/>
              <w:bottom w:w="75" w:type="dxa"/>
              <w:end w:w="75" w:type="dxa"/>
            </w:tcMar>
            <w:vAlign w:val="top"/>
          </w:tcPr>
          <w:p>
            <w:r>
              <w:rPr>
                <w:rFonts w:ascii="Carlito" w:hAnsi="Carlito" w:eastAsia="Carlito"/>
                <w:b w:val="0"/>
                <w:color w:val="24303F"/>
                <w:sz w:val="17"/>
              </w:rPr>
              <w:t>Stable, simple, often good for small samples</w:t>
            </w:r>
          </w:p>
        </w:tc>
        <w:tc>
          <w:tcPr>
            <w:tcW w:type="dxa" w:w="2736"/>
            <w:tcMar>
              <w:top w:w="75" w:type="dxa"/>
              <w:start w:w="75" w:type="dxa"/>
              <w:bottom w:w="75" w:type="dxa"/>
              <w:end w:w="75" w:type="dxa"/>
            </w:tcMar>
            <w:vAlign w:val="top"/>
          </w:tcPr>
          <w:p>
            <w:r>
              <w:rPr>
                <w:rFonts w:ascii="Carlito" w:hAnsi="Carlito" w:eastAsia="Carlito"/>
                <w:b w:val="0"/>
                <w:color w:val="24303F"/>
                <w:sz w:val="17"/>
              </w:rPr>
              <w:t>Cannot tell which individual cell type caused the change</w:t>
            </w:r>
          </w:p>
        </w:tc>
      </w:tr>
      <w:tr>
        <w:trPr>
          <w:cantSplit/>
        </w:trPr>
        <w:tc>
          <w:tcPr>
            <w:tcW w:type="dxa" w:w="1728"/>
            <w:tcMar>
              <w:top w:w="75" w:type="dxa"/>
              <w:start w:w="75" w:type="dxa"/>
              <w:bottom w:w="75" w:type="dxa"/>
              <w:end w:w="75" w:type="dxa"/>
            </w:tcMar>
            <w:vAlign w:val="top"/>
            <w:shd w:fill="F3F5F7"/>
          </w:tcPr>
          <w:p>
            <w:r>
              <w:rPr>
                <w:rFonts w:ascii="Carlito" w:hAnsi="Carlito" w:eastAsia="Carlito"/>
                <w:b/>
                <w:color w:val="24303F"/>
                <w:sz w:val="17"/>
              </w:rPr>
              <w:t>scRNA-seq</w:t>
            </w:r>
          </w:p>
        </w:tc>
        <w:tc>
          <w:tcPr>
            <w:tcW w:type="dxa" w:w="2880"/>
            <w:tcMar>
              <w:top w:w="75" w:type="dxa"/>
              <w:start w:w="75" w:type="dxa"/>
              <w:bottom w:w="75" w:type="dxa"/>
              <w:end w:w="75" w:type="dxa"/>
            </w:tcMar>
            <w:vAlign w:val="top"/>
            <w:shd w:fill="F3F5F7"/>
          </w:tcPr>
          <w:p>
            <w:r>
              <w:rPr>
                <w:rFonts w:ascii="Carlito" w:hAnsi="Carlito" w:eastAsia="Carlito"/>
                <w:b w:val="0"/>
                <w:color w:val="24303F"/>
                <w:sz w:val="17"/>
              </w:rPr>
              <w:t>RNA from individual whole cells</w:t>
            </w:r>
          </w:p>
        </w:tc>
        <w:tc>
          <w:tcPr>
            <w:tcW w:type="dxa" w:w="2880"/>
            <w:tcMar>
              <w:top w:w="75" w:type="dxa"/>
              <w:start w:w="75" w:type="dxa"/>
              <w:bottom w:w="75" w:type="dxa"/>
              <w:end w:w="75" w:type="dxa"/>
            </w:tcMar>
            <w:vAlign w:val="top"/>
            <w:shd w:fill="F3F5F7"/>
          </w:tcPr>
          <w:p>
            <w:r>
              <w:rPr>
                <w:rFonts w:ascii="Carlito" w:hAnsi="Carlito" w:eastAsia="Carlito"/>
                <w:b w:val="0"/>
                <w:color w:val="24303F"/>
                <w:sz w:val="17"/>
              </w:rPr>
              <w:t>Shows cell types and cell states</w:t>
            </w:r>
          </w:p>
        </w:tc>
        <w:tc>
          <w:tcPr>
            <w:tcW w:type="dxa" w:w="2736"/>
            <w:tcMar>
              <w:top w:w="75" w:type="dxa"/>
              <w:start w:w="75" w:type="dxa"/>
              <w:bottom w:w="75" w:type="dxa"/>
              <w:end w:w="75" w:type="dxa"/>
            </w:tcMar>
            <w:vAlign w:val="top"/>
            <w:shd w:fill="F3F5F7"/>
          </w:tcPr>
          <w:p>
            <w:r>
              <w:rPr>
                <w:rFonts w:ascii="Carlito" w:hAnsi="Carlito" w:eastAsia="Carlito"/>
                <w:b w:val="0"/>
                <w:color w:val="24303F"/>
                <w:sz w:val="17"/>
              </w:rPr>
              <w:t>Fresh-cell isolation may change cells; some cell types are hard to recover</w:t>
            </w:r>
          </w:p>
        </w:tc>
      </w:tr>
      <w:tr>
        <w:trPr>
          <w:cantSplit/>
        </w:trPr>
        <w:tc>
          <w:tcPr>
            <w:tcW w:type="dxa" w:w="1728"/>
            <w:tcMar>
              <w:top w:w="75" w:type="dxa"/>
              <w:start w:w="75" w:type="dxa"/>
              <w:bottom w:w="75" w:type="dxa"/>
              <w:end w:w="75" w:type="dxa"/>
            </w:tcMar>
            <w:vAlign w:val="top"/>
          </w:tcPr>
          <w:p>
            <w:r>
              <w:rPr>
                <w:rFonts w:ascii="Carlito" w:hAnsi="Carlito" w:eastAsia="Carlito"/>
                <w:b/>
                <w:color w:val="24303F"/>
                <w:sz w:val="17"/>
              </w:rPr>
              <w:t>snRNA-seq</w:t>
            </w:r>
          </w:p>
        </w:tc>
        <w:tc>
          <w:tcPr>
            <w:tcW w:type="dxa" w:w="2880"/>
            <w:tcMar>
              <w:top w:w="75" w:type="dxa"/>
              <w:start w:w="75" w:type="dxa"/>
              <w:bottom w:w="75" w:type="dxa"/>
              <w:end w:w="75" w:type="dxa"/>
            </w:tcMar>
            <w:vAlign w:val="top"/>
          </w:tcPr>
          <w:p>
            <w:r>
              <w:rPr>
                <w:rFonts w:ascii="Carlito" w:hAnsi="Carlito" w:eastAsia="Carlito"/>
                <w:b w:val="0"/>
                <w:color w:val="24303F"/>
                <w:sz w:val="17"/>
              </w:rPr>
              <w:t>RNA from individual nuclei</w:t>
            </w:r>
          </w:p>
        </w:tc>
        <w:tc>
          <w:tcPr>
            <w:tcW w:type="dxa" w:w="2880"/>
            <w:tcMar>
              <w:top w:w="75" w:type="dxa"/>
              <w:start w:w="75" w:type="dxa"/>
              <w:bottom w:w="75" w:type="dxa"/>
              <w:end w:w="75" w:type="dxa"/>
            </w:tcMar>
            <w:vAlign w:val="top"/>
          </w:tcPr>
          <w:p>
            <w:r>
              <w:rPr>
                <w:rFonts w:ascii="Carlito" w:hAnsi="Carlito" w:eastAsia="Carlito"/>
                <w:b w:val="0"/>
                <w:color w:val="24303F"/>
                <w:sz w:val="17"/>
              </w:rPr>
              <w:t>Works well with frozen brain tissue and captures broad brain cell types</w:t>
            </w:r>
          </w:p>
        </w:tc>
        <w:tc>
          <w:tcPr>
            <w:tcW w:type="dxa" w:w="2736"/>
            <w:tcMar>
              <w:top w:w="75" w:type="dxa"/>
              <w:start w:w="75" w:type="dxa"/>
              <w:bottom w:w="75" w:type="dxa"/>
              <w:end w:w="75" w:type="dxa"/>
            </w:tcMar>
            <w:vAlign w:val="top"/>
          </w:tcPr>
          <w:p>
            <w:r>
              <w:rPr>
                <w:rFonts w:ascii="Carlito" w:hAnsi="Carlito" w:eastAsia="Carlito"/>
                <w:b w:val="0"/>
                <w:color w:val="24303F"/>
                <w:sz w:val="17"/>
              </w:rPr>
              <w:t>Nuclear RNA is incomplete and differs from whole-cell RNA</w:t>
            </w:r>
          </w:p>
        </w:tc>
      </w:tr>
    </w:tbl>
    <w:p>
      <w:pPr>
        <w:spacing w:after="0"/>
      </w:pPr>
    </w:p>
    <w:p>
      <w:r>
        <w:rPr>
          <w:rFonts w:ascii="Carlito" w:hAnsi="Carlito" w:eastAsia="Carlito"/>
        </w:rPr>
        <w:t>GSE241553 is single-cell RNA-seq, GSE185063 is single-nucleus RNA-seq, and GSE163857 is bulk RNA-seq from sorted microglia. These methods are different, so you should compare their biological conclusions rather than combine their raw numbers into one matrix.</w:t>
      </w:r>
    </w:p>
    <w:p>
      <w:pPr>
        <w:pStyle w:val="Heading1"/>
      </w:pPr>
      <w:r>
        <w:t>5. Why brain region matching matters</w:t>
      </w:r>
    </w:p>
    <w:p>
      <w:r>
        <w:rPr>
          <w:rFonts w:ascii="Carlito" w:hAnsi="Carlito" w:eastAsia="Carlito"/>
        </w:rPr>
        <w:t>The cortex and hippocampus share broad cell categories, but their neurons and local environments are not identical. Therefore, a result in mouse cortex is a better regional match to human PFC than a result in mouse hippocampus.</w:t>
      </w:r>
    </w:p>
    <w:p>
      <w:pPr>
        <w:jc w:val="center"/>
      </w:pPr>
      <w:r>
        <w:drawing>
          <wp:inline xmlns:a="http://schemas.openxmlformats.org/drawingml/2006/main" xmlns:pic="http://schemas.openxmlformats.org/drawingml/2006/picture">
            <wp:extent cx="6309360" cy="3230241"/>
            <wp:docPr id="2" name="Picture 2" descr="A hierarchy from mouse medial prefrontal cortex to other cortex, mixed cortex and hippocampus, and hippocampus or whole brain." title="Figure 2. A practical hierarchy for matching mouse tissue to human PFC."/>
            <wp:cNvGraphicFramePr>
              <a:graphicFrameLocks noChangeAspect="1"/>
            </wp:cNvGraphicFramePr>
            <a:graphic>
              <a:graphicData uri="http://schemas.openxmlformats.org/drawingml/2006/picture">
                <pic:pic>
                  <pic:nvPicPr>
                    <pic:cNvPr id="0" name="region_matching_ladder.png"/>
                    <pic:cNvPicPr/>
                  </pic:nvPicPr>
                  <pic:blipFill>
                    <a:blip r:embed="rId12"/>
                    <a:stretch>
                      <a:fillRect/>
                    </a:stretch>
                  </pic:blipFill>
                  <pic:spPr>
                    <a:xfrm>
                      <a:off x="0" y="0"/>
                      <a:ext cx="6309360" cy="3230241"/>
                    </a:xfrm>
                    <a:prstGeom prst="rect"/>
                  </pic:spPr>
                </pic:pic>
              </a:graphicData>
            </a:graphic>
          </wp:inline>
        </w:drawing>
      </w:r>
    </w:p>
    <w:p>
      <w:pPr>
        <w:spacing w:after="120"/>
        <w:jc w:val="center"/>
      </w:pPr>
      <w:r>
        <w:rPr>
          <w:rFonts w:ascii="Carlito" w:hAnsi="Carlito" w:eastAsia="Carlito"/>
          <w:i/>
          <w:color w:val="5B6573"/>
          <w:sz w:val="17"/>
        </w:rPr>
        <w:t>Figure 2. A practical hierarchy for matching mouse tissue to human PFC.</w:t>
      </w:r>
    </w:p>
    <w:p>
      <w:pPr>
        <w:pStyle w:val="ListBullet"/>
        <w:spacing w:after="60"/>
      </w:pPr>
      <w:r>
        <w:rPr>
          <w:rFonts w:ascii="Carlito" w:hAnsi="Carlito" w:eastAsia="Carlito"/>
        </w:rPr>
        <w:t>For neuronal results, region matching is especially important.</w:t>
      </w:r>
    </w:p>
    <w:p>
      <w:pPr>
        <w:pStyle w:val="ListBullet"/>
        <w:spacing w:after="60"/>
      </w:pPr>
      <w:r>
        <w:rPr>
          <w:rFonts w:ascii="Carlito" w:hAnsi="Carlito" w:eastAsia="Carlito"/>
        </w:rPr>
        <w:t>For microglial and astrocyte pathways, cross-region evidence may still be useful.</w:t>
      </w:r>
    </w:p>
    <w:p>
      <w:pPr>
        <w:pStyle w:val="ListBullet"/>
        <w:spacing w:after="60"/>
      </w:pPr>
      <w:r>
        <w:rPr>
          <w:rFonts w:ascii="Carlito" w:hAnsi="Carlito" w:eastAsia="Carlito"/>
        </w:rPr>
        <w:t>A negative hippocampal result does not automatically disprove a human PFC result.</w:t>
      </w:r>
    </w:p>
    <w:p>
      <w:pPr>
        <w:pStyle w:val="ListBullet"/>
        <w:spacing w:after="60"/>
      </w:pPr>
      <w:r>
        <w:rPr>
          <w:rFonts w:ascii="Carlito" w:hAnsi="Carlito" w:eastAsia="Carlito"/>
        </w:rPr>
        <w:t>An unspecified cortex dataset supports a cortical claim but not an exact PFC claim.</w:t>
      </w:r>
    </w:p>
    <w:p>
      <w:pPr>
        <w:pStyle w:val="Heading1"/>
      </w:pPr>
      <w:r>
        <w:t>6. Why one dataset is not enough</w:t>
      </w:r>
    </w:p>
    <w:p>
      <w:r>
        <w:rPr>
          <w:rFonts w:ascii="Carlito" w:hAnsi="Carlito" w:eastAsia="Carlito"/>
        </w:rPr>
        <w:t>Imagine trying to solve a puzzle with three missing pieces: one piece tells you whether the tissue region matches, one tells you which cell type carries the signal, and one tells you whether APOE, sex, and disease interact. No current public dataset supplies every piece at once.</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1800"/>
            <w:shd w:fill="17324D"/>
            <w:tcMar>
              <w:top w:w="80" w:type="dxa"/>
              <w:start w:w="80" w:type="dxa"/>
              <w:bottom w:w="80" w:type="dxa"/>
              <w:end w:w="80" w:type="dxa"/>
            </w:tcMar>
            <w:vAlign w:val="center"/>
          </w:tcPr>
          <w:p>
            <w:r>
              <w:rPr>
                <w:rFonts w:ascii="Carlito" w:hAnsi="Carlito" w:eastAsia="Carlito"/>
                <w:b/>
                <w:color w:val="FFFFFF"/>
                <w:sz w:val="17"/>
              </w:rPr>
              <w:t>Dataset</w:t>
            </w:r>
          </w:p>
        </w:tc>
        <w:tc>
          <w:tcPr>
            <w:tcW w:type="dxa" w:w="4320"/>
            <w:shd w:fill="17324D"/>
            <w:tcMar>
              <w:top w:w="80" w:type="dxa"/>
              <w:start w:w="80" w:type="dxa"/>
              <w:bottom w:w="80" w:type="dxa"/>
              <w:end w:w="80" w:type="dxa"/>
            </w:tcMar>
            <w:vAlign w:val="center"/>
          </w:tcPr>
          <w:p>
            <w:r>
              <w:rPr>
                <w:rFonts w:ascii="Carlito" w:hAnsi="Carlito" w:eastAsia="Carlito"/>
                <w:b/>
                <w:color w:val="FFFFFF"/>
                <w:sz w:val="17"/>
              </w:rPr>
              <w:t>Question it answers best</w:t>
            </w:r>
          </w:p>
        </w:tc>
        <w:tc>
          <w:tcPr>
            <w:tcW w:type="dxa" w:w="4031"/>
            <w:shd w:fill="17324D"/>
            <w:tcMar>
              <w:top w:w="80" w:type="dxa"/>
              <w:start w:w="80" w:type="dxa"/>
              <w:bottom w:w="80" w:type="dxa"/>
              <w:end w:w="80" w:type="dxa"/>
            </w:tcMar>
            <w:vAlign w:val="center"/>
          </w:tcPr>
          <w:p>
            <w:r>
              <w:rPr>
                <w:rFonts w:ascii="Carlito" w:hAnsi="Carlito" w:eastAsia="Carlito"/>
                <w:b/>
                <w:color w:val="FFFFFF"/>
                <w:sz w:val="17"/>
              </w:rPr>
              <w:t>Question it cannot answer alone</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7"/>
              </w:rPr>
              <w:t>GSE241553</w:t>
            </w:r>
          </w:p>
        </w:tc>
        <w:tc>
          <w:tcPr>
            <w:tcW w:type="dxa" w:w="4320"/>
            <w:tcMar>
              <w:top w:w="75" w:type="dxa"/>
              <w:start w:w="75" w:type="dxa"/>
              <w:bottom w:w="75" w:type="dxa"/>
              <w:end w:w="75" w:type="dxa"/>
            </w:tcMar>
            <w:vAlign w:val="top"/>
          </w:tcPr>
          <w:p>
            <w:r>
              <w:rPr>
                <w:rFonts w:ascii="Carlito" w:hAnsi="Carlito" w:eastAsia="Carlito"/>
                <w:b w:val="0"/>
                <w:color w:val="24303F"/>
                <w:sz w:val="17"/>
              </w:rPr>
              <w:t>Does APOE3 versus APOE4 behave differently in female and male cortical cells under amyloid?</w:t>
            </w:r>
          </w:p>
        </w:tc>
        <w:tc>
          <w:tcPr>
            <w:tcW w:type="dxa" w:w="4031"/>
            <w:tcMar>
              <w:top w:w="75" w:type="dxa"/>
              <w:start w:w="75" w:type="dxa"/>
              <w:bottom w:w="75" w:type="dxa"/>
              <w:end w:w="75" w:type="dxa"/>
            </w:tcMar>
            <w:vAlign w:val="top"/>
          </w:tcPr>
          <w:p>
            <w:r>
              <w:rPr>
                <w:rFonts w:ascii="Carlito" w:hAnsi="Carlito" w:eastAsia="Carlito"/>
                <w:b w:val="0"/>
                <w:color w:val="24303F"/>
                <w:sz w:val="17"/>
              </w:rPr>
              <w:t>What is the AD-versus-non-AD effect?</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7"/>
              </w:rPr>
              <w:t>GSE185063</w:t>
            </w:r>
          </w:p>
        </w:tc>
        <w:tc>
          <w:tcPr>
            <w:tcW w:type="dxa" w:w="4320"/>
            <w:tcMar>
              <w:top w:w="75" w:type="dxa"/>
              <w:start w:w="75" w:type="dxa"/>
              <w:bottom w:w="75" w:type="dxa"/>
              <w:end w:w="75" w:type="dxa"/>
            </w:tcMar>
            <w:vAlign w:val="top"/>
            <w:shd w:fill="F3F5F7"/>
          </w:tcPr>
          <w:p>
            <w:r>
              <w:rPr>
                <w:rFonts w:ascii="Carlito" w:hAnsi="Carlito" w:eastAsia="Carlito"/>
                <w:b w:val="0"/>
                <w:color w:val="24303F"/>
                <w:sz w:val="17"/>
              </w:rPr>
              <w:t>Which cortical cell types show APOE3/APOE4 differences, and do they change with age?</w:t>
            </w:r>
          </w:p>
        </w:tc>
        <w:tc>
          <w:tcPr>
            <w:tcW w:type="dxa" w:w="4031"/>
            <w:tcMar>
              <w:top w:w="75" w:type="dxa"/>
              <w:start w:w="75" w:type="dxa"/>
              <w:bottom w:w="75" w:type="dxa"/>
              <w:end w:w="75" w:type="dxa"/>
            </w:tcMar>
            <w:vAlign w:val="top"/>
            <w:shd w:fill="F3F5F7"/>
          </w:tcPr>
          <w:p>
            <w:r>
              <w:rPr>
                <w:rFonts w:ascii="Carlito" w:hAnsi="Carlito" w:eastAsia="Carlito"/>
                <w:b w:val="0"/>
                <w:color w:val="24303F"/>
                <w:sz w:val="17"/>
              </w:rPr>
              <w:t>Is the effect specific to an AD background?</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7"/>
              </w:rPr>
              <w:t>GSE163857</w:t>
            </w:r>
          </w:p>
        </w:tc>
        <w:tc>
          <w:tcPr>
            <w:tcW w:type="dxa" w:w="4320"/>
            <w:tcMar>
              <w:top w:w="75" w:type="dxa"/>
              <w:start w:w="75" w:type="dxa"/>
              <w:bottom w:w="75" w:type="dxa"/>
              <w:end w:w="75" w:type="dxa"/>
            </w:tcMar>
            <w:vAlign w:val="top"/>
          </w:tcPr>
          <w:p>
            <w:r>
              <w:rPr>
                <w:rFonts w:ascii="Carlito" w:hAnsi="Carlito" w:eastAsia="Carlito"/>
                <w:b w:val="0"/>
                <w:color w:val="24303F"/>
                <w:sz w:val="17"/>
              </w:rPr>
              <w:t>Does the APOE effect during disease differ by sex in microglia?</w:t>
            </w:r>
          </w:p>
        </w:tc>
        <w:tc>
          <w:tcPr>
            <w:tcW w:type="dxa" w:w="4031"/>
            <w:tcMar>
              <w:top w:w="75" w:type="dxa"/>
              <w:start w:w="75" w:type="dxa"/>
              <w:bottom w:w="75" w:type="dxa"/>
              <w:end w:w="75" w:type="dxa"/>
            </w:tcMar>
            <w:vAlign w:val="top"/>
          </w:tcPr>
          <w:p>
            <w:r>
              <w:rPr>
                <w:rFonts w:ascii="Carlito" w:hAnsi="Carlito" w:eastAsia="Carlito"/>
                <w:b w:val="0"/>
                <w:color w:val="24303F"/>
                <w:sz w:val="17"/>
              </w:rPr>
              <w:t>Is the effect specific to PFC or another cortical region?</w:t>
            </w:r>
          </w:p>
        </w:tc>
      </w:tr>
    </w:tbl>
    <w:p>
      <w:pPr>
        <w:spacing w:after="0"/>
      </w:pPr>
    </w:p>
    <w:tbl>
      <w:tblPr>
        <w:tblW w:type="auto" w:w="0"/>
        <w:jc w:val="center"/>
        <w:tblLayout w:type="fixed"/>
        <w:tblLook w:firstColumn="1" w:firstRow="1" w:lastColumn="0" w:lastRow="0" w:noHBand="0" w:noVBand="1" w:val="04A0"/>
        <w:tblBorders>
          <w:top w:val="single" w:sz="10" w:space="0" w:color="1F7A8C"/>
          <w:left w:val="single" w:sz="10" w:space="0" w:color="1F7A8C"/>
          <w:bottom w:val="single" w:sz="10" w:space="0" w:color="1F7A8C"/>
          <w:right w:val="single" w:sz="10" w:space="0" w:color="1F7A8C"/>
          <w:insideH w:val="single" w:sz="10" w:space="0" w:color="1F7A8C"/>
          <w:insideV w:val="single" w:sz="10" w:space="0" w:color="1F7A8C"/>
        </w:tblBorders>
      </w:tblPr>
      <w:tblGrid>
        <w:gridCol w:w="10310"/>
      </w:tblGrid>
      <w:tr>
        <w:tc>
          <w:tcPr>
            <w:tcW w:type="dxa" w:w="10080"/>
            <w:shd w:fill="EAF6F7"/>
            <w:tcMar>
              <w:top w:w="120" w:type="dxa"/>
              <w:start w:w="150" w:type="dxa"/>
              <w:bottom w:w="120" w:type="dxa"/>
              <w:end w:w="150" w:type="dxa"/>
            </w:tcMar>
          </w:tcPr>
          <w:p>
            <w:pPr>
              <w:spacing w:after="40"/>
            </w:pPr>
            <w:r>
              <w:rPr>
                <w:rFonts w:ascii="Carlito" w:hAnsi="Carlito" w:eastAsia="Carlito"/>
                <w:b/>
                <w:color w:val="1F7A8C"/>
                <w:sz w:val="21"/>
              </w:rPr>
              <w:t>Triangulation</w:t>
            </w:r>
          </w:p>
          <w:p>
            <w:pPr>
              <w:spacing w:after="0"/>
            </w:pPr>
            <w:r>
              <w:rPr>
                <w:rFonts w:ascii="Carlito" w:hAnsi="Carlito" w:eastAsia="Carlito"/>
                <w:color w:val="24303F"/>
                <w:sz w:val="20"/>
              </w:rPr>
              <w:t>Triangulation means using different studies to test different parts of the same claim. Agreement across studies is convincing because the same conclusion survives different mouse models, laboratories, and measurement methods.</w:t>
            </w:r>
          </w:p>
        </w:tc>
      </w:tr>
    </w:tbl>
    <w:p>
      <w:pPr>
        <w:spacing w:after="0"/>
      </w:pPr>
    </w:p>
    <w:p>
      <w:pPr>
        <w:pStyle w:val="Heading1"/>
      </w:pPr>
      <w:r>
        <w:t>7. The most important statistics concept: the mouse is the replicate</w:t>
      </w:r>
    </w:p>
    <w:p>
      <w:r>
        <w:rPr>
          <w:rFonts w:ascii="Carlito" w:hAnsi="Carlito" w:eastAsia="Carlito"/>
        </w:rPr>
        <w:t>A biological replicate is an independently studied organism. If one mouse contributes 3,000 microglial cells, those cells share the same genetics, sex, age, environment, and disease status. They are repeated measurements of one mouse, not 3,000 independent mice.</w:t>
      </w:r>
    </w:p>
    <w:p>
      <w:pPr>
        <w:jc w:val="center"/>
      </w:pPr>
      <w:r>
        <w:drawing>
          <wp:inline xmlns:a="http://schemas.openxmlformats.org/drawingml/2006/main" xmlns:pic="http://schemas.openxmlformats.org/drawingml/2006/picture">
            <wp:extent cx="6309360" cy="3304183"/>
            <wp:docPr id="3" name="Picture 3" descr="Three mice each produce many cells, which are combined into one pseudobulk profile per mouse. Correct sample size is three mice, not thousands of cells." title="Figure 3. Many cells from one mouse become one mouse-level pseudobulk profile."/>
            <wp:cNvGraphicFramePr>
              <a:graphicFrameLocks noChangeAspect="1"/>
            </wp:cNvGraphicFramePr>
            <a:graphic>
              <a:graphicData uri="http://schemas.openxmlformats.org/drawingml/2006/picture">
                <pic:pic>
                  <pic:nvPicPr>
                    <pic:cNvPr id="0" name="biological_replicate.png"/>
                    <pic:cNvPicPr/>
                  </pic:nvPicPr>
                  <pic:blipFill>
                    <a:blip r:embed="rId13"/>
                    <a:stretch>
                      <a:fillRect/>
                    </a:stretch>
                  </pic:blipFill>
                  <pic:spPr>
                    <a:xfrm>
                      <a:off x="0" y="0"/>
                      <a:ext cx="6309360" cy="3304183"/>
                    </a:xfrm>
                    <a:prstGeom prst="rect"/>
                  </pic:spPr>
                </pic:pic>
              </a:graphicData>
            </a:graphic>
          </wp:inline>
        </w:drawing>
      </w:r>
    </w:p>
    <w:p>
      <w:pPr>
        <w:spacing w:after="120"/>
        <w:jc w:val="center"/>
      </w:pPr>
      <w:r>
        <w:rPr>
          <w:rFonts w:ascii="Carlito" w:hAnsi="Carlito" w:eastAsia="Carlito"/>
          <w:i/>
          <w:color w:val="5B6573"/>
          <w:sz w:val="17"/>
        </w:rPr>
        <w:t>Figure 3. Many cells from one mouse become one mouse-level pseudobulk profile.</w:t>
      </w:r>
    </w:p>
    <w:p>
      <w:r>
        <w:rPr>
          <w:rFonts w:ascii="Carlito" w:hAnsi="Carlito" w:eastAsia="Carlito"/>
        </w:rPr>
        <w:t>Pseudobulk analysis adds the gene counts from all cells of one cell type within one mouse. For example, all microglia from Mouse 1 become one microglial count profile; all microglia from Mouse 2 become a second profile; and so on.</w:t>
      </w:r>
    </w:p>
    <w:tbl>
      <w:tblPr>
        <w:tblW w:type="auto" w:w="0"/>
        <w:jc w:val="center"/>
        <w:tblLayout w:type="fixed"/>
        <w:tblLook w:firstColumn="1" w:firstRow="1" w:lastColumn="0" w:lastRow="0" w:noHBand="0" w:noVBand="1" w:val="04A0"/>
        <w:tblBorders>
          <w:top w:val="single" w:sz="10" w:space="0" w:color="A61B1B"/>
          <w:left w:val="single" w:sz="10" w:space="0" w:color="A61B1B"/>
          <w:bottom w:val="single" w:sz="10" w:space="0" w:color="A61B1B"/>
          <w:right w:val="single" w:sz="10" w:space="0" w:color="A61B1B"/>
          <w:insideH w:val="single" w:sz="10" w:space="0" w:color="A61B1B"/>
          <w:insideV w:val="single" w:sz="10" w:space="0" w:color="A61B1B"/>
        </w:tblBorders>
      </w:tblPr>
      <w:tblGrid>
        <w:gridCol w:w="10310"/>
      </w:tblGrid>
      <w:tr>
        <w:tc>
          <w:tcPr>
            <w:tcW w:type="dxa" w:w="10080"/>
            <w:shd w:fill="FFF4E5"/>
            <w:tcMar>
              <w:top w:w="120" w:type="dxa"/>
              <w:start w:w="150" w:type="dxa"/>
              <w:bottom w:w="120" w:type="dxa"/>
              <w:end w:w="150" w:type="dxa"/>
            </w:tcMar>
          </w:tcPr>
          <w:p>
            <w:pPr>
              <w:spacing w:after="40"/>
            </w:pPr>
            <w:r>
              <w:rPr>
                <w:rFonts w:ascii="Carlito" w:hAnsi="Carlito" w:eastAsia="Carlito"/>
                <w:b/>
                <w:color w:val="A61B1B"/>
                <w:sz w:val="21"/>
              </w:rPr>
              <w:t>Pseudoreplication warning</w:t>
            </w:r>
          </w:p>
          <w:p>
            <w:pPr>
              <w:spacing w:after="0"/>
            </w:pPr>
            <w:r>
              <w:rPr>
                <w:rFonts w:ascii="Carlito" w:hAnsi="Carlito" w:eastAsia="Carlito"/>
                <w:color w:val="24303F"/>
                <w:sz w:val="20"/>
              </w:rPr>
              <w:t>Pseudoreplication means pretending repeated measurements from the same subject are independent subjects. Treating 20,000 nuclei as n = 20,000 would make uncertainty look far smaller than it really is.</w:t>
            </w:r>
          </w:p>
        </w:tc>
      </w:tr>
    </w:tbl>
    <w:p>
      <w:pPr>
        <w:spacing w:after="0"/>
      </w:pPr>
    </w:p>
    <w:p>
      <w:pPr>
        <w:pStyle w:val="Heading1"/>
      </w:pPr>
      <w:r>
        <w:t>8. What is an interaction?</w:t>
      </w:r>
    </w:p>
    <w:p>
      <w:r>
        <w:rPr>
          <w:rFonts w:ascii="Carlito" w:hAnsi="Carlito" w:eastAsia="Carlito"/>
        </w:rPr>
        <w:t>An interaction means the effect of one factor depends on another factor. Suppose APOE4 lowers a mitochondrial gene score by 1.0 unit in females but only 0.2 unit in males. The APOE effect is different by sex, so there is an APOE-by-sex interaction.</w:t>
      </w:r>
    </w:p>
    <w:p>
      <w:pPr>
        <w:jc w:val="center"/>
      </w:pPr>
      <w:r>
        <w:drawing>
          <wp:inline xmlns:a="http://schemas.openxmlformats.org/drawingml/2006/main" xmlns:pic="http://schemas.openxmlformats.org/drawingml/2006/picture">
            <wp:extent cx="6309360" cy="3719651"/>
            <wp:docPr id="4" name="Picture 4" descr="A line plot in which the mitochondrial score drops more from APOE3 to APOE4 in females than in males. Values are illustrative." title="Figure 4. Hypothetical example of an APOE-by-sex interaction."/>
            <wp:cNvGraphicFramePr>
              <a:graphicFrameLocks noChangeAspect="1"/>
            </wp:cNvGraphicFramePr>
            <a:graphic>
              <a:graphicData uri="http://schemas.openxmlformats.org/drawingml/2006/picture">
                <pic:pic>
                  <pic:nvPicPr>
                    <pic:cNvPr id="0" name="interaction_example.png"/>
                    <pic:cNvPicPr/>
                  </pic:nvPicPr>
                  <pic:blipFill>
                    <a:blip r:embed="rId14"/>
                    <a:stretch>
                      <a:fillRect/>
                    </a:stretch>
                  </pic:blipFill>
                  <pic:spPr>
                    <a:xfrm>
                      <a:off x="0" y="0"/>
                      <a:ext cx="6309360" cy="3719651"/>
                    </a:xfrm>
                    <a:prstGeom prst="rect"/>
                  </pic:spPr>
                </pic:pic>
              </a:graphicData>
            </a:graphic>
          </wp:inline>
        </w:drawing>
      </w:r>
    </w:p>
    <w:p>
      <w:pPr>
        <w:spacing w:after="120"/>
        <w:jc w:val="center"/>
      </w:pPr>
      <w:r>
        <w:rPr>
          <w:rFonts w:ascii="Carlito" w:hAnsi="Carlito" w:eastAsia="Carlito"/>
          <w:i/>
          <w:color w:val="5B6573"/>
          <w:sz w:val="17"/>
        </w:rPr>
        <w:t>Figure 4. Hypothetical example of an APOE-by-sex interaction.</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3024"/>
            <w:shd w:fill="17324D"/>
            <w:tcMar>
              <w:top w:w="80" w:type="dxa"/>
              <w:start w:w="80" w:type="dxa"/>
              <w:bottom w:w="80" w:type="dxa"/>
              <w:end w:w="80" w:type="dxa"/>
            </w:tcMar>
            <w:vAlign w:val="center"/>
          </w:tcPr>
          <w:p>
            <w:r>
              <w:rPr>
                <w:rFonts w:ascii="Carlito" w:hAnsi="Carlito" w:eastAsia="Carlito"/>
                <w:b/>
                <w:color w:val="FFFFFF"/>
                <w:sz w:val="17"/>
              </w:rPr>
              <w:t>Term</w:t>
            </w:r>
          </w:p>
        </w:tc>
        <w:tc>
          <w:tcPr>
            <w:tcW w:type="dxa" w:w="6768"/>
            <w:shd w:fill="17324D"/>
            <w:tcMar>
              <w:top w:w="80" w:type="dxa"/>
              <w:start w:w="80" w:type="dxa"/>
              <w:bottom w:w="80" w:type="dxa"/>
              <w:end w:w="80" w:type="dxa"/>
            </w:tcMar>
            <w:vAlign w:val="center"/>
          </w:tcPr>
          <w:p>
            <w:r>
              <w:rPr>
                <w:rFonts w:ascii="Carlito" w:hAnsi="Carlito" w:eastAsia="Carlito"/>
                <w:b/>
                <w:color w:val="FFFFFF"/>
                <w:sz w:val="17"/>
              </w:rPr>
              <w:t>Question</w:t>
            </w:r>
          </w:p>
        </w:tc>
      </w:tr>
      <w:tr>
        <w:trPr>
          <w:cantSplit/>
        </w:trPr>
        <w:tc>
          <w:tcPr>
            <w:tcW w:type="dxa" w:w="3024"/>
            <w:tcMar>
              <w:top w:w="75" w:type="dxa"/>
              <w:start w:w="75" w:type="dxa"/>
              <w:bottom w:w="75" w:type="dxa"/>
              <w:end w:w="75" w:type="dxa"/>
            </w:tcMar>
            <w:vAlign w:val="top"/>
          </w:tcPr>
          <w:p>
            <w:r>
              <w:rPr>
                <w:rFonts w:ascii="Carlito" w:hAnsi="Carlito" w:eastAsia="Carlito"/>
                <w:b/>
                <w:color w:val="24303F"/>
                <w:sz w:val="17"/>
              </w:rPr>
              <w:t>APOE main effect</w:t>
            </w:r>
          </w:p>
        </w:tc>
        <w:tc>
          <w:tcPr>
            <w:tcW w:type="dxa" w:w="6768"/>
            <w:tcMar>
              <w:top w:w="75" w:type="dxa"/>
              <w:start w:w="75" w:type="dxa"/>
              <w:bottom w:w="75" w:type="dxa"/>
              <w:end w:w="75" w:type="dxa"/>
            </w:tcMar>
            <w:vAlign w:val="top"/>
          </w:tcPr>
          <w:p>
            <w:r>
              <w:rPr>
                <w:rFonts w:ascii="Carlito" w:hAnsi="Carlito" w:eastAsia="Carlito"/>
                <w:b w:val="0"/>
                <w:color w:val="24303F"/>
                <w:sz w:val="17"/>
              </w:rPr>
              <w:t>On average, is APOE4 different from APOE3?</w:t>
            </w:r>
          </w:p>
        </w:tc>
      </w:tr>
      <w:tr>
        <w:trPr>
          <w:cantSplit/>
        </w:trPr>
        <w:tc>
          <w:tcPr>
            <w:tcW w:type="dxa" w:w="3024"/>
            <w:tcMar>
              <w:top w:w="75" w:type="dxa"/>
              <w:start w:w="75" w:type="dxa"/>
              <w:bottom w:w="75" w:type="dxa"/>
              <w:end w:w="75" w:type="dxa"/>
            </w:tcMar>
            <w:vAlign w:val="top"/>
            <w:shd w:fill="F3F5F7"/>
          </w:tcPr>
          <w:p>
            <w:r>
              <w:rPr>
                <w:rFonts w:ascii="Carlito" w:hAnsi="Carlito" w:eastAsia="Carlito"/>
                <w:b/>
                <w:color w:val="24303F"/>
                <w:sz w:val="17"/>
              </w:rPr>
              <w:t>Sex main effect</w:t>
            </w:r>
          </w:p>
        </w:tc>
        <w:tc>
          <w:tcPr>
            <w:tcW w:type="dxa" w:w="6768"/>
            <w:tcMar>
              <w:top w:w="75" w:type="dxa"/>
              <w:start w:w="75" w:type="dxa"/>
              <w:bottom w:w="75" w:type="dxa"/>
              <w:end w:w="75" w:type="dxa"/>
            </w:tcMar>
            <w:vAlign w:val="top"/>
            <w:shd w:fill="F3F5F7"/>
          </w:tcPr>
          <w:p>
            <w:r>
              <w:rPr>
                <w:rFonts w:ascii="Carlito" w:hAnsi="Carlito" w:eastAsia="Carlito"/>
                <w:b w:val="0"/>
                <w:color w:val="24303F"/>
                <w:sz w:val="17"/>
              </w:rPr>
              <w:t>On average, are female and male mice different?</w:t>
            </w:r>
          </w:p>
        </w:tc>
      </w:tr>
      <w:tr>
        <w:trPr>
          <w:cantSplit/>
        </w:trPr>
        <w:tc>
          <w:tcPr>
            <w:tcW w:type="dxa" w:w="3024"/>
            <w:tcMar>
              <w:top w:w="75" w:type="dxa"/>
              <w:start w:w="75" w:type="dxa"/>
              <w:bottom w:w="75" w:type="dxa"/>
              <w:end w:w="75" w:type="dxa"/>
            </w:tcMar>
            <w:vAlign w:val="top"/>
          </w:tcPr>
          <w:p>
            <w:r>
              <w:rPr>
                <w:rFonts w:ascii="Carlito" w:hAnsi="Carlito" w:eastAsia="Carlito"/>
                <w:b/>
                <w:color w:val="24303F"/>
                <w:sz w:val="17"/>
              </w:rPr>
              <w:t>Disease main effect</w:t>
            </w:r>
          </w:p>
        </w:tc>
        <w:tc>
          <w:tcPr>
            <w:tcW w:type="dxa" w:w="6768"/>
            <w:tcMar>
              <w:top w:w="75" w:type="dxa"/>
              <w:start w:w="75" w:type="dxa"/>
              <w:bottom w:w="75" w:type="dxa"/>
              <w:end w:w="75" w:type="dxa"/>
            </w:tcMar>
            <w:vAlign w:val="top"/>
          </w:tcPr>
          <w:p>
            <w:r>
              <w:rPr>
                <w:rFonts w:ascii="Carlito" w:hAnsi="Carlito" w:eastAsia="Carlito"/>
                <w:b w:val="0"/>
                <w:color w:val="24303F"/>
                <w:sz w:val="17"/>
              </w:rPr>
              <w:t>On average, is the AD model different from control?</w:t>
            </w:r>
          </w:p>
        </w:tc>
      </w:tr>
      <w:tr>
        <w:trPr>
          <w:cantSplit/>
        </w:trPr>
        <w:tc>
          <w:tcPr>
            <w:tcW w:type="dxa" w:w="3024"/>
            <w:tcMar>
              <w:top w:w="75" w:type="dxa"/>
              <w:start w:w="75" w:type="dxa"/>
              <w:bottom w:w="75" w:type="dxa"/>
              <w:end w:w="75" w:type="dxa"/>
            </w:tcMar>
            <w:vAlign w:val="top"/>
            <w:shd w:fill="F3F5F7"/>
          </w:tcPr>
          <w:p>
            <w:r>
              <w:rPr>
                <w:rFonts w:ascii="Carlito" w:hAnsi="Carlito" w:eastAsia="Carlito"/>
                <w:b/>
                <w:color w:val="24303F"/>
                <w:sz w:val="17"/>
              </w:rPr>
              <w:t>APOE x sex</w:t>
            </w:r>
          </w:p>
        </w:tc>
        <w:tc>
          <w:tcPr>
            <w:tcW w:type="dxa" w:w="6768"/>
            <w:tcMar>
              <w:top w:w="75" w:type="dxa"/>
              <w:start w:w="75" w:type="dxa"/>
              <w:bottom w:w="75" w:type="dxa"/>
              <w:end w:w="75" w:type="dxa"/>
            </w:tcMar>
            <w:vAlign w:val="top"/>
            <w:shd w:fill="F3F5F7"/>
          </w:tcPr>
          <w:p>
            <w:r>
              <w:rPr>
                <w:rFonts w:ascii="Carlito" w:hAnsi="Carlito" w:eastAsia="Carlito"/>
                <w:b w:val="0"/>
                <w:color w:val="24303F"/>
                <w:sz w:val="17"/>
              </w:rPr>
              <w:t>Is the APOE4 effect different in females and males?</w:t>
            </w:r>
          </w:p>
        </w:tc>
      </w:tr>
      <w:tr>
        <w:trPr>
          <w:cantSplit/>
        </w:trPr>
        <w:tc>
          <w:tcPr>
            <w:tcW w:type="dxa" w:w="3024"/>
            <w:tcMar>
              <w:top w:w="75" w:type="dxa"/>
              <w:start w:w="75" w:type="dxa"/>
              <w:bottom w:w="75" w:type="dxa"/>
              <w:end w:w="75" w:type="dxa"/>
            </w:tcMar>
            <w:vAlign w:val="top"/>
          </w:tcPr>
          <w:p>
            <w:r>
              <w:rPr>
                <w:rFonts w:ascii="Carlito" w:hAnsi="Carlito" w:eastAsia="Carlito"/>
                <w:b/>
                <w:color w:val="24303F"/>
                <w:sz w:val="17"/>
              </w:rPr>
              <w:t>APOE x disease</w:t>
            </w:r>
          </w:p>
        </w:tc>
        <w:tc>
          <w:tcPr>
            <w:tcW w:type="dxa" w:w="6768"/>
            <w:tcMar>
              <w:top w:w="75" w:type="dxa"/>
              <w:start w:w="75" w:type="dxa"/>
              <w:bottom w:w="75" w:type="dxa"/>
              <w:end w:w="75" w:type="dxa"/>
            </w:tcMar>
            <w:vAlign w:val="top"/>
          </w:tcPr>
          <w:p>
            <w:r>
              <w:rPr>
                <w:rFonts w:ascii="Carlito" w:hAnsi="Carlito" w:eastAsia="Carlito"/>
                <w:b w:val="0"/>
                <w:color w:val="24303F"/>
                <w:sz w:val="17"/>
              </w:rPr>
              <w:t>Is the APOE4 effect different in AD and control backgrounds?</w:t>
            </w:r>
          </w:p>
        </w:tc>
      </w:tr>
      <w:tr>
        <w:trPr>
          <w:cantSplit/>
        </w:trPr>
        <w:tc>
          <w:tcPr>
            <w:tcW w:type="dxa" w:w="3024"/>
            <w:tcMar>
              <w:top w:w="75" w:type="dxa"/>
              <w:start w:w="75" w:type="dxa"/>
              <w:bottom w:w="75" w:type="dxa"/>
              <w:end w:w="75" w:type="dxa"/>
            </w:tcMar>
            <w:vAlign w:val="top"/>
            <w:shd w:fill="F3F5F7"/>
          </w:tcPr>
          <w:p>
            <w:r>
              <w:rPr>
                <w:rFonts w:ascii="Carlito" w:hAnsi="Carlito" w:eastAsia="Carlito"/>
                <w:b/>
                <w:color w:val="24303F"/>
                <w:sz w:val="17"/>
              </w:rPr>
              <w:t>Sex x disease</w:t>
            </w:r>
          </w:p>
        </w:tc>
        <w:tc>
          <w:tcPr>
            <w:tcW w:type="dxa" w:w="6768"/>
            <w:tcMar>
              <w:top w:w="75" w:type="dxa"/>
              <w:start w:w="75" w:type="dxa"/>
              <w:bottom w:w="75" w:type="dxa"/>
              <w:end w:w="75" w:type="dxa"/>
            </w:tcMar>
            <w:vAlign w:val="top"/>
            <w:shd w:fill="F3F5F7"/>
          </w:tcPr>
          <w:p>
            <w:r>
              <w:rPr>
                <w:rFonts w:ascii="Carlito" w:hAnsi="Carlito" w:eastAsia="Carlito"/>
                <w:b w:val="0"/>
                <w:color w:val="24303F"/>
                <w:sz w:val="17"/>
              </w:rPr>
              <w:t>Is the disease effect different in females and males?</w:t>
            </w:r>
          </w:p>
        </w:tc>
      </w:tr>
      <w:tr>
        <w:trPr>
          <w:cantSplit/>
        </w:trPr>
        <w:tc>
          <w:tcPr>
            <w:tcW w:type="dxa" w:w="3024"/>
            <w:tcMar>
              <w:top w:w="75" w:type="dxa"/>
              <w:start w:w="75" w:type="dxa"/>
              <w:bottom w:w="75" w:type="dxa"/>
              <w:end w:w="75" w:type="dxa"/>
            </w:tcMar>
            <w:vAlign w:val="top"/>
          </w:tcPr>
          <w:p>
            <w:r>
              <w:rPr>
                <w:rFonts w:ascii="Carlito" w:hAnsi="Carlito" w:eastAsia="Carlito"/>
                <w:b/>
                <w:color w:val="24303F"/>
                <w:sz w:val="17"/>
              </w:rPr>
              <w:t>APOE x sex x disease</w:t>
            </w:r>
          </w:p>
        </w:tc>
        <w:tc>
          <w:tcPr>
            <w:tcW w:type="dxa" w:w="6768"/>
            <w:tcMar>
              <w:top w:w="75" w:type="dxa"/>
              <w:start w:w="75" w:type="dxa"/>
              <w:bottom w:w="75" w:type="dxa"/>
              <w:end w:w="75" w:type="dxa"/>
            </w:tcMar>
            <w:vAlign w:val="top"/>
          </w:tcPr>
          <w:p>
            <w:r>
              <w:rPr>
                <w:rFonts w:ascii="Carlito" w:hAnsi="Carlito" w:eastAsia="Carlito"/>
                <w:b w:val="0"/>
                <w:color w:val="24303F"/>
                <w:sz w:val="17"/>
              </w:rPr>
              <w:t>Does the disease-related APOE4 effect differ between females and males?</w:t>
            </w:r>
          </w:p>
        </w:tc>
      </w:tr>
    </w:tbl>
    <w:p>
      <w:pPr>
        <w:spacing w:after="0"/>
      </w:pPr>
    </w:p>
    <w:p>
      <w:pPr>
        <w:jc w:val="center"/>
      </w:pPr>
      <w:r>
        <w:drawing>
          <wp:inline xmlns:a="http://schemas.openxmlformats.org/drawingml/2006/main" xmlns:pic="http://schemas.openxmlformats.org/drawingml/2006/picture">
            <wp:extent cx="6309360" cy="3406873"/>
            <wp:docPr id="5" name="Picture 5" descr="Eight group boxes showing APOE3 and APOE4, female and male, and control and 5xFAD backgrounds." title="Figure 5. A complete APOE3/4 x sex x disease experiment contains eight groups."/>
            <wp:cNvGraphicFramePr>
              <a:graphicFrameLocks noChangeAspect="1"/>
            </wp:cNvGraphicFramePr>
            <a:graphic>
              <a:graphicData uri="http://schemas.openxmlformats.org/drawingml/2006/picture">
                <pic:pic>
                  <pic:nvPicPr>
                    <pic:cNvPr id="0" name="factorial_design.png"/>
                    <pic:cNvPicPr/>
                  </pic:nvPicPr>
                  <pic:blipFill>
                    <a:blip r:embed="rId15"/>
                    <a:stretch>
                      <a:fillRect/>
                    </a:stretch>
                  </pic:blipFill>
                  <pic:spPr>
                    <a:xfrm>
                      <a:off x="0" y="0"/>
                      <a:ext cx="6309360" cy="3406873"/>
                    </a:xfrm>
                    <a:prstGeom prst="rect"/>
                  </pic:spPr>
                </pic:pic>
              </a:graphicData>
            </a:graphic>
          </wp:inline>
        </w:drawing>
      </w:r>
    </w:p>
    <w:p>
      <w:pPr>
        <w:spacing w:after="120"/>
        <w:jc w:val="center"/>
      </w:pPr>
      <w:r>
        <w:rPr>
          <w:rFonts w:ascii="Carlito" w:hAnsi="Carlito" w:eastAsia="Carlito"/>
          <w:i/>
          <w:color w:val="5B6573"/>
          <w:sz w:val="17"/>
        </w:rPr>
        <w:t>Figure 5. A complete APOE3/4 x sex x disease experiment contains eight groups.</w:t>
      </w:r>
    </w:p>
    <w:p>
      <w:pPr>
        <w:pStyle w:val="Heading1"/>
      </w:pPr>
      <w:r>
        <w:t>9. Before touching the mouse data</w:t>
      </w:r>
    </w:p>
    <w:p>
      <w:pPr>
        <w:pStyle w:val="Heading2"/>
      </w:pPr>
      <w:r>
        <w:t>9.1 Freeze the human result</w:t>
      </w:r>
    </w:p>
    <w:p>
      <w:r>
        <w:rPr>
          <w:rFonts w:ascii="Carlito" w:hAnsi="Carlito" w:eastAsia="Carlito"/>
        </w:rPr>
        <w:t>Write down the human PFC result before checking the mouse studies. This prevents cherry-picking, which means changing the question after seeing which mouse result looks favorable.</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880"/>
            <w:shd w:fill="17324D"/>
            <w:tcMar>
              <w:top w:w="80" w:type="dxa"/>
              <w:start w:w="80" w:type="dxa"/>
              <w:bottom w:w="80" w:type="dxa"/>
              <w:end w:w="80" w:type="dxa"/>
            </w:tcMar>
            <w:vAlign w:val="center"/>
          </w:tcPr>
          <w:p>
            <w:r>
              <w:rPr>
                <w:rFonts w:ascii="Carlito" w:hAnsi="Carlito" w:eastAsia="Carlito"/>
                <w:b/>
                <w:color w:val="FFFFFF"/>
                <w:sz w:val="17"/>
              </w:rPr>
              <w:t>Human result item</w:t>
            </w:r>
          </w:p>
        </w:tc>
        <w:tc>
          <w:tcPr>
            <w:tcW w:type="dxa" w:w="6912"/>
            <w:shd w:fill="17324D"/>
            <w:tcMar>
              <w:top w:w="80" w:type="dxa"/>
              <w:start w:w="80" w:type="dxa"/>
              <w:bottom w:w="80" w:type="dxa"/>
              <w:end w:w="80" w:type="dxa"/>
            </w:tcMar>
            <w:vAlign w:val="center"/>
          </w:tcPr>
          <w:p>
            <w:r>
              <w:rPr>
                <w:rFonts w:ascii="Carlito" w:hAnsi="Carlito" w:eastAsia="Carlito"/>
                <w:b/>
                <w:color w:val="FFFFFF"/>
                <w:sz w:val="17"/>
              </w:rPr>
              <w:t>Example</w:t>
            </w:r>
          </w:p>
        </w:tc>
      </w:tr>
      <w:tr>
        <w:trPr>
          <w:cantSplit/>
        </w:trPr>
        <w:tc>
          <w:tcPr>
            <w:tcW w:type="dxa" w:w="2880"/>
            <w:tcMar>
              <w:top w:w="75" w:type="dxa"/>
              <w:start w:w="75" w:type="dxa"/>
              <w:bottom w:w="75" w:type="dxa"/>
              <w:end w:w="75" w:type="dxa"/>
            </w:tcMar>
            <w:vAlign w:val="top"/>
          </w:tcPr>
          <w:p>
            <w:r>
              <w:rPr>
                <w:rFonts w:ascii="Carlito" w:hAnsi="Carlito" w:eastAsia="Carlito"/>
                <w:b/>
                <w:color w:val="24303F"/>
                <w:sz w:val="17"/>
              </w:rPr>
              <w:t>Cell type</w:t>
            </w:r>
          </w:p>
        </w:tc>
        <w:tc>
          <w:tcPr>
            <w:tcW w:type="dxa" w:w="6912"/>
            <w:tcMar>
              <w:top w:w="75" w:type="dxa"/>
              <w:start w:w="75" w:type="dxa"/>
              <w:bottom w:w="75" w:type="dxa"/>
              <w:end w:w="75" w:type="dxa"/>
            </w:tcMar>
            <w:vAlign w:val="top"/>
          </w:tcPr>
          <w:p>
            <w:r>
              <w:rPr>
                <w:rFonts w:ascii="Carlito" w:hAnsi="Carlito" w:eastAsia="Carlito"/>
                <w:b w:val="0"/>
                <w:color w:val="24303F"/>
                <w:sz w:val="17"/>
              </w:rPr>
              <w:t>Microglia</w:t>
            </w:r>
          </w:p>
        </w:tc>
      </w:tr>
      <w:tr>
        <w:trPr>
          <w:cantSplit/>
        </w:trPr>
        <w:tc>
          <w:tcPr>
            <w:tcW w:type="dxa" w:w="2880"/>
            <w:tcMar>
              <w:top w:w="75" w:type="dxa"/>
              <w:start w:w="75" w:type="dxa"/>
              <w:bottom w:w="75" w:type="dxa"/>
              <w:end w:w="75" w:type="dxa"/>
            </w:tcMar>
            <w:vAlign w:val="top"/>
            <w:shd w:fill="F3F5F7"/>
          </w:tcPr>
          <w:p>
            <w:r>
              <w:rPr>
                <w:rFonts w:ascii="Carlito" w:hAnsi="Carlito" w:eastAsia="Carlito"/>
                <w:b/>
                <w:color w:val="24303F"/>
                <w:sz w:val="17"/>
              </w:rPr>
              <w:t>Human contrast</w:t>
            </w:r>
          </w:p>
        </w:tc>
        <w:tc>
          <w:tcPr>
            <w:tcW w:type="dxa" w:w="6912"/>
            <w:tcMar>
              <w:top w:w="75" w:type="dxa"/>
              <w:start w:w="75" w:type="dxa"/>
              <w:bottom w:w="75" w:type="dxa"/>
              <w:end w:w="75" w:type="dxa"/>
            </w:tcMar>
            <w:vAlign w:val="top"/>
            <w:shd w:fill="F3F5F7"/>
          </w:tcPr>
          <w:p>
            <w:r>
              <w:rPr>
                <w:rFonts w:ascii="Carlito" w:hAnsi="Carlito" w:eastAsia="Carlito"/>
                <w:b w:val="0"/>
                <w:color w:val="24303F"/>
                <w:sz w:val="17"/>
              </w:rPr>
              <w:t>Female APOE4 AD versus female APOE3 AD</w:t>
            </w:r>
          </w:p>
        </w:tc>
      </w:tr>
      <w:tr>
        <w:trPr>
          <w:cantSplit/>
        </w:trPr>
        <w:tc>
          <w:tcPr>
            <w:tcW w:type="dxa" w:w="2880"/>
            <w:tcMar>
              <w:top w:w="75" w:type="dxa"/>
              <w:start w:w="75" w:type="dxa"/>
              <w:bottom w:w="75" w:type="dxa"/>
              <w:end w:w="75" w:type="dxa"/>
            </w:tcMar>
            <w:vAlign w:val="top"/>
          </w:tcPr>
          <w:p>
            <w:r>
              <w:rPr>
                <w:rFonts w:ascii="Carlito" w:hAnsi="Carlito" w:eastAsia="Carlito"/>
                <w:b/>
                <w:color w:val="24303F"/>
                <w:sz w:val="17"/>
              </w:rPr>
              <w:t>Gene module</w:t>
            </w:r>
          </w:p>
        </w:tc>
        <w:tc>
          <w:tcPr>
            <w:tcW w:type="dxa" w:w="6912"/>
            <w:tcMar>
              <w:top w:w="75" w:type="dxa"/>
              <w:start w:w="75" w:type="dxa"/>
              <w:bottom w:w="75" w:type="dxa"/>
              <w:end w:w="75" w:type="dxa"/>
            </w:tcMar>
            <w:vAlign w:val="top"/>
          </w:tcPr>
          <w:p>
            <w:r>
              <w:rPr>
                <w:rFonts w:ascii="Carlito" w:hAnsi="Carlito" w:eastAsia="Carlito"/>
                <w:b w:val="0"/>
                <w:color w:val="24303F"/>
                <w:sz w:val="17"/>
              </w:rPr>
              <w:t>Oxidative phosphorylation genes</w:t>
            </w:r>
          </w:p>
        </w:tc>
      </w:tr>
      <w:tr>
        <w:trPr>
          <w:cantSplit/>
        </w:trPr>
        <w:tc>
          <w:tcPr>
            <w:tcW w:type="dxa" w:w="2880"/>
            <w:tcMar>
              <w:top w:w="75" w:type="dxa"/>
              <w:start w:w="75" w:type="dxa"/>
              <w:bottom w:w="75" w:type="dxa"/>
              <w:end w:w="75" w:type="dxa"/>
            </w:tcMar>
            <w:vAlign w:val="top"/>
            <w:shd w:fill="F3F5F7"/>
          </w:tcPr>
          <w:p>
            <w:r>
              <w:rPr>
                <w:rFonts w:ascii="Carlito" w:hAnsi="Carlito" w:eastAsia="Carlito"/>
                <w:b/>
                <w:color w:val="24303F"/>
                <w:sz w:val="17"/>
              </w:rPr>
              <w:t>Expected direction</w:t>
            </w:r>
          </w:p>
        </w:tc>
        <w:tc>
          <w:tcPr>
            <w:tcW w:type="dxa" w:w="6912"/>
            <w:tcMar>
              <w:top w:w="75" w:type="dxa"/>
              <w:start w:w="75" w:type="dxa"/>
              <w:bottom w:w="75" w:type="dxa"/>
              <w:end w:w="75" w:type="dxa"/>
            </w:tcMar>
            <w:vAlign w:val="top"/>
            <w:shd w:fill="F3F5F7"/>
          </w:tcPr>
          <w:p>
            <w:r>
              <w:rPr>
                <w:rFonts w:ascii="Carlito" w:hAnsi="Carlito" w:eastAsia="Carlito"/>
                <w:b w:val="0"/>
                <w:color w:val="24303F"/>
                <w:sz w:val="17"/>
              </w:rPr>
              <w:t>Lower in APOE4</w:t>
            </w:r>
          </w:p>
        </w:tc>
      </w:tr>
      <w:tr>
        <w:trPr>
          <w:cantSplit/>
        </w:trPr>
        <w:tc>
          <w:tcPr>
            <w:tcW w:type="dxa" w:w="2880"/>
            <w:tcMar>
              <w:top w:w="75" w:type="dxa"/>
              <w:start w:w="75" w:type="dxa"/>
              <w:bottom w:w="75" w:type="dxa"/>
              <w:end w:w="75" w:type="dxa"/>
            </w:tcMar>
            <w:vAlign w:val="top"/>
          </w:tcPr>
          <w:p>
            <w:r>
              <w:rPr>
                <w:rFonts w:ascii="Carlito" w:hAnsi="Carlito" w:eastAsia="Carlito"/>
                <w:b/>
                <w:color w:val="24303F"/>
                <w:sz w:val="17"/>
              </w:rPr>
              <w:t>Primary outcome</w:t>
            </w:r>
          </w:p>
        </w:tc>
        <w:tc>
          <w:tcPr>
            <w:tcW w:type="dxa" w:w="6912"/>
            <w:tcMar>
              <w:top w:w="75" w:type="dxa"/>
              <w:start w:w="75" w:type="dxa"/>
              <w:bottom w:w="75" w:type="dxa"/>
              <w:end w:w="75" w:type="dxa"/>
            </w:tcMar>
            <w:vAlign w:val="top"/>
          </w:tcPr>
          <w:p>
            <w:r>
              <w:rPr>
                <w:rFonts w:ascii="Carlito" w:hAnsi="Carlito" w:eastAsia="Carlito"/>
                <w:b w:val="0"/>
                <w:color w:val="24303F"/>
                <w:sz w:val="17"/>
              </w:rPr>
              <w:t>Mouse ortholog module score</w:t>
            </w:r>
          </w:p>
        </w:tc>
      </w:tr>
      <w:tr>
        <w:trPr>
          <w:cantSplit/>
        </w:trPr>
        <w:tc>
          <w:tcPr>
            <w:tcW w:type="dxa" w:w="2880"/>
            <w:tcMar>
              <w:top w:w="75" w:type="dxa"/>
              <w:start w:w="75" w:type="dxa"/>
              <w:bottom w:w="75" w:type="dxa"/>
              <w:end w:w="75" w:type="dxa"/>
            </w:tcMar>
            <w:vAlign w:val="top"/>
            <w:shd w:fill="F3F5F7"/>
          </w:tcPr>
          <w:p>
            <w:r>
              <w:rPr>
                <w:rFonts w:ascii="Carlito" w:hAnsi="Carlito" w:eastAsia="Carlito"/>
                <w:b/>
                <w:color w:val="24303F"/>
                <w:sz w:val="17"/>
              </w:rPr>
              <w:t>Secondary outcomes</w:t>
            </w:r>
          </w:p>
        </w:tc>
        <w:tc>
          <w:tcPr>
            <w:tcW w:type="dxa" w:w="6912"/>
            <w:tcMar>
              <w:top w:w="75" w:type="dxa"/>
              <w:start w:w="75" w:type="dxa"/>
              <w:bottom w:w="75" w:type="dxa"/>
              <w:end w:w="75" w:type="dxa"/>
            </w:tcMar>
            <w:vAlign w:val="top"/>
            <w:shd w:fill="F3F5F7"/>
          </w:tcPr>
          <w:p>
            <w:r>
              <w:rPr>
                <w:rFonts w:ascii="Carlito" w:hAnsi="Carlito" w:eastAsia="Carlito"/>
                <w:b w:val="0"/>
                <w:color w:val="24303F"/>
                <w:sz w:val="17"/>
              </w:rPr>
              <w:t>Individual genes and pathway enrichment</w:t>
            </w:r>
          </w:p>
        </w:tc>
      </w:tr>
    </w:tbl>
    <w:p>
      <w:pPr>
        <w:spacing w:after="0"/>
      </w:pPr>
    </w:p>
    <w:p>
      <w:pPr>
        <w:pStyle w:val="Heading2"/>
      </w:pPr>
      <w:r>
        <w:t>9.2 Convert human genes to mouse orthologs</w:t>
      </w:r>
    </w:p>
    <w:p>
      <w:r>
        <w:rPr>
          <w:rFonts w:ascii="Carlito" w:hAnsi="Carlito" w:eastAsia="Carlito"/>
        </w:rPr>
        <w:t>An ortholog is the corresponding version of a gene in another species. Human gene names are usually uppercase, such as APOE, while mouse gene names often use only the first letter uppercase, such as Apoe. Some genes have one clear match; others have multiple or no simple matches.</w:t>
      </w:r>
    </w:p>
    <w:p>
      <w:pPr>
        <w:pStyle w:val="ListNumber"/>
        <w:spacing w:after="60"/>
      </w:pPr>
      <w:r>
        <w:rPr>
          <w:rFonts w:ascii="Carlito" w:hAnsi="Carlito" w:eastAsia="Carlito"/>
        </w:rPr>
        <w:t>Start with the fixed human gene list.</w:t>
      </w:r>
    </w:p>
    <w:p>
      <w:pPr>
        <w:pStyle w:val="ListNumber"/>
        <w:spacing w:after="60"/>
      </w:pPr>
      <w:r>
        <w:rPr>
          <w:rFonts w:ascii="Carlito" w:hAnsi="Carlito" w:eastAsia="Carlito"/>
        </w:rPr>
        <w:t>Use a trusted ortholog database such as Ensembl BioMart.</w:t>
      </w:r>
    </w:p>
    <w:p>
      <w:pPr>
        <w:pStyle w:val="ListNumber"/>
        <w:spacing w:after="60"/>
      </w:pPr>
      <w:r>
        <w:rPr>
          <w:rFonts w:ascii="Carlito" w:hAnsi="Carlito" w:eastAsia="Carlito"/>
        </w:rPr>
        <w:t>Prefer one-to-one human-mouse matches for the primary analysis.</w:t>
      </w:r>
    </w:p>
    <w:p>
      <w:pPr>
        <w:pStyle w:val="ListNumber"/>
        <w:spacing w:after="60"/>
      </w:pPr>
      <w:r>
        <w:rPr>
          <w:rFonts w:ascii="Carlito" w:hAnsi="Carlito" w:eastAsia="Carlito"/>
        </w:rPr>
        <w:t>Save a table with the human gene, mouse gene, mapping type, and reason for any exclusion.</w:t>
      </w:r>
    </w:p>
    <w:p>
      <w:pPr>
        <w:pStyle w:val="ListNumber"/>
        <w:spacing w:after="60"/>
      </w:pPr>
      <w:r>
        <w:rPr>
          <w:rFonts w:ascii="Carlito" w:hAnsi="Carlito" w:eastAsia="Carlito"/>
        </w:rPr>
        <w:t>Use exactly the same mapping in every mouse dataset.</w:t>
      </w:r>
    </w:p>
    <w:p>
      <w:pPr>
        <w:pStyle w:val="Heading2"/>
      </w:pPr>
      <w:r>
        <w:t>9.3 Build a metadata audit table</w:t>
      </w:r>
    </w:p>
    <w:p>
      <w:r>
        <w:rPr>
          <w:rFonts w:ascii="Carlito" w:hAnsi="Carlito" w:eastAsia="Carlito"/>
        </w:rPr>
        <w:t>Metadata are facts describing each sample. You should not begin statistical testing until every row has been checked.</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1031"/>
        <w:gridCol w:w="1031"/>
        <w:gridCol w:w="1031"/>
        <w:gridCol w:w="1031"/>
        <w:gridCol w:w="1031"/>
        <w:gridCol w:w="1031"/>
        <w:gridCol w:w="1031"/>
        <w:gridCol w:w="1031"/>
        <w:gridCol w:w="1031"/>
        <w:gridCol w:w="1031"/>
      </w:tblGrid>
      <w:tr>
        <w:trPr>
          <w:tblHeader w:val="true"/>
          <w:cantSplit/>
        </w:trPr>
        <w:tc>
          <w:tcPr>
            <w:tcW w:type="dxa" w:w="1080"/>
            <w:shd w:fill="17324D"/>
            <w:tcMar>
              <w:top w:w="80" w:type="dxa"/>
              <w:start w:w="80" w:type="dxa"/>
              <w:bottom w:w="80" w:type="dxa"/>
              <w:end w:w="80" w:type="dxa"/>
            </w:tcMar>
            <w:vAlign w:val="center"/>
          </w:tcPr>
          <w:p>
            <w:r>
              <w:rPr>
                <w:rFonts w:ascii="Carlito" w:hAnsi="Carlito" w:eastAsia="Carlito"/>
                <w:b/>
                <w:color w:val="FFFFFF"/>
                <w:sz w:val="14"/>
              </w:rPr>
              <w:t>sample_id</w:t>
            </w:r>
          </w:p>
        </w:tc>
        <w:tc>
          <w:tcPr>
            <w:tcW w:type="dxa" w:w="1007"/>
            <w:shd w:fill="17324D"/>
            <w:tcMar>
              <w:top w:w="80" w:type="dxa"/>
              <w:start w:w="80" w:type="dxa"/>
              <w:bottom w:w="80" w:type="dxa"/>
              <w:end w:w="80" w:type="dxa"/>
            </w:tcMar>
            <w:vAlign w:val="center"/>
          </w:tcPr>
          <w:p>
            <w:r>
              <w:rPr>
                <w:rFonts w:ascii="Carlito" w:hAnsi="Carlito" w:eastAsia="Carlito"/>
                <w:b/>
                <w:color w:val="FFFFFF"/>
                <w:sz w:val="14"/>
              </w:rPr>
              <w:t>mouse_id</w:t>
            </w:r>
          </w:p>
        </w:tc>
        <w:tc>
          <w:tcPr>
            <w:tcW w:type="dxa" w:w="648"/>
            <w:shd w:fill="17324D"/>
            <w:tcMar>
              <w:top w:w="80" w:type="dxa"/>
              <w:start w:w="80" w:type="dxa"/>
              <w:bottom w:w="80" w:type="dxa"/>
              <w:end w:w="80" w:type="dxa"/>
            </w:tcMar>
            <w:vAlign w:val="center"/>
          </w:tcPr>
          <w:p>
            <w:r>
              <w:rPr>
                <w:rFonts w:ascii="Carlito" w:hAnsi="Carlito" w:eastAsia="Carlito"/>
                <w:b/>
                <w:color w:val="FFFFFF"/>
                <w:sz w:val="14"/>
              </w:rPr>
              <w:t>sex</w:t>
            </w:r>
          </w:p>
        </w:tc>
        <w:tc>
          <w:tcPr>
            <w:tcW w:type="dxa" w:w="792"/>
            <w:shd w:fill="17324D"/>
            <w:tcMar>
              <w:top w:w="80" w:type="dxa"/>
              <w:start w:w="80" w:type="dxa"/>
              <w:bottom w:w="80" w:type="dxa"/>
              <w:end w:w="80" w:type="dxa"/>
            </w:tcMar>
            <w:vAlign w:val="center"/>
          </w:tcPr>
          <w:p>
            <w:r>
              <w:rPr>
                <w:rFonts w:ascii="Carlito" w:hAnsi="Carlito" w:eastAsia="Carlito"/>
                <w:b/>
                <w:color w:val="FFFFFF"/>
                <w:sz w:val="14"/>
              </w:rPr>
              <w:t>APOE</w:t>
            </w:r>
          </w:p>
        </w:tc>
        <w:tc>
          <w:tcPr>
            <w:tcW w:type="dxa" w:w="1080"/>
            <w:shd w:fill="17324D"/>
            <w:tcMar>
              <w:top w:w="80" w:type="dxa"/>
              <w:start w:w="80" w:type="dxa"/>
              <w:bottom w:w="80" w:type="dxa"/>
              <w:end w:w="80" w:type="dxa"/>
            </w:tcMar>
            <w:vAlign w:val="center"/>
          </w:tcPr>
          <w:p>
            <w:r>
              <w:rPr>
                <w:rFonts w:ascii="Carlito" w:hAnsi="Carlito" w:eastAsia="Carlito"/>
                <w:b/>
                <w:color w:val="FFFFFF"/>
                <w:sz w:val="14"/>
              </w:rPr>
              <w:t>disease</w:t>
            </w:r>
          </w:p>
        </w:tc>
        <w:tc>
          <w:tcPr>
            <w:tcW w:type="dxa" w:w="1007"/>
            <w:shd w:fill="17324D"/>
            <w:tcMar>
              <w:top w:w="80" w:type="dxa"/>
              <w:start w:w="80" w:type="dxa"/>
              <w:bottom w:w="80" w:type="dxa"/>
              <w:end w:w="80" w:type="dxa"/>
            </w:tcMar>
            <w:vAlign w:val="center"/>
          </w:tcPr>
          <w:p>
            <w:r>
              <w:rPr>
                <w:rFonts w:ascii="Carlito" w:hAnsi="Carlito" w:eastAsia="Carlito"/>
                <w:b/>
                <w:color w:val="FFFFFF"/>
                <w:sz w:val="14"/>
              </w:rPr>
              <w:t>age</w:t>
            </w:r>
          </w:p>
        </w:tc>
        <w:tc>
          <w:tcPr>
            <w:tcW w:type="dxa" w:w="1080"/>
            <w:shd w:fill="17324D"/>
            <w:tcMar>
              <w:top w:w="80" w:type="dxa"/>
              <w:start w:w="80" w:type="dxa"/>
              <w:bottom w:w="80" w:type="dxa"/>
              <w:end w:w="80" w:type="dxa"/>
            </w:tcMar>
            <w:vAlign w:val="center"/>
          </w:tcPr>
          <w:p>
            <w:r>
              <w:rPr>
                <w:rFonts w:ascii="Carlito" w:hAnsi="Carlito" w:eastAsia="Carlito"/>
                <w:b/>
                <w:color w:val="FFFFFF"/>
                <w:sz w:val="14"/>
              </w:rPr>
              <w:t>region</w:t>
            </w:r>
          </w:p>
        </w:tc>
        <w:tc>
          <w:tcPr>
            <w:tcW w:type="dxa" w:w="1224"/>
            <w:shd w:fill="17324D"/>
            <w:tcMar>
              <w:top w:w="80" w:type="dxa"/>
              <w:start w:w="80" w:type="dxa"/>
              <w:bottom w:w="80" w:type="dxa"/>
              <w:end w:w="80" w:type="dxa"/>
            </w:tcMar>
            <w:vAlign w:val="center"/>
          </w:tcPr>
          <w:p>
            <w:r>
              <w:rPr>
                <w:rFonts w:ascii="Carlito" w:hAnsi="Carlito" w:eastAsia="Carlito"/>
                <w:b/>
                <w:color w:val="FFFFFF"/>
                <w:sz w:val="14"/>
              </w:rPr>
              <w:t>cell type</w:t>
            </w:r>
          </w:p>
        </w:tc>
        <w:tc>
          <w:tcPr>
            <w:tcW w:type="dxa" w:w="792"/>
            <w:shd w:fill="17324D"/>
            <w:tcMar>
              <w:top w:w="80" w:type="dxa"/>
              <w:start w:w="80" w:type="dxa"/>
              <w:bottom w:w="80" w:type="dxa"/>
              <w:end w:w="80" w:type="dxa"/>
            </w:tcMar>
            <w:vAlign w:val="center"/>
          </w:tcPr>
          <w:p>
            <w:r>
              <w:rPr>
                <w:rFonts w:ascii="Carlito" w:hAnsi="Carlito" w:eastAsia="Carlito"/>
                <w:b/>
                <w:color w:val="FFFFFF"/>
                <w:sz w:val="14"/>
              </w:rPr>
              <w:t>pooled?</w:t>
            </w:r>
          </w:p>
        </w:tc>
        <w:tc>
          <w:tcPr>
            <w:tcW w:type="dxa" w:w="792"/>
            <w:shd w:fill="17324D"/>
            <w:tcMar>
              <w:top w:w="80" w:type="dxa"/>
              <w:start w:w="80" w:type="dxa"/>
              <w:bottom w:w="80" w:type="dxa"/>
              <w:end w:w="80" w:type="dxa"/>
            </w:tcMar>
            <w:vAlign w:val="center"/>
          </w:tcPr>
          <w:p>
            <w:r>
              <w:rPr>
                <w:rFonts w:ascii="Carlito" w:hAnsi="Carlito" w:eastAsia="Carlito"/>
                <w:b/>
                <w:color w:val="FFFFFF"/>
                <w:sz w:val="14"/>
              </w:rPr>
              <w:t>batch</w:t>
            </w:r>
          </w:p>
        </w:tc>
      </w:tr>
      <w:tr>
        <w:trPr>
          <w:cantSplit/>
        </w:trPr>
        <w:tc>
          <w:tcPr>
            <w:tcW w:type="dxa" w:w="1080"/>
            <w:tcMar>
              <w:top w:w="75" w:type="dxa"/>
              <w:start w:w="75" w:type="dxa"/>
              <w:bottom w:w="75" w:type="dxa"/>
              <w:end w:w="75" w:type="dxa"/>
            </w:tcMar>
            <w:vAlign w:val="top"/>
          </w:tcPr>
          <w:p>
            <w:r>
              <w:rPr>
                <w:rFonts w:ascii="Carlito" w:hAnsi="Carlito" w:eastAsia="Carlito"/>
                <w:b w:val="0"/>
                <w:color w:val="24303F"/>
                <w:sz w:val="14"/>
              </w:rPr>
              <w:t>MiE-01</w:t>
            </w:r>
          </w:p>
        </w:tc>
        <w:tc>
          <w:tcPr>
            <w:tcW w:type="dxa" w:w="1007"/>
            <w:tcMar>
              <w:top w:w="75" w:type="dxa"/>
              <w:start w:w="75" w:type="dxa"/>
              <w:bottom w:w="75" w:type="dxa"/>
              <w:end w:w="75" w:type="dxa"/>
            </w:tcMar>
            <w:vAlign w:val="top"/>
          </w:tcPr>
          <w:p>
            <w:r>
              <w:rPr>
                <w:rFonts w:ascii="Carlito" w:hAnsi="Carlito" w:eastAsia="Carlito"/>
                <w:b w:val="0"/>
                <w:color w:val="24303F"/>
                <w:sz w:val="14"/>
              </w:rPr>
              <w:t>M01</w:t>
            </w:r>
          </w:p>
        </w:tc>
        <w:tc>
          <w:tcPr>
            <w:tcW w:type="dxa" w:w="648"/>
            <w:tcMar>
              <w:top w:w="75" w:type="dxa"/>
              <w:start w:w="75" w:type="dxa"/>
              <w:bottom w:w="75" w:type="dxa"/>
              <w:end w:w="75" w:type="dxa"/>
            </w:tcMar>
            <w:vAlign w:val="top"/>
          </w:tcPr>
          <w:p>
            <w:r>
              <w:rPr>
                <w:rFonts w:ascii="Carlito" w:hAnsi="Carlito" w:eastAsia="Carlito"/>
                <w:b w:val="0"/>
                <w:color w:val="24303F"/>
                <w:sz w:val="14"/>
              </w:rPr>
              <w:t>F</w:t>
            </w:r>
          </w:p>
        </w:tc>
        <w:tc>
          <w:tcPr>
            <w:tcW w:type="dxa" w:w="792"/>
            <w:tcMar>
              <w:top w:w="75" w:type="dxa"/>
              <w:start w:w="75" w:type="dxa"/>
              <w:bottom w:w="75" w:type="dxa"/>
              <w:end w:w="75" w:type="dxa"/>
            </w:tcMar>
            <w:vAlign w:val="top"/>
          </w:tcPr>
          <w:p>
            <w:r>
              <w:rPr>
                <w:rFonts w:ascii="Carlito" w:hAnsi="Carlito" w:eastAsia="Carlito"/>
                <w:b w:val="0"/>
                <w:color w:val="24303F"/>
                <w:sz w:val="14"/>
              </w:rPr>
              <w:t>E3</w:t>
            </w:r>
          </w:p>
        </w:tc>
        <w:tc>
          <w:tcPr>
            <w:tcW w:type="dxa" w:w="1080"/>
            <w:tcMar>
              <w:top w:w="75" w:type="dxa"/>
              <w:start w:w="75" w:type="dxa"/>
              <w:bottom w:w="75" w:type="dxa"/>
              <w:end w:w="75" w:type="dxa"/>
            </w:tcMar>
            <w:vAlign w:val="top"/>
          </w:tcPr>
          <w:p>
            <w:r>
              <w:rPr>
                <w:rFonts w:ascii="Carlito" w:hAnsi="Carlito" w:eastAsia="Carlito"/>
                <w:b w:val="0"/>
                <w:color w:val="24303F"/>
                <w:sz w:val="14"/>
              </w:rPr>
              <w:t>amyloid</w:t>
            </w:r>
          </w:p>
        </w:tc>
        <w:tc>
          <w:tcPr>
            <w:tcW w:type="dxa" w:w="1007"/>
            <w:tcMar>
              <w:top w:w="75" w:type="dxa"/>
              <w:start w:w="75" w:type="dxa"/>
              <w:bottom w:w="75" w:type="dxa"/>
              <w:end w:w="75" w:type="dxa"/>
            </w:tcMar>
            <w:vAlign w:val="top"/>
          </w:tcPr>
          <w:p>
            <w:r>
              <w:rPr>
                <w:rFonts w:ascii="Carlito" w:hAnsi="Carlito" w:eastAsia="Carlito"/>
                <w:b w:val="0"/>
                <w:color w:val="24303F"/>
                <w:sz w:val="14"/>
              </w:rPr>
              <w:t>study age</w:t>
            </w:r>
          </w:p>
        </w:tc>
        <w:tc>
          <w:tcPr>
            <w:tcW w:type="dxa" w:w="1080"/>
            <w:tcMar>
              <w:top w:w="75" w:type="dxa"/>
              <w:start w:w="75" w:type="dxa"/>
              <w:bottom w:w="75" w:type="dxa"/>
              <w:end w:w="75" w:type="dxa"/>
            </w:tcMar>
            <w:vAlign w:val="top"/>
          </w:tcPr>
          <w:p>
            <w:r>
              <w:rPr>
                <w:rFonts w:ascii="Carlito" w:hAnsi="Carlito" w:eastAsia="Carlito"/>
                <w:b w:val="0"/>
                <w:color w:val="24303F"/>
                <w:sz w:val="14"/>
              </w:rPr>
              <w:t>cortex</w:t>
            </w:r>
          </w:p>
        </w:tc>
        <w:tc>
          <w:tcPr>
            <w:tcW w:type="dxa" w:w="1224"/>
            <w:tcMar>
              <w:top w:w="75" w:type="dxa"/>
              <w:start w:w="75" w:type="dxa"/>
              <w:bottom w:w="75" w:type="dxa"/>
              <w:end w:w="75" w:type="dxa"/>
            </w:tcMar>
            <w:vAlign w:val="top"/>
          </w:tcPr>
          <w:p>
            <w:r>
              <w:rPr>
                <w:rFonts w:ascii="Carlito" w:hAnsi="Carlito" w:eastAsia="Carlito"/>
                <w:b w:val="0"/>
                <w:color w:val="24303F"/>
                <w:sz w:val="14"/>
              </w:rPr>
              <w:t>microglia</w:t>
            </w:r>
          </w:p>
        </w:tc>
        <w:tc>
          <w:tcPr>
            <w:tcW w:type="dxa" w:w="792"/>
            <w:tcMar>
              <w:top w:w="75" w:type="dxa"/>
              <w:start w:w="75" w:type="dxa"/>
              <w:bottom w:w="75" w:type="dxa"/>
              <w:end w:w="75" w:type="dxa"/>
            </w:tcMar>
            <w:vAlign w:val="top"/>
          </w:tcPr>
          <w:p>
            <w:r>
              <w:rPr>
                <w:rFonts w:ascii="Carlito" w:hAnsi="Carlito" w:eastAsia="Carlito"/>
                <w:b w:val="0"/>
                <w:color w:val="24303F"/>
                <w:sz w:val="14"/>
              </w:rPr>
              <w:t>No</w:t>
            </w:r>
          </w:p>
        </w:tc>
        <w:tc>
          <w:tcPr>
            <w:tcW w:type="dxa" w:w="792"/>
            <w:tcMar>
              <w:top w:w="75" w:type="dxa"/>
              <w:start w:w="75" w:type="dxa"/>
              <w:bottom w:w="75" w:type="dxa"/>
              <w:end w:w="75" w:type="dxa"/>
            </w:tcMar>
            <w:vAlign w:val="top"/>
          </w:tcPr>
          <w:p>
            <w:r>
              <w:rPr>
                <w:rFonts w:ascii="Carlito" w:hAnsi="Carlito" w:eastAsia="Carlito"/>
                <w:b w:val="0"/>
                <w:color w:val="24303F"/>
                <w:sz w:val="14"/>
              </w:rPr>
              <w:t>B1</w:t>
            </w:r>
          </w:p>
        </w:tc>
      </w:tr>
      <w:tr>
        <w:trPr>
          <w:cantSplit/>
        </w:trPr>
        <w:tc>
          <w:tcPr>
            <w:tcW w:type="dxa" w:w="1080"/>
            <w:tcMar>
              <w:top w:w="75" w:type="dxa"/>
              <w:start w:w="75" w:type="dxa"/>
              <w:bottom w:w="75" w:type="dxa"/>
              <w:end w:w="75" w:type="dxa"/>
            </w:tcMar>
            <w:vAlign w:val="top"/>
            <w:shd w:fill="F3F5F7"/>
          </w:tcPr>
          <w:p>
            <w:r>
              <w:rPr>
                <w:rFonts w:ascii="Carlito" w:hAnsi="Carlito" w:eastAsia="Carlito"/>
                <w:b w:val="0"/>
                <w:color w:val="24303F"/>
                <w:sz w:val="14"/>
              </w:rPr>
              <w:t>MiE-02</w:t>
            </w:r>
          </w:p>
        </w:tc>
        <w:tc>
          <w:tcPr>
            <w:tcW w:type="dxa" w:w="1007"/>
            <w:tcMar>
              <w:top w:w="75" w:type="dxa"/>
              <w:start w:w="75" w:type="dxa"/>
              <w:bottom w:w="75" w:type="dxa"/>
              <w:end w:w="75" w:type="dxa"/>
            </w:tcMar>
            <w:vAlign w:val="top"/>
            <w:shd w:fill="F3F5F7"/>
          </w:tcPr>
          <w:p>
            <w:r>
              <w:rPr>
                <w:rFonts w:ascii="Carlito" w:hAnsi="Carlito" w:eastAsia="Carlito"/>
                <w:b w:val="0"/>
                <w:color w:val="24303F"/>
                <w:sz w:val="14"/>
              </w:rPr>
              <w:t>M02</w:t>
            </w:r>
          </w:p>
        </w:tc>
        <w:tc>
          <w:tcPr>
            <w:tcW w:type="dxa" w:w="648"/>
            <w:tcMar>
              <w:top w:w="75" w:type="dxa"/>
              <w:start w:w="75" w:type="dxa"/>
              <w:bottom w:w="75" w:type="dxa"/>
              <w:end w:w="75" w:type="dxa"/>
            </w:tcMar>
            <w:vAlign w:val="top"/>
            <w:shd w:fill="F3F5F7"/>
          </w:tcPr>
          <w:p>
            <w:r>
              <w:rPr>
                <w:rFonts w:ascii="Carlito" w:hAnsi="Carlito" w:eastAsia="Carlito"/>
                <w:b w:val="0"/>
                <w:color w:val="24303F"/>
                <w:sz w:val="14"/>
              </w:rPr>
              <w:t>M</w:t>
            </w:r>
          </w:p>
        </w:tc>
        <w:tc>
          <w:tcPr>
            <w:tcW w:type="dxa" w:w="792"/>
            <w:tcMar>
              <w:top w:w="75" w:type="dxa"/>
              <w:start w:w="75" w:type="dxa"/>
              <w:bottom w:w="75" w:type="dxa"/>
              <w:end w:w="75" w:type="dxa"/>
            </w:tcMar>
            <w:vAlign w:val="top"/>
            <w:shd w:fill="F3F5F7"/>
          </w:tcPr>
          <w:p>
            <w:r>
              <w:rPr>
                <w:rFonts w:ascii="Carlito" w:hAnsi="Carlito" w:eastAsia="Carlito"/>
                <w:b w:val="0"/>
                <w:color w:val="24303F"/>
                <w:sz w:val="14"/>
              </w:rPr>
              <w:t>E4</w:t>
            </w:r>
          </w:p>
        </w:tc>
        <w:tc>
          <w:tcPr>
            <w:tcW w:type="dxa" w:w="1080"/>
            <w:tcMar>
              <w:top w:w="75" w:type="dxa"/>
              <w:start w:w="75" w:type="dxa"/>
              <w:bottom w:w="75" w:type="dxa"/>
              <w:end w:w="75" w:type="dxa"/>
            </w:tcMar>
            <w:vAlign w:val="top"/>
            <w:shd w:fill="F3F5F7"/>
          </w:tcPr>
          <w:p>
            <w:r>
              <w:rPr>
                <w:rFonts w:ascii="Carlito" w:hAnsi="Carlito" w:eastAsia="Carlito"/>
                <w:b w:val="0"/>
                <w:color w:val="24303F"/>
                <w:sz w:val="14"/>
              </w:rPr>
              <w:t>amyloid</w:t>
            </w:r>
          </w:p>
        </w:tc>
        <w:tc>
          <w:tcPr>
            <w:tcW w:type="dxa" w:w="1007"/>
            <w:tcMar>
              <w:top w:w="75" w:type="dxa"/>
              <w:start w:w="75" w:type="dxa"/>
              <w:bottom w:w="75" w:type="dxa"/>
              <w:end w:w="75" w:type="dxa"/>
            </w:tcMar>
            <w:vAlign w:val="top"/>
            <w:shd w:fill="F3F5F7"/>
          </w:tcPr>
          <w:p>
            <w:r>
              <w:rPr>
                <w:rFonts w:ascii="Carlito" w:hAnsi="Carlito" w:eastAsia="Carlito"/>
                <w:b w:val="0"/>
                <w:color w:val="24303F"/>
                <w:sz w:val="14"/>
              </w:rPr>
              <w:t>study age</w:t>
            </w:r>
          </w:p>
        </w:tc>
        <w:tc>
          <w:tcPr>
            <w:tcW w:type="dxa" w:w="1080"/>
            <w:tcMar>
              <w:top w:w="75" w:type="dxa"/>
              <w:start w:w="75" w:type="dxa"/>
              <w:bottom w:w="75" w:type="dxa"/>
              <w:end w:w="75" w:type="dxa"/>
            </w:tcMar>
            <w:vAlign w:val="top"/>
            <w:shd w:fill="F3F5F7"/>
          </w:tcPr>
          <w:p>
            <w:r>
              <w:rPr>
                <w:rFonts w:ascii="Carlito" w:hAnsi="Carlito" w:eastAsia="Carlito"/>
                <w:b w:val="0"/>
                <w:color w:val="24303F"/>
                <w:sz w:val="14"/>
              </w:rPr>
              <w:t>cortex</w:t>
            </w:r>
          </w:p>
        </w:tc>
        <w:tc>
          <w:tcPr>
            <w:tcW w:type="dxa" w:w="1224"/>
            <w:tcMar>
              <w:top w:w="75" w:type="dxa"/>
              <w:start w:w="75" w:type="dxa"/>
              <w:bottom w:w="75" w:type="dxa"/>
              <w:end w:w="75" w:type="dxa"/>
            </w:tcMar>
            <w:vAlign w:val="top"/>
            <w:shd w:fill="F3F5F7"/>
          </w:tcPr>
          <w:p>
            <w:r>
              <w:rPr>
                <w:rFonts w:ascii="Carlito" w:hAnsi="Carlito" w:eastAsia="Carlito"/>
                <w:b w:val="0"/>
                <w:color w:val="24303F"/>
                <w:sz w:val="14"/>
              </w:rPr>
              <w:t>microglia</w:t>
            </w:r>
          </w:p>
        </w:tc>
        <w:tc>
          <w:tcPr>
            <w:tcW w:type="dxa" w:w="792"/>
            <w:tcMar>
              <w:top w:w="75" w:type="dxa"/>
              <w:start w:w="75" w:type="dxa"/>
              <w:bottom w:w="75" w:type="dxa"/>
              <w:end w:w="75" w:type="dxa"/>
            </w:tcMar>
            <w:vAlign w:val="top"/>
            <w:shd w:fill="F3F5F7"/>
          </w:tcPr>
          <w:p>
            <w:r>
              <w:rPr>
                <w:rFonts w:ascii="Carlito" w:hAnsi="Carlito" w:eastAsia="Carlito"/>
                <w:b w:val="0"/>
                <w:color w:val="24303F"/>
                <w:sz w:val="14"/>
              </w:rPr>
              <w:t>No</w:t>
            </w:r>
          </w:p>
        </w:tc>
        <w:tc>
          <w:tcPr>
            <w:tcW w:type="dxa" w:w="792"/>
            <w:tcMar>
              <w:top w:w="75" w:type="dxa"/>
              <w:start w:w="75" w:type="dxa"/>
              <w:bottom w:w="75" w:type="dxa"/>
              <w:end w:w="75" w:type="dxa"/>
            </w:tcMar>
            <w:vAlign w:val="top"/>
            <w:shd w:fill="F3F5F7"/>
          </w:tcPr>
          <w:p>
            <w:r>
              <w:rPr>
                <w:rFonts w:ascii="Carlito" w:hAnsi="Carlito" w:eastAsia="Carlito"/>
                <w:b w:val="0"/>
                <w:color w:val="24303F"/>
                <w:sz w:val="14"/>
              </w:rPr>
              <w:t>B1</w:t>
            </w:r>
          </w:p>
        </w:tc>
      </w:tr>
    </w:tbl>
    <w:p>
      <w:pPr>
        <w:spacing w:after="0"/>
      </w:pPr>
    </w:p>
    <w:tbl>
      <w:tblPr>
        <w:tblW w:type="auto" w:w="0"/>
        <w:jc w:val="center"/>
        <w:tblLayout w:type="fixed"/>
        <w:tblLook w:firstColumn="1" w:firstRow="1" w:lastColumn="0" w:lastRow="0" w:noHBand="0" w:noVBand="1" w:val="04A0"/>
        <w:tblBorders>
          <w:top w:val="single" w:sz="10" w:space="0" w:color="1F7A8C"/>
          <w:left w:val="single" w:sz="10" w:space="0" w:color="1F7A8C"/>
          <w:bottom w:val="single" w:sz="10" w:space="0" w:color="1F7A8C"/>
          <w:right w:val="single" w:sz="10" w:space="0" w:color="1F7A8C"/>
          <w:insideH w:val="single" w:sz="10" w:space="0" w:color="1F7A8C"/>
          <w:insideV w:val="single" w:sz="10" w:space="0" w:color="1F7A8C"/>
        </w:tblBorders>
      </w:tblPr>
      <w:tblGrid>
        <w:gridCol w:w="10310"/>
      </w:tblGrid>
      <w:tr>
        <w:tc>
          <w:tcPr>
            <w:tcW w:type="dxa" w:w="10080"/>
            <w:shd w:fill="EAF6F7"/>
            <w:tcMar>
              <w:top w:w="120" w:type="dxa"/>
              <w:start w:w="150" w:type="dxa"/>
              <w:bottom w:w="120" w:type="dxa"/>
              <w:end w:w="150" w:type="dxa"/>
            </w:tcMar>
          </w:tcPr>
          <w:p>
            <w:pPr>
              <w:spacing w:after="40"/>
            </w:pPr>
            <w:r>
              <w:rPr>
                <w:rFonts w:ascii="Carlito" w:hAnsi="Carlito" w:eastAsia="Carlito"/>
                <w:b/>
                <w:color w:val="1F7A8C"/>
                <w:sz w:val="21"/>
              </w:rPr>
              <w:t>Go/no-go checkpoint</w:t>
            </w:r>
          </w:p>
          <w:p>
            <w:pPr>
              <w:spacing w:after="0"/>
            </w:pPr>
            <w:r>
              <w:rPr>
                <w:rFonts w:ascii="Carlito" w:hAnsi="Carlito" w:eastAsia="Carlito"/>
                <w:color w:val="24303F"/>
                <w:sz w:val="20"/>
              </w:rPr>
              <w:t>If you cannot identify mouse ID or cannot determine whether animals were pooled, stop and resolve the metadata before treating samples as independent replicates.</w:t>
            </w:r>
          </w:p>
        </w:tc>
      </w:tr>
    </w:tbl>
    <w:p>
      <w:pPr>
        <w:spacing w:after="0"/>
      </w:pPr>
    </w:p>
    <w:p>
      <w:pPr>
        <w:pStyle w:val="Heading1"/>
      </w:pPr>
      <w:r>
        <w:t>10. Core dataset tutorial 1: GSE241553</w:t>
      </w:r>
    </w:p>
    <w:p>
      <w:r>
        <w:rPr>
          <w:rFonts w:ascii="Carlito" w:hAnsi="Carlito" w:eastAsia="Carlito"/>
        </w:rPr>
        <w:t>Best role: primary cortical APOE-by-sex analysis under amyloid pathology.</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304"/>
            <w:shd w:fill="17324D"/>
            <w:tcMar>
              <w:top w:w="80" w:type="dxa"/>
              <w:start w:w="80" w:type="dxa"/>
              <w:bottom w:w="80" w:type="dxa"/>
              <w:end w:w="80" w:type="dxa"/>
            </w:tcMar>
            <w:vAlign w:val="center"/>
          </w:tcPr>
          <w:p>
            <w:r>
              <w:rPr>
                <w:rFonts w:ascii="Carlito" w:hAnsi="Carlito" w:eastAsia="Carlito"/>
                <w:b/>
                <w:color w:val="FFFFFF"/>
                <w:sz w:val="17"/>
              </w:rPr>
              <w:t>Feature</w:t>
            </w:r>
          </w:p>
        </w:tc>
        <w:tc>
          <w:tcPr>
            <w:tcW w:type="dxa" w:w="7488"/>
            <w:shd w:fill="17324D"/>
            <w:tcMar>
              <w:top w:w="80" w:type="dxa"/>
              <w:start w:w="80" w:type="dxa"/>
              <w:bottom w:w="80" w:type="dxa"/>
              <w:end w:w="80" w:type="dxa"/>
            </w:tcMar>
            <w:vAlign w:val="center"/>
          </w:tcPr>
          <w:p>
            <w:r>
              <w:rPr>
                <w:rFonts w:ascii="Carlito" w:hAnsi="Carlito" w:eastAsia="Carlito"/>
                <w:b/>
                <w:color w:val="FFFFFF"/>
                <w:sz w:val="17"/>
              </w:rPr>
              <w:t>What GSE241553 provides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Tissue</w:t>
            </w:r>
          </w:p>
        </w:tc>
        <w:tc>
          <w:tcPr>
            <w:tcW w:type="dxa" w:w="7488"/>
            <w:tcMar>
              <w:top w:w="75" w:type="dxa"/>
              <w:start w:w="75" w:type="dxa"/>
              <w:bottom w:w="75" w:type="dxa"/>
              <w:end w:w="75" w:type="dxa"/>
            </w:tcMar>
            <w:vAlign w:val="top"/>
          </w:tcPr>
          <w:p>
            <w:r>
              <w:rPr>
                <w:rFonts w:ascii="Carlito" w:hAnsi="Carlito" w:eastAsia="Carlito"/>
                <w:b w:val="0"/>
                <w:color w:val="24303F"/>
                <w:sz w:val="17"/>
              </w:rPr>
              <w:t>Mouse cortex</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Method</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Single-cell RNA-seq</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Mice</w:t>
            </w:r>
          </w:p>
        </w:tc>
        <w:tc>
          <w:tcPr>
            <w:tcW w:type="dxa" w:w="7488"/>
            <w:tcMar>
              <w:top w:w="75" w:type="dxa"/>
              <w:start w:w="75" w:type="dxa"/>
              <w:bottom w:w="75" w:type="dxa"/>
              <w:end w:w="75" w:type="dxa"/>
            </w:tcMar>
            <w:vAlign w:val="top"/>
          </w:tcPr>
          <w:p>
            <w:r>
              <w:rPr>
                <w:rFonts w:ascii="Carlito" w:hAnsi="Carlito" w:eastAsia="Carlito"/>
                <w:b w:val="0"/>
                <w:color w:val="24303F"/>
                <w:sz w:val="17"/>
              </w:rPr>
              <w:t>24 total; 6 per group; 3 female and 3 male per group</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APOE design</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Control versus induced APOE3 or APOE4 expression in microglia/CAMs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Disease context</w:t>
            </w:r>
          </w:p>
        </w:tc>
        <w:tc>
          <w:tcPr>
            <w:tcW w:type="dxa" w:w="7488"/>
            <w:tcMar>
              <w:top w:w="75" w:type="dxa"/>
              <w:start w:w="75" w:type="dxa"/>
              <w:bottom w:w="75" w:type="dxa"/>
              <w:end w:w="75" w:type="dxa"/>
            </w:tcMar>
            <w:vAlign w:val="top"/>
          </w:tcPr>
          <w:p>
            <w:r>
              <w:rPr>
                <w:rFonts w:ascii="Carlito" w:hAnsi="Carlito" w:eastAsia="Carlito"/>
                <w:b w:val="0"/>
                <w:color w:val="24303F"/>
                <w:sz w:val="17"/>
              </w:rPr>
              <w:t>All groups are in an amyloid-model setting</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Best cell types</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Microglia and CNS-associated macrophages; other cortical cells can be examined as downstream responders</w:t>
            </w:r>
          </w:p>
        </w:tc>
      </w:tr>
    </w:tbl>
    <w:p>
      <w:pPr>
        <w:spacing w:after="0"/>
      </w:pPr>
    </w:p>
    <w:p>
      <w:pPr>
        <w:pStyle w:val="Heading2"/>
      </w:pPr>
      <w:r>
        <w:t>10.1 Recommended first comparison</w:t>
      </w:r>
    </w:p>
    <w:p>
      <w:r>
        <w:rPr>
          <w:rFonts w:ascii="Carlito" w:hAnsi="Carlito" w:eastAsia="Carlito"/>
        </w:rPr>
        <w:t>Use only the induced APOE3 and induced APOE4 groups for the first confirmatory analysis. This makes the biological contrast easy to explain.</w:t>
      </w:r>
    </w:p>
    <w:p>
      <w:pPr>
        <w:pStyle w:val="CodeBlock"/>
        <w:shd w:fill="F3F5F7"/>
      </w:pPr>
      <w:r>
        <w:rPr>
          <w:rFonts w:ascii="DejaVu Sans Mono" w:hAnsi="DejaVu Sans Mono" w:eastAsia="DejaVu Sans Mono"/>
          <w:color w:val="24303F"/>
          <w:sz w:val="18"/>
        </w:rPr>
        <w:t>For each mouse and cell type:</w:t>
        <w:br/>
        <w:t xml:space="preserve">  sum cell counts -&gt; one pseudobulk profile</w:t>
        <w:br/>
        <w:br/>
        <w:t>Fit:</w:t>
        <w:br/>
        <w:t xml:space="preserve">  expression_or_module_score ~ APOE * sex</w:t>
      </w:r>
    </w:p>
    <w:p>
      <w:pPr>
        <w:pStyle w:val="Heading2"/>
      </w:pPr>
      <w:r>
        <w:t>10.2 Hypothetical example</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2880"/>
            <w:shd w:fill="17324D"/>
            <w:tcMar>
              <w:top w:w="80" w:type="dxa"/>
              <w:start w:w="80" w:type="dxa"/>
              <w:bottom w:w="80" w:type="dxa"/>
              <w:end w:w="80" w:type="dxa"/>
            </w:tcMar>
            <w:vAlign w:val="center"/>
          </w:tcPr>
          <w:p>
            <w:r>
              <w:rPr>
                <w:rFonts w:ascii="Carlito" w:hAnsi="Carlito" w:eastAsia="Carlito"/>
                <w:b/>
                <w:color w:val="FFFFFF"/>
                <w:sz w:val="17"/>
              </w:rPr>
              <w:t>Group</w:t>
            </w:r>
          </w:p>
        </w:tc>
        <w:tc>
          <w:tcPr>
            <w:tcW w:type="dxa" w:w="2304"/>
            <w:shd w:fill="17324D"/>
            <w:tcMar>
              <w:top w:w="80" w:type="dxa"/>
              <w:start w:w="80" w:type="dxa"/>
              <w:bottom w:w="80" w:type="dxa"/>
              <w:end w:w="80" w:type="dxa"/>
            </w:tcMar>
            <w:vAlign w:val="center"/>
          </w:tcPr>
          <w:p>
            <w:r>
              <w:rPr>
                <w:rFonts w:ascii="Carlito" w:hAnsi="Carlito" w:eastAsia="Carlito"/>
                <w:b/>
                <w:color w:val="FFFFFF"/>
                <w:sz w:val="17"/>
              </w:rPr>
              <w:t>Mean module score</w:t>
            </w:r>
          </w:p>
        </w:tc>
        <w:tc>
          <w:tcPr>
            <w:tcW w:type="dxa" w:w="4608"/>
            <w:shd w:fill="17324D"/>
            <w:tcMar>
              <w:top w:w="80" w:type="dxa"/>
              <w:start w:w="80" w:type="dxa"/>
              <w:bottom w:w="80" w:type="dxa"/>
              <w:end w:w="80" w:type="dxa"/>
            </w:tcMar>
            <w:vAlign w:val="center"/>
          </w:tcPr>
          <w:p>
            <w:r>
              <w:rPr>
                <w:rFonts w:ascii="Carlito" w:hAnsi="Carlito" w:eastAsia="Carlito"/>
                <w:b/>
                <w:color w:val="FFFFFF"/>
                <w:sz w:val="17"/>
              </w:rPr>
              <w:t>Interpretation</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7"/>
              </w:rPr>
              <w:t>Female APOE3</w:t>
            </w:r>
          </w:p>
        </w:tc>
        <w:tc>
          <w:tcPr>
            <w:tcW w:type="dxa" w:w="2304"/>
            <w:tcMar>
              <w:top w:w="75" w:type="dxa"/>
              <w:start w:w="75" w:type="dxa"/>
              <w:bottom w:w="75" w:type="dxa"/>
              <w:end w:w="75" w:type="dxa"/>
            </w:tcMar>
            <w:vAlign w:val="top"/>
          </w:tcPr>
          <w:p>
            <w:r>
              <w:rPr>
                <w:rFonts w:ascii="Carlito" w:hAnsi="Carlito" w:eastAsia="Carlito"/>
                <w:b w:val="0"/>
                <w:color w:val="24303F"/>
                <w:sz w:val="17"/>
              </w:rPr>
              <w:t>0.40</w:t>
            </w:r>
          </w:p>
        </w:tc>
        <w:tc>
          <w:tcPr>
            <w:tcW w:type="dxa" w:w="4608"/>
            <w:tcMar>
              <w:top w:w="75" w:type="dxa"/>
              <w:start w:w="75" w:type="dxa"/>
              <w:bottom w:w="75" w:type="dxa"/>
              <w:end w:w="75" w:type="dxa"/>
            </w:tcMar>
            <w:vAlign w:val="top"/>
          </w:tcPr>
          <w:p>
            <w:r>
              <w:rPr>
                <w:rFonts w:ascii="Carlito" w:hAnsi="Carlito" w:eastAsia="Carlito"/>
                <w:b w:val="0"/>
                <w:color w:val="24303F"/>
                <w:sz w:val="17"/>
              </w:rPr>
              <w:t>Reference female group</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7"/>
              </w:rPr>
              <w:t>Female APOE4</w:t>
            </w:r>
          </w:p>
        </w:tc>
        <w:tc>
          <w:tcPr>
            <w:tcW w:type="dxa" w:w="2304"/>
            <w:tcMar>
              <w:top w:w="75" w:type="dxa"/>
              <w:start w:w="75" w:type="dxa"/>
              <w:bottom w:w="75" w:type="dxa"/>
              <w:end w:w="75" w:type="dxa"/>
            </w:tcMar>
            <w:vAlign w:val="top"/>
            <w:shd w:fill="F3F5F7"/>
          </w:tcPr>
          <w:p>
            <w:r>
              <w:rPr>
                <w:rFonts w:ascii="Carlito" w:hAnsi="Carlito" w:eastAsia="Carlito"/>
                <w:b w:val="0"/>
                <w:color w:val="24303F"/>
                <w:sz w:val="17"/>
              </w:rPr>
              <w:t>-0.60</w:t>
            </w:r>
          </w:p>
        </w:tc>
        <w:tc>
          <w:tcPr>
            <w:tcW w:type="dxa" w:w="4608"/>
            <w:tcMar>
              <w:top w:w="75" w:type="dxa"/>
              <w:start w:w="75" w:type="dxa"/>
              <w:bottom w:w="75" w:type="dxa"/>
              <w:end w:w="75" w:type="dxa"/>
            </w:tcMar>
            <w:vAlign w:val="top"/>
            <w:shd w:fill="F3F5F7"/>
          </w:tcPr>
          <w:p>
            <w:r>
              <w:rPr>
                <w:rFonts w:ascii="Carlito" w:hAnsi="Carlito" w:eastAsia="Carlito"/>
                <w:b w:val="0"/>
                <w:color w:val="24303F"/>
                <w:sz w:val="17"/>
              </w:rPr>
              <w:t>Large APOE4-associated decrease</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7"/>
              </w:rPr>
              <w:t>Male APOE3</w:t>
            </w:r>
          </w:p>
        </w:tc>
        <w:tc>
          <w:tcPr>
            <w:tcW w:type="dxa" w:w="2304"/>
            <w:tcMar>
              <w:top w:w="75" w:type="dxa"/>
              <w:start w:w="75" w:type="dxa"/>
              <w:bottom w:w="75" w:type="dxa"/>
              <w:end w:w="75" w:type="dxa"/>
            </w:tcMar>
            <w:vAlign w:val="top"/>
          </w:tcPr>
          <w:p>
            <w:r>
              <w:rPr>
                <w:rFonts w:ascii="Carlito" w:hAnsi="Carlito" w:eastAsia="Carlito"/>
                <w:b w:val="0"/>
                <w:color w:val="24303F"/>
                <w:sz w:val="17"/>
              </w:rPr>
              <w:t>0.20</w:t>
            </w:r>
          </w:p>
        </w:tc>
        <w:tc>
          <w:tcPr>
            <w:tcW w:type="dxa" w:w="4608"/>
            <w:tcMar>
              <w:top w:w="75" w:type="dxa"/>
              <w:start w:w="75" w:type="dxa"/>
              <w:bottom w:w="75" w:type="dxa"/>
              <w:end w:w="75" w:type="dxa"/>
            </w:tcMar>
            <w:vAlign w:val="top"/>
          </w:tcPr>
          <w:p>
            <w:r>
              <w:rPr>
                <w:rFonts w:ascii="Carlito" w:hAnsi="Carlito" w:eastAsia="Carlito"/>
                <w:b w:val="0"/>
                <w:color w:val="24303F"/>
                <w:sz w:val="17"/>
              </w:rPr>
              <w:t>Reference male group</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7"/>
              </w:rPr>
              <w:t>Male APOE4</w:t>
            </w:r>
          </w:p>
        </w:tc>
        <w:tc>
          <w:tcPr>
            <w:tcW w:type="dxa" w:w="2304"/>
            <w:tcMar>
              <w:top w:w="75" w:type="dxa"/>
              <w:start w:w="75" w:type="dxa"/>
              <w:bottom w:w="75" w:type="dxa"/>
              <w:end w:w="75" w:type="dxa"/>
            </w:tcMar>
            <w:vAlign w:val="top"/>
            <w:shd w:fill="F3F5F7"/>
          </w:tcPr>
          <w:p>
            <w:r>
              <w:rPr>
                <w:rFonts w:ascii="Carlito" w:hAnsi="Carlito" w:eastAsia="Carlito"/>
                <w:b w:val="0"/>
                <w:color w:val="24303F"/>
                <w:sz w:val="17"/>
              </w:rPr>
              <w:t>0.00</w:t>
            </w:r>
          </w:p>
        </w:tc>
        <w:tc>
          <w:tcPr>
            <w:tcW w:type="dxa" w:w="4608"/>
            <w:tcMar>
              <w:top w:w="75" w:type="dxa"/>
              <w:start w:w="75" w:type="dxa"/>
              <w:bottom w:w="75" w:type="dxa"/>
              <w:end w:w="75" w:type="dxa"/>
            </w:tcMar>
            <w:vAlign w:val="top"/>
            <w:shd w:fill="F3F5F7"/>
          </w:tcPr>
          <w:p>
            <w:r>
              <w:rPr>
                <w:rFonts w:ascii="Carlito" w:hAnsi="Carlito" w:eastAsia="Carlito"/>
                <w:b w:val="0"/>
                <w:color w:val="24303F"/>
                <w:sz w:val="17"/>
              </w:rPr>
              <w:t>Small APOE4-associated decrease</w:t>
            </w:r>
          </w:p>
        </w:tc>
      </w:tr>
    </w:tbl>
    <w:p>
      <w:pPr>
        <w:spacing w:after="0"/>
      </w:pPr>
    </w:p>
    <w:p>
      <w:r>
        <w:rPr>
          <w:rFonts w:ascii="Carlito" w:hAnsi="Carlito" w:eastAsia="Carlito"/>
        </w:rPr>
        <w:t>In this imaginary example, the APOE4 change is -1.00 in females but -0.20 in males. That difference between differences is the interaction. Real conclusions must use actual mouse-level data and uncertainty estimates.</w:t>
      </w:r>
    </w:p>
    <w:p>
      <w:pPr>
        <w:pStyle w:val="Heading2"/>
      </w:pPr>
      <w:r>
        <w:t>10.3 What you may conclude</w:t>
      </w:r>
    </w:p>
    <w:tbl>
      <w:tblPr>
        <w:tblW w:type="auto" w:w="0"/>
        <w:jc w:val="center"/>
        <w:tblLayout w:type="fixed"/>
        <w:tblLook w:firstColumn="1" w:firstRow="1" w:lastColumn="0" w:lastRow="0" w:noHBand="0" w:noVBand="1" w:val="04A0"/>
        <w:tbl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blBorders>
      </w:tblPr>
      <w:tblGrid>
        <w:gridCol w:w="10310"/>
      </w:tblGrid>
      <w:tr>
        <w:tc>
          <w:tcPr>
            <w:tcW w:type="dxa" w:w="10080"/>
            <w:shd w:fill="EDF7EE"/>
            <w:tcMar>
              <w:top w:w="120" w:type="dxa"/>
              <w:start w:w="150" w:type="dxa"/>
              <w:bottom w:w="120" w:type="dxa"/>
              <w:end w:w="150" w:type="dxa"/>
            </w:tcMar>
          </w:tcPr>
          <w:p>
            <w:pPr>
              <w:spacing w:after="40"/>
            </w:pPr>
            <w:r>
              <w:rPr>
                <w:rFonts w:ascii="Carlito" w:hAnsi="Carlito" w:eastAsia="Carlito"/>
                <w:b/>
                <w:color w:val="2E7D32"/>
                <w:sz w:val="21"/>
              </w:rPr>
              <w:t>Safe wording</w:t>
            </w:r>
          </w:p>
          <w:p>
            <w:pPr>
              <w:spacing w:after="0"/>
            </w:pPr>
            <w:r>
              <w:rPr>
                <w:rFonts w:ascii="Carlito" w:hAnsi="Carlito" w:eastAsia="Carlito"/>
                <w:color w:val="24303F"/>
                <w:sz w:val="20"/>
              </w:rPr>
              <w:t>The human PFC module showed a concordant APOE-by-sex pattern in mouse cortical cells under amyloid pathology.</w:t>
            </w:r>
          </w:p>
        </w:tc>
      </w:tr>
    </w:tbl>
    <w:p>
      <w:pPr>
        <w:spacing w:after="0"/>
      </w:pPr>
    </w:p>
    <w:tbl>
      <w:tblPr>
        <w:tblW w:type="auto" w:w="0"/>
        <w:jc w:val="center"/>
        <w:tblLayout w:type="fixed"/>
        <w:tblLook w:firstColumn="1" w:firstRow="1" w:lastColumn="0" w:lastRow="0" w:noHBand="0" w:noVBand="1" w:val="04A0"/>
        <w:tblBorders>
          <w:top w:val="single" w:sz="10" w:space="0" w:color="A61B1B"/>
          <w:left w:val="single" w:sz="10" w:space="0" w:color="A61B1B"/>
          <w:bottom w:val="single" w:sz="10" w:space="0" w:color="A61B1B"/>
          <w:right w:val="single" w:sz="10" w:space="0" w:color="A61B1B"/>
          <w:insideH w:val="single" w:sz="10" w:space="0" w:color="A61B1B"/>
          <w:insideV w:val="single" w:sz="10" w:space="0" w:color="A61B1B"/>
        </w:tblBorders>
      </w:tblPr>
      <w:tblGrid>
        <w:gridCol w:w="10310"/>
      </w:tblGrid>
      <w:tr>
        <w:tc>
          <w:tcPr>
            <w:tcW w:type="dxa" w:w="10080"/>
            <w:shd w:fill="FFF4E5"/>
            <w:tcMar>
              <w:top w:w="120" w:type="dxa"/>
              <w:start w:w="150" w:type="dxa"/>
              <w:bottom w:w="120" w:type="dxa"/>
              <w:end w:w="150" w:type="dxa"/>
            </w:tcMar>
          </w:tcPr>
          <w:p>
            <w:pPr>
              <w:spacing w:after="40"/>
            </w:pPr>
            <w:r>
              <w:rPr>
                <w:rFonts w:ascii="Carlito" w:hAnsi="Carlito" w:eastAsia="Carlito"/>
                <w:b/>
                <w:color w:val="A61B1B"/>
                <w:sz w:val="21"/>
              </w:rPr>
              <w:t>Unsafe wording</w:t>
            </w:r>
          </w:p>
          <w:p>
            <w:pPr>
              <w:spacing w:after="0"/>
            </w:pPr>
            <w:r>
              <w:rPr>
                <w:rFonts w:ascii="Carlito" w:hAnsi="Carlito" w:eastAsia="Carlito"/>
                <w:color w:val="24303F"/>
                <w:sz w:val="20"/>
              </w:rPr>
              <w:t>The full APOE-by-sex-by-AD interaction was replicated in mouse PFC. This is unsupported because there is no non-AD group and the tissue is cortex, not explicitly PFC.</w:t>
            </w:r>
          </w:p>
        </w:tc>
      </w:tr>
    </w:tbl>
    <w:p>
      <w:pPr>
        <w:spacing w:after="0"/>
      </w:pPr>
    </w:p>
    <w:p>
      <w:pPr>
        <w:pStyle w:val="Heading1"/>
      </w:pPr>
      <w:r>
        <w:t>11. Core dataset tutorial 2: GSE185063</w:t>
      </w:r>
    </w:p>
    <w:p>
      <w:r>
        <w:rPr>
          <w:rFonts w:ascii="Carlito" w:hAnsi="Carlito" w:eastAsia="Carlito"/>
        </w:rPr>
        <w:t>Best role: determine which cortical cell types carry an APOE-related human PFC signal.</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304"/>
            <w:shd w:fill="17324D"/>
            <w:tcMar>
              <w:top w:w="80" w:type="dxa"/>
              <w:start w:w="80" w:type="dxa"/>
              <w:bottom w:w="80" w:type="dxa"/>
              <w:end w:w="80" w:type="dxa"/>
            </w:tcMar>
            <w:vAlign w:val="center"/>
          </w:tcPr>
          <w:p>
            <w:r>
              <w:rPr>
                <w:rFonts w:ascii="Carlito" w:hAnsi="Carlito" w:eastAsia="Carlito"/>
                <w:b/>
                <w:color w:val="FFFFFF"/>
                <w:sz w:val="17"/>
              </w:rPr>
              <w:t>Feature</w:t>
            </w:r>
          </w:p>
        </w:tc>
        <w:tc>
          <w:tcPr>
            <w:tcW w:type="dxa" w:w="7488"/>
            <w:shd w:fill="17324D"/>
            <w:tcMar>
              <w:top w:w="80" w:type="dxa"/>
              <w:start w:w="80" w:type="dxa"/>
              <w:bottom w:w="80" w:type="dxa"/>
              <w:end w:w="80" w:type="dxa"/>
            </w:tcMar>
            <w:vAlign w:val="center"/>
          </w:tcPr>
          <w:p>
            <w:r>
              <w:rPr>
                <w:rFonts w:ascii="Carlito" w:hAnsi="Carlito" w:eastAsia="Carlito"/>
                <w:b/>
                <w:color w:val="FFFFFF"/>
                <w:sz w:val="17"/>
              </w:rPr>
              <w:t>What GSE185063 provides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Tissue</w:t>
            </w:r>
          </w:p>
        </w:tc>
        <w:tc>
          <w:tcPr>
            <w:tcW w:type="dxa" w:w="7488"/>
            <w:tcMar>
              <w:top w:w="75" w:type="dxa"/>
              <w:start w:w="75" w:type="dxa"/>
              <w:bottom w:w="75" w:type="dxa"/>
              <w:end w:w="75" w:type="dxa"/>
            </w:tcMar>
            <w:vAlign w:val="top"/>
          </w:tcPr>
          <w:p>
            <w:r>
              <w:rPr>
                <w:rFonts w:ascii="Carlito" w:hAnsi="Carlito" w:eastAsia="Carlito"/>
                <w:b w:val="0"/>
                <w:color w:val="24303F"/>
                <w:sz w:val="17"/>
              </w:rPr>
              <w:t>Right cortical mantle after removal of hippocampus and visible white matter</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Method</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Single-nucleus RNA-seq</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Samples</w:t>
            </w:r>
          </w:p>
        </w:tc>
        <w:tc>
          <w:tcPr>
            <w:tcW w:type="dxa" w:w="7488"/>
            <w:tcMar>
              <w:top w:w="75" w:type="dxa"/>
              <w:start w:w="75" w:type="dxa"/>
              <w:bottom w:w="75" w:type="dxa"/>
              <w:end w:w="75" w:type="dxa"/>
            </w:tcMar>
            <w:vAlign w:val="top"/>
          </w:tcPr>
          <w:p>
            <w:r>
              <w:rPr>
                <w:rFonts w:ascii="Carlito" w:hAnsi="Carlito" w:eastAsia="Carlito"/>
                <w:b w:val="0"/>
                <w:color w:val="24303F"/>
                <w:sz w:val="17"/>
              </w:rPr>
              <w:t>16 cortical samples</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Groups</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APOE3 and APOE4; 2-3 months and 9-12 months; four mice per genotype-age group</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Cell types</w:t>
            </w:r>
          </w:p>
        </w:tc>
        <w:tc>
          <w:tcPr>
            <w:tcW w:type="dxa" w:w="7488"/>
            <w:tcMar>
              <w:top w:w="75" w:type="dxa"/>
              <w:start w:w="75" w:type="dxa"/>
              <w:bottom w:w="75" w:type="dxa"/>
              <w:end w:w="75" w:type="dxa"/>
            </w:tcMar>
            <w:vAlign w:val="top"/>
          </w:tcPr>
          <w:p>
            <w:r>
              <w:rPr>
                <w:rFonts w:ascii="Carlito" w:hAnsi="Carlito" w:eastAsia="Carlito"/>
                <w:b w:val="0"/>
                <w:color w:val="24303F"/>
                <w:sz w:val="17"/>
              </w:rPr>
              <w:t>Excitatory and inhibitory neurons, oligodendrocytes/OPCs, astrocytes, microglia, endothelial cells, pericytes and other vascular cells</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Main gap</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No AD-model background; individual sex assignments require careful verification</w:t>
            </w:r>
          </w:p>
        </w:tc>
      </w:tr>
    </w:tbl>
    <w:p>
      <w:pPr>
        <w:spacing w:after="0"/>
      </w:pPr>
    </w:p>
    <w:p>
      <w:pPr>
        <w:pStyle w:val="Heading2"/>
      </w:pPr>
      <w:r>
        <w:t>11.1 Recommended analysis</w:t>
      </w:r>
    </w:p>
    <w:p>
      <w:pPr>
        <w:pStyle w:val="CodeBlock"/>
        <w:shd w:fill="F3F5F7"/>
      </w:pPr>
      <w:r>
        <w:rPr>
          <w:rFonts w:ascii="DejaVu Sans Mono" w:hAnsi="DejaVu Sans Mono" w:eastAsia="DejaVu Sans Mono"/>
          <w:color w:val="24303F"/>
          <w:sz w:val="18"/>
        </w:rPr>
        <w:t>For each cell type:</w:t>
        <w:br/>
        <w:t xml:space="preserve">  expression_or_module_score ~ APOE * age</w:t>
      </w:r>
    </w:p>
    <w:p>
      <w:r>
        <w:rPr>
          <w:rFonts w:ascii="Carlito" w:hAnsi="Carlito" w:eastAsia="Carlito"/>
        </w:rPr>
        <w:t>Run the same frozen mouse-ortholog module in each major cell type. A heatmap can show whether the module is altered in microglia only, in several glial types, in neurons, or in vascular cells.</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880"/>
            <w:shd w:fill="17324D"/>
            <w:tcMar>
              <w:top w:w="80" w:type="dxa"/>
              <w:start w:w="80" w:type="dxa"/>
              <w:bottom w:w="80" w:type="dxa"/>
              <w:end w:w="80" w:type="dxa"/>
            </w:tcMar>
            <w:vAlign w:val="center"/>
          </w:tcPr>
          <w:p>
            <w:r>
              <w:rPr>
                <w:rFonts w:ascii="Carlito" w:hAnsi="Carlito" w:eastAsia="Carlito"/>
                <w:b/>
                <w:color w:val="FFFFFF"/>
                <w:sz w:val="17"/>
              </w:rPr>
              <w:t>Human PFC cell type</w:t>
            </w:r>
          </w:p>
        </w:tc>
        <w:tc>
          <w:tcPr>
            <w:tcW w:type="dxa" w:w="6912"/>
            <w:shd w:fill="17324D"/>
            <w:tcMar>
              <w:top w:w="80" w:type="dxa"/>
              <w:start w:w="80" w:type="dxa"/>
              <w:bottom w:w="80" w:type="dxa"/>
              <w:end w:w="80" w:type="dxa"/>
            </w:tcMar>
            <w:vAlign w:val="center"/>
          </w:tcPr>
          <w:p>
            <w:r>
              <w:rPr>
                <w:rFonts w:ascii="Carlito" w:hAnsi="Carlito" w:eastAsia="Carlito"/>
                <w:b/>
                <w:color w:val="FFFFFF"/>
                <w:sz w:val="17"/>
              </w:rPr>
              <w:t>Mouse comparison</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7"/>
              </w:rPr>
              <w:t>Excitatory neuron</w:t>
            </w:r>
          </w:p>
        </w:tc>
        <w:tc>
          <w:tcPr>
            <w:tcW w:type="dxa" w:w="6912"/>
            <w:tcMar>
              <w:top w:w="75" w:type="dxa"/>
              <w:start w:w="75" w:type="dxa"/>
              <w:bottom w:w="75" w:type="dxa"/>
              <w:end w:w="75" w:type="dxa"/>
            </w:tcMar>
            <w:vAlign w:val="top"/>
          </w:tcPr>
          <w:p>
            <w:r>
              <w:rPr>
                <w:rFonts w:ascii="Carlito" w:hAnsi="Carlito" w:eastAsia="Carlito"/>
                <w:b w:val="0"/>
                <w:color w:val="24303F"/>
                <w:sz w:val="17"/>
              </w:rPr>
              <w:t>Mouse cortical excitatory neurons, ideally matched at a broad subclass level</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7"/>
              </w:rPr>
              <w:t>Inhibitory neuron</w:t>
            </w:r>
          </w:p>
        </w:tc>
        <w:tc>
          <w:tcPr>
            <w:tcW w:type="dxa" w:w="6912"/>
            <w:tcMar>
              <w:top w:w="75" w:type="dxa"/>
              <w:start w:w="75" w:type="dxa"/>
              <w:bottom w:w="75" w:type="dxa"/>
              <w:end w:w="75" w:type="dxa"/>
            </w:tcMar>
            <w:vAlign w:val="top"/>
            <w:shd w:fill="F3F5F7"/>
          </w:tcPr>
          <w:p>
            <w:r>
              <w:rPr>
                <w:rFonts w:ascii="Carlito" w:hAnsi="Carlito" w:eastAsia="Carlito"/>
                <w:b w:val="0"/>
                <w:color w:val="24303F"/>
                <w:sz w:val="17"/>
              </w:rPr>
              <w:t>Mouse cortical inhibitory neurons</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7"/>
              </w:rPr>
              <w:t>Microglia</w:t>
            </w:r>
          </w:p>
        </w:tc>
        <w:tc>
          <w:tcPr>
            <w:tcW w:type="dxa" w:w="6912"/>
            <w:tcMar>
              <w:top w:w="75" w:type="dxa"/>
              <w:start w:w="75" w:type="dxa"/>
              <w:bottom w:w="75" w:type="dxa"/>
              <w:end w:w="75" w:type="dxa"/>
            </w:tcMar>
            <w:vAlign w:val="top"/>
          </w:tcPr>
          <w:p>
            <w:r>
              <w:rPr>
                <w:rFonts w:ascii="Carlito" w:hAnsi="Carlito" w:eastAsia="Carlito"/>
                <w:b w:val="0"/>
                <w:color w:val="24303F"/>
                <w:sz w:val="17"/>
              </w:rPr>
              <w:t>Mouse cortical microglia</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7"/>
              </w:rPr>
              <w:t>Astrocyte</w:t>
            </w:r>
          </w:p>
        </w:tc>
        <w:tc>
          <w:tcPr>
            <w:tcW w:type="dxa" w:w="6912"/>
            <w:tcMar>
              <w:top w:w="75" w:type="dxa"/>
              <w:start w:w="75" w:type="dxa"/>
              <w:bottom w:w="75" w:type="dxa"/>
              <w:end w:w="75" w:type="dxa"/>
            </w:tcMar>
            <w:vAlign w:val="top"/>
            <w:shd w:fill="F3F5F7"/>
          </w:tcPr>
          <w:p>
            <w:r>
              <w:rPr>
                <w:rFonts w:ascii="Carlito" w:hAnsi="Carlito" w:eastAsia="Carlito"/>
                <w:b w:val="0"/>
                <w:color w:val="24303F"/>
                <w:sz w:val="17"/>
              </w:rPr>
              <w:t>Mouse cortical astrocytes</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7"/>
              </w:rPr>
              <w:t>Oligodendrocyte / OPC</w:t>
            </w:r>
          </w:p>
        </w:tc>
        <w:tc>
          <w:tcPr>
            <w:tcW w:type="dxa" w:w="6912"/>
            <w:tcMar>
              <w:top w:w="75" w:type="dxa"/>
              <w:start w:w="75" w:type="dxa"/>
              <w:bottom w:w="75" w:type="dxa"/>
              <w:end w:w="75" w:type="dxa"/>
            </w:tcMar>
            <w:vAlign w:val="top"/>
          </w:tcPr>
          <w:p>
            <w:r>
              <w:rPr>
                <w:rFonts w:ascii="Carlito" w:hAnsi="Carlito" w:eastAsia="Carlito"/>
                <w:b w:val="0"/>
                <w:color w:val="24303F"/>
                <w:sz w:val="17"/>
              </w:rPr>
              <w:t>The corresponding mouse cortical population</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7"/>
              </w:rPr>
              <w:t>Endothelial / pericyte</w:t>
            </w:r>
          </w:p>
        </w:tc>
        <w:tc>
          <w:tcPr>
            <w:tcW w:type="dxa" w:w="6912"/>
            <w:tcMar>
              <w:top w:w="75" w:type="dxa"/>
              <w:start w:w="75" w:type="dxa"/>
              <w:bottom w:w="75" w:type="dxa"/>
              <w:end w:w="75" w:type="dxa"/>
            </w:tcMar>
            <w:vAlign w:val="top"/>
            <w:shd w:fill="F3F5F7"/>
          </w:tcPr>
          <w:p>
            <w:r>
              <w:rPr>
                <w:rFonts w:ascii="Carlito" w:hAnsi="Carlito" w:eastAsia="Carlito"/>
                <w:b w:val="0"/>
                <w:color w:val="24303F"/>
                <w:sz w:val="17"/>
              </w:rPr>
              <w:t>The corresponding cortical vascular population</w:t>
            </w:r>
          </w:p>
        </w:tc>
      </w:tr>
    </w:tbl>
    <w:p>
      <w:pPr>
        <w:spacing w:after="0"/>
      </w:pPr>
    </w:p>
    <w:p>
      <w:r>
        <w:rPr>
          <w:rFonts w:ascii="Carlito" w:hAnsi="Carlito" w:eastAsia="Carlito"/>
        </w:rPr>
        <w:t>Only add sex to the model after the sample-level sex key is confirmed. A study can state that both sexes were used while still lacking a public map that tells you which accession came from which sex.</w:t>
      </w:r>
    </w:p>
    <w:p>
      <w:pPr>
        <w:pStyle w:val="Heading1"/>
      </w:pPr>
      <w:r>
        <w:t>12. Core dataset tutorial 3: GSE163857</w:t>
      </w:r>
    </w:p>
    <w:p>
      <w:r>
        <w:rPr>
          <w:rFonts w:ascii="Carlito" w:hAnsi="Carlito" w:eastAsia="Carlito"/>
        </w:rPr>
        <w:t>Best role: direct testing of APOE-by-sex-by-disease interactions in microglia.</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304"/>
            <w:shd w:fill="17324D"/>
            <w:tcMar>
              <w:top w:w="80" w:type="dxa"/>
              <w:start w:w="80" w:type="dxa"/>
              <w:bottom w:w="80" w:type="dxa"/>
              <w:end w:w="80" w:type="dxa"/>
            </w:tcMar>
            <w:vAlign w:val="center"/>
          </w:tcPr>
          <w:p>
            <w:r>
              <w:rPr>
                <w:rFonts w:ascii="Carlito" w:hAnsi="Carlito" w:eastAsia="Carlito"/>
                <w:b/>
                <w:color w:val="FFFFFF"/>
                <w:sz w:val="17"/>
              </w:rPr>
              <w:t>Feature</w:t>
            </w:r>
          </w:p>
        </w:tc>
        <w:tc>
          <w:tcPr>
            <w:tcW w:type="dxa" w:w="7488"/>
            <w:shd w:fill="17324D"/>
            <w:tcMar>
              <w:top w:w="80" w:type="dxa"/>
              <w:start w:w="80" w:type="dxa"/>
              <w:bottom w:w="80" w:type="dxa"/>
              <w:end w:w="80" w:type="dxa"/>
            </w:tcMar>
            <w:vAlign w:val="center"/>
          </w:tcPr>
          <w:p>
            <w:r>
              <w:rPr>
                <w:rFonts w:ascii="Carlito" w:hAnsi="Carlito" w:eastAsia="Carlito"/>
                <w:b/>
                <w:color w:val="FFFFFF"/>
                <w:sz w:val="17"/>
              </w:rPr>
              <w:t>What GSE163857 provides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Tissue / cells</w:t>
            </w:r>
          </w:p>
        </w:tc>
        <w:tc>
          <w:tcPr>
            <w:tcW w:type="dxa" w:w="7488"/>
            <w:tcMar>
              <w:top w:w="75" w:type="dxa"/>
              <w:start w:w="75" w:type="dxa"/>
              <w:bottom w:w="75" w:type="dxa"/>
              <w:end w:w="75" w:type="dxa"/>
            </w:tcMar>
            <w:vAlign w:val="top"/>
          </w:tcPr>
          <w:p>
            <w:r>
              <w:rPr>
                <w:rFonts w:ascii="Carlito" w:hAnsi="Carlito" w:eastAsia="Carlito"/>
                <w:b w:val="0"/>
                <w:color w:val="24303F"/>
                <w:sz w:val="17"/>
              </w:rPr>
              <w:t>Sorted brain microglia</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Method</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Bulk RNA-seq</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APOE</w:t>
            </w:r>
          </w:p>
        </w:tc>
        <w:tc>
          <w:tcPr>
            <w:tcW w:type="dxa" w:w="7488"/>
            <w:tcMar>
              <w:top w:w="75" w:type="dxa"/>
              <w:start w:w="75" w:type="dxa"/>
              <w:bottom w:w="75" w:type="dxa"/>
              <w:end w:w="75" w:type="dxa"/>
            </w:tcMar>
            <w:vAlign w:val="top"/>
          </w:tcPr>
          <w:p>
            <w:r>
              <w:rPr>
                <w:rFonts w:ascii="Carlito" w:hAnsi="Carlito" w:eastAsia="Carlito"/>
                <w:b w:val="0"/>
                <w:color w:val="24303F"/>
                <w:sz w:val="17"/>
              </w:rPr>
              <w:t>Human APOE3 or APOE4 targeted replacement</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Sex</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Female and male</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Disease background</w:t>
            </w:r>
          </w:p>
        </w:tc>
        <w:tc>
          <w:tcPr>
            <w:tcW w:type="dxa" w:w="7488"/>
            <w:tcMar>
              <w:top w:w="75" w:type="dxa"/>
              <w:start w:w="75" w:type="dxa"/>
              <w:bottom w:w="75" w:type="dxa"/>
              <w:end w:w="75" w:type="dxa"/>
            </w:tcMar>
            <w:vAlign w:val="top"/>
          </w:tcPr>
          <w:p>
            <w:r>
              <w:rPr>
                <w:rFonts w:ascii="Carlito" w:hAnsi="Carlito" w:eastAsia="Carlito"/>
                <w:b w:val="0"/>
                <w:color w:val="24303F"/>
                <w:sz w:val="17"/>
              </w:rPr>
              <w:t>Control or 5xFAD</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Main gap</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Not cortex-specific; no broad cell-type information; control groups are small and imbalanced</w:t>
            </w:r>
          </w:p>
        </w:tc>
      </w:tr>
    </w:tbl>
    <w:p>
      <w:pPr>
        <w:spacing w:after="0"/>
      </w:pPr>
    </w:p>
    <w:p>
      <w:pPr>
        <w:pStyle w:val="CodeBlock"/>
        <w:shd w:fill="F3F5F7"/>
      </w:pPr>
      <w:r>
        <w:rPr>
          <w:rFonts w:ascii="DejaVu Sans Mono" w:hAnsi="DejaVu Sans Mono" w:eastAsia="DejaVu Sans Mono"/>
          <w:color w:val="24303F"/>
          <w:sz w:val="18"/>
        </w:rPr>
        <w:t>expression_or_module_score ~ sex * APOE * disease</w:t>
      </w:r>
    </w:p>
    <w:p>
      <w:r>
        <w:rPr>
          <w:rFonts w:ascii="Carlito" w:hAnsi="Carlito" w:eastAsia="Carlito"/>
        </w:rPr>
        <w:t>The three-way interaction asks whether the disease-related APOE4 effect differs by sex. Because several control cells contain only about one to three mice, a large estimated effect may still have a wide confidence interval.</w:t>
      </w:r>
    </w:p>
    <w:p>
      <w:pPr>
        <w:pStyle w:val="Heading2"/>
      </w:pPr>
      <w:r>
        <w:t>12.1 Use both the full model and simpler contrasts</w:t>
      </w:r>
    </w:p>
    <w:p>
      <w:pPr>
        <w:pStyle w:val="ListBullet"/>
        <w:spacing w:after="60"/>
      </w:pPr>
      <w:r>
        <w:rPr>
          <w:rFonts w:ascii="Carlito" w:hAnsi="Carlito" w:eastAsia="Carlito"/>
        </w:rPr>
        <w:t>Female 5xFAD: APOE4 versus APOE3.</w:t>
      </w:r>
    </w:p>
    <w:p>
      <w:pPr>
        <w:pStyle w:val="ListBullet"/>
        <w:spacing w:after="60"/>
      </w:pPr>
      <w:r>
        <w:rPr>
          <w:rFonts w:ascii="Carlito" w:hAnsi="Carlito" w:eastAsia="Carlito"/>
        </w:rPr>
        <w:t>Male 5xFAD: APOE4 versus APOE3.</w:t>
      </w:r>
    </w:p>
    <w:p>
      <w:pPr>
        <w:pStyle w:val="ListBullet"/>
        <w:spacing w:after="60"/>
      </w:pPr>
      <w:r>
        <w:rPr>
          <w:rFonts w:ascii="Carlito" w:hAnsi="Carlito" w:eastAsia="Carlito"/>
        </w:rPr>
        <w:t>Female APOE4: 5xFAD versus control.</w:t>
      </w:r>
    </w:p>
    <w:p>
      <w:pPr>
        <w:pStyle w:val="ListBullet"/>
        <w:spacing w:after="60"/>
      </w:pPr>
      <w:r>
        <w:rPr>
          <w:rFonts w:ascii="Carlito" w:hAnsi="Carlito" w:eastAsia="Carlito"/>
        </w:rPr>
        <w:t>Male APOE4: 5xFAD versus control.</w:t>
      </w:r>
    </w:p>
    <w:p>
      <w:pPr>
        <w:pStyle w:val="ListBullet"/>
        <w:spacing w:after="60"/>
      </w:pPr>
      <w:r>
        <w:rPr>
          <w:rFonts w:ascii="Carlito" w:hAnsi="Carlito" w:eastAsia="Carlito"/>
        </w:rPr>
        <w:t>Optionally repeat these contrasts for the full gene module and for a few pre-specified genes.</w:t>
      </w:r>
    </w:p>
    <w:tbl>
      <w:tblPr>
        <w:tblW w:type="auto" w:w="0"/>
        <w:jc w:val="center"/>
        <w:tblLayout w:type="fixed"/>
        <w:tblLook w:firstColumn="1" w:firstRow="1" w:lastColumn="0" w:lastRow="0" w:noHBand="0" w:noVBand="1" w:val="04A0"/>
        <w:tblBorders>
          <w:top w:val="single" w:sz="10" w:space="0" w:color="1F7A8C"/>
          <w:left w:val="single" w:sz="10" w:space="0" w:color="1F7A8C"/>
          <w:bottom w:val="single" w:sz="10" w:space="0" w:color="1F7A8C"/>
          <w:right w:val="single" w:sz="10" w:space="0" w:color="1F7A8C"/>
          <w:insideH w:val="single" w:sz="10" w:space="0" w:color="1F7A8C"/>
          <w:insideV w:val="single" w:sz="10" w:space="0" w:color="1F7A8C"/>
        </w:tblBorders>
      </w:tblPr>
      <w:tblGrid>
        <w:gridCol w:w="10310"/>
      </w:tblGrid>
      <w:tr>
        <w:tc>
          <w:tcPr>
            <w:tcW w:type="dxa" w:w="10080"/>
            <w:shd w:fill="EAF6F7"/>
            <w:tcMar>
              <w:top w:w="120" w:type="dxa"/>
              <w:start w:w="150" w:type="dxa"/>
              <w:bottom w:w="120" w:type="dxa"/>
              <w:end w:w="150" w:type="dxa"/>
            </w:tcMar>
          </w:tcPr>
          <w:p>
            <w:pPr>
              <w:spacing w:after="40"/>
            </w:pPr>
            <w:r>
              <w:rPr>
                <w:rFonts w:ascii="Carlito" w:hAnsi="Carlito" w:eastAsia="Carlito"/>
                <w:b/>
                <w:color w:val="1F7A8C"/>
                <w:sz w:val="21"/>
              </w:rPr>
              <w:t>Effect size</w:t>
            </w:r>
          </w:p>
          <w:p>
            <w:pPr>
              <w:spacing w:after="0"/>
            </w:pPr>
            <w:r>
              <w:rPr>
                <w:rFonts w:ascii="Carlito" w:hAnsi="Carlito" w:eastAsia="Carlito"/>
                <w:color w:val="24303F"/>
                <w:sz w:val="20"/>
              </w:rPr>
              <w:t>An effect size tells you how large a difference is. A confidence interval shows the plausible uncertainty around that estimate. These are especially important when sample sizes are small.</w:t>
            </w:r>
          </w:p>
        </w:tc>
      </w:tr>
    </w:tbl>
    <w:p>
      <w:pPr>
        <w:spacing w:after="0"/>
      </w:pPr>
    </w:p>
    <w:p>
      <w:pPr>
        <w:pStyle w:val="Heading1"/>
      </w:pPr>
      <w:r>
        <w:t>13. When to use the optional datasets</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1800"/>
            <w:shd w:fill="17324D"/>
            <w:tcMar>
              <w:top w:w="80" w:type="dxa"/>
              <w:start w:w="80" w:type="dxa"/>
              <w:bottom w:w="80" w:type="dxa"/>
              <w:end w:w="80" w:type="dxa"/>
            </w:tcMar>
            <w:vAlign w:val="center"/>
          </w:tcPr>
          <w:p>
            <w:r>
              <w:rPr>
                <w:rFonts w:ascii="Carlito" w:hAnsi="Carlito" w:eastAsia="Carlito"/>
                <w:b/>
                <w:color w:val="FFFFFF"/>
                <w:sz w:val="16"/>
              </w:rPr>
              <w:t>Dataset</w:t>
            </w:r>
          </w:p>
        </w:tc>
        <w:tc>
          <w:tcPr>
            <w:tcW w:type="dxa" w:w="4680"/>
            <w:shd w:fill="17324D"/>
            <w:tcMar>
              <w:top w:w="80" w:type="dxa"/>
              <w:start w:w="80" w:type="dxa"/>
              <w:bottom w:w="80" w:type="dxa"/>
              <w:end w:w="80" w:type="dxa"/>
            </w:tcMar>
            <w:vAlign w:val="center"/>
          </w:tcPr>
          <w:p>
            <w:r>
              <w:rPr>
                <w:rFonts w:ascii="Carlito" w:hAnsi="Carlito" w:eastAsia="Carlito"/>
                <w:b/>
                <w:color w:val="FFFFFF"/>
                <w:sz w:val="16"/>
              </w:rPr>
              <w:t>Use it when...</w:t>
            </w:r>
          </w:p>
        </w:tc>
        <w:tc>
          <w:tcPr>
            <w:tcW w:type="dxa" w:w="3384"/>
            <w:shd w:fill="17324D"/>
            <w:tcMar>
              <w:top w:w="80" w:type="dxa"/>
              <w:start w:w="80" w:type="dxa"/>
              <w:bottom w:w="80" w:type="dxa"/>
              <w:end w:w="80" w:type="dxa"/>
            </w:tcMar>
            <w:vAlign w:val="center"/>
          </w:tcPr>
          <w:p>
            <w:r>
              <w:rPr>
                <w:rFonts w:ascii="Carlito" w:hAnsi="Carlito" w:eastAsia="Carlito"/>
                <w:b/>
                <w:color w:val="FFFFFF"/>
                <w:sz w:val="16"/>
              </w:rPr>
              <w:t>Treat it as...</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6"/>
              </w:rPr>
              <w:t>GSE140399</w:t>
            </w:r>
          </w:p>
        </w:tc>
        <w:tc>
          <w:tcPr>
            <w:tcW w:type="dxa" w:w="4680"/>
            <w:tcMar>
              <w:top w:w="75" w:type="dxa"/>
              <w:start w:w="75" w:type="dxa"/>
              <w:bottom w:w="75" w:type="dxa"/>
              <w:end w:w="75" w:type="dxa"/>
            </w:tcMar>
            <w:vAlign w:val="top"/>
          </w:tcPr>
          <w:p>
            <w:r>
              <w:rPr>
                <w:rFonts w:ascii="Carlito" w:hAnsi="Carlito" w:eastAsia="Carlito"/>
                <w:b w:val="0"/>
                <w:color w:val="24303F"/>
                <w:sz w:val="16"/>
              </w:rPr>
              <w:t>You need cortical AD-versus-control direction or TREM2-related glial states</w:t>
            </w:r>
          </w:p>
        </w:tc>
        <w:tc>
          <w:tcPr>
            <w:tcW w:type="dxa" w:w="3384"/>
            <w:tcMar>
              <w:top w:w="75" w:type="dxa"/>
              <w:start w:w="75" w:type="dxa"/>
              <w:bottom w:w="75" w:type="dxa"/>
              <w:end w:w="75" w:type="dxa"/>
            </w:tcMar>
            <w:vAlign w:val="top"/>
          </w:tcPr>
          <w:p>
            <w:r>
              <w:rPr>
                <w:rFonts w:ascii="Carlito" w:hAnsi="Carlito" w:eastAsia="Carlito"/>
                <w:b w:val="0"/>
                <w:color w:val="24303F"/>
                <w:sz w:val="16"/>
              </w:rPr>
              <w:t>Descriptive support because three mice were pooled per genotype</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6"/>
              </w:rPr>
              <w:t>GSE140510</w:t>
            </w:r>
          </w:p>
        </w:tc>
        <w:tc>
          <w:tcPr>
            <w:tcW w:type="dxa" w:w="4680"/>
            <w:tcMar>
              <w:top w:w="75" w:type="dxa"/>
              <w:start w:w="75" w:type="dxa"/>
              <w:bottom w:w="75" w:type="dxa"/>
              <w:end w:w="75" w:type="dxa"/>
            </w:tcMar>
            <w:vAlign w:val="top"/>
            <w:shd w:fill="F3F5F7"/>
          </w:tcPr>
          <w:p>
            <w:r>
              <w:rPr>
                <w:rFonts w:ascii="Carlito" w:hAnsi="Carlito" w:eastAsia="Carlito"/>
                <w:b w:val="0"/>
                <w:color w:val="24303F"/>
                <w:sz w:val="16"/>
              </w:rPr>
              <w:t>You want independent 7-month mouse replicates for AD-versus-control direction</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Replicated disease support, but not cortex-specific</w:t>
            </w:r>
          </w:p>
        </w:tc>
      </w:tr>
      <w:tr>
        <w:trPr>
          <w:cantSplit/>
        </w:trPr>
        <w:tc>
          <w:tcPr>
            <w:tcW w:type="dxa" w:w="1800"/>
            <w:tcMar>
              <w:top w:w="75" w:type="dxa"/>
              <w:start w:w="75" w:type="dxa"/>
              <w:bottom w:w="75" w:type="dxa"/>
              <w:end w:w="75" w:type="dxa"/>
            </w:tcMar>
            <w:vAlign w:val="top"/>
          </w:tcPr>
          <w:p>
            <w:r>
              <w:rPr>
                <w:rFonts w:ascii="Carlito" w:hAnsi="Carlito" w:eastAsia="Carlito"/>
                <w:b/>
                <w:color w:val="24303F"/>
                <w:sz w:val="16"/>
              </w:rPr>
              <w:t>GSE143758</w:t>
            </w:r>
          </w:p>
        </w:tc>
        <w:tc>
          <w:tcPr>
            <w:tcW w:type="dxa" w:w="4680"/>
            <w:tcMar>
              <w:top w:w="75" w:type="dxa"/>
              <w:start w:w="75" w:type="dxa"/>
              <w:bottom w:w="75" w:type="dxa"/>
              <w:end w:w="75" w:type="dxa"/>
            </w:tcMar>
            <w:vAlign w:val="top"/>
          </w:tcPr>
          <w:p>
            <w:r>
              <w:rPr>
                <w:rFonts w:ascii="Carlito" w:hAnsi="Carlito" w:eastAsia="Carlito"/>
                <w:b w:val="0"/>
                <w:color w:val="24303F"/>
                <w:sz w:val="16"/>
              </w:rPr>
              <w:t>You study astrocytes, aging, disease-associated astrocytes, or cross-region consistency</w:t>
            </w:r>
          </w:p>
        </w:tc>
        <w:tc>
          <w:tcPr>
            <w:tcW w:type="dxa" w:w="3384"/>
            <w:tcMar>
              <w:top w:w="75" w:type="dxa"/>
              <w:start w:w="75" w:type="dxa"/>
              <w:bottom w:w="75" w:type="dxa"/>
              <w:end w:w="75" w:type="dxa"/>
            </w:tcMar>
            <w:vAlign w:val="top"/>
          </w:tcPr>
          <w:p>
            <w:r>
              <w:rPr>
                <w:rFonts w:ascii="Carlito" w:hAnsi="Carlito" w:eastAsia="Carlito"/>
                <w:b w:val="0"/>
                <w:color w:val="24303F"/>
                <w:sz w:val="16"/>
              </w:rPr>
              <w:t>Secondary hippocampal/cross-region support; tiny cortical astrocyte subset is descriptive</w:t>
            </w:r>
          </w:p>
        </w:tc>
      </w:tr>
      <w:tr>
        <w:trPr>
          <w:cantSplit/>
        </w:trPr>
        <w:tc>
          <w:tcPr>
            <w:tcW w:type="dxa" w:w="1800"/>
            <w:tcMar>
              <w:top w:w="75" w:type="dxa"/>
              <w:start w:w="75" w:type="dxa"/>
              <w:bottom w:w="75" w:type="dxa"/>
              <w:end w:w="75" w:type="dxa"/>
            </w:tcMar>
            <w:vAlign w:val="top"/>
            <w:shd w:fill="F3F5F7"/>
          </w:tcPr>
          <w:p>
            <w:r>
              <w:rPr>
                <w:rFonts w:ascii="Carlito" w:hAnsi="Carlito" w:eastAsia="Carlito"/>
                <w:b/>
                <w:color w:val="24303F"/>
                <w:sz w:val="16"/>
              </w:rPr>
              <w:t>GSE225503</w:t>
            </w:r>
          </w:p>
        </w:tc>
        <w:tc>
          <w:tcPr>
            <w:tcW w:type="dxa" w:w="4680"/>
            <w:tcMar>
              <w:top w:w="75" w:type="dxa"/>
              <w:start w:w="75" w:type="dxa"/>
              <w:bottom w:w="75" w:type="dxa"/>
              <w:end w:w="75" w:type="dxa"/>
            </w:tcMar>
            <w:vAlign w:val="top"/>
            <w:shd w:fill="F3F5F7"/>
          </w:tcPr>
          <w:p>
            <w:r>
              <w:rPr>
                <w:rFonts w:ascii="Carlito" w:hAnsi="Carlito" w:eastAsia="Carlito"/>
                <w:b w:val="0"/>
                <w:color w:val="24303F"/>
                <w:sz w:val="16"/>
              </w:rPr>
              <w:t>Your hypothesis includes APOE2, very old mice, microglial exhaustion, or immune aging</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Specialized 5xFAD immune-cell evidence; not an AD-versus-control study</w:t>
            </w:r>
          </w:p>
        </w:tc>
      </w:tr>
    </w:tbl>
    <w:p>
      <w:pPr>
        <w:spacing w:after="0"/>
      </w:pPr>
    </w:p>
    <w:p>
      <w:r>
        <w:rPr>
          <w:rFonts w:ascii="Carlito" w:hAnsi="Carlito" w:eastAsia="Carlito"/>
        </w:rPr>
        <w:t>A useful rule is to add an optional dataset only when it answers a clearly written question that the core three cannot answer. More datasets do not automatically make a project better; they can also add inconsistent models, ages, regions, and technical differences.</w:t>
      </w:r>
    </w:p>
    <w:p>
      <w:pPr>
        <w:pStyle w:val="Heading1"/>
      </w:pPr>
      <w:r>
        <w:t>14. Combining evidence without combining raw matrices</w:t>
      </w:r>
    </w:p>
    <w:p>
      <w:r>
        <w:rPr>
          <w:rFonts w:ascii="Carlito" w:hAnsi="Carlito" w:eastAsia="Carlito"/>
        </w:rPr>
        <w:t>Each GEO study was generated in a different laboratory, with different mouse ages, tissue preparation, sequencing method, and disease model. If you merge all raw counts and apply batch correction, study identity may become inseparable from biological factors. Instead, analyze each study independently.</w:t>
      </w:r>
    </w:p>
    <w:p>
      <w:pPr>
        <w:spacing w:after="60"/>
        <w:ind w:left="432" w:hanging="317"/>
      </w:pPr>
      <w:r>
        <w:rPr>
          <w:rFonts w:ascii="Carlito" w:hAnsi="Carlito" w:eastAsia="Carlito"/>
        </w:rPr>
        <w:t>1.</w:t>
      </w:r>
      <w:r>
        <w:rPr>
          <w:rFonts w:ascii="Carlito" w:hAnsi="Carlito" w:eastAsia="Carlito"/>
        </w:rPr>
        <w:t xml:space="preserve">  Calculate the same pre-specified module score or gene effect in each study.</w:t>
      </w:r>
    </w:p>
    <w:p>
      <w:pPr>
        <w:spacing w:after="60"/>
        <w:ind w:left="432" w:hanging="317"/>
      </w:pPr>
      <w:r>
        <w:rPr>
          <w:rFonts w:ascii="Carlito" w:hAnsi="Carlito" w:eastAsia="Carlito"/>
        </w:rPr>
        <w:t>2.</w:t>
      </w:r>
      <w:r>
        <w:rPr>
          <w:rFonts w:ascii="Carlito" w:hAnsi="Carlito" w:eastAsia="Carlito"/>
        </w:rPr>
        <w:t xml:space="preserve">  Keep the relevant cell type separate.</w:t>
      </w:r>
    </w:p>
    <w:p>
      <w:pPr>
        <w:spacing w:after="60"/>
        <w:ind w:left="432" w:hanging="317"/>
      </w:pPr>
      <w:r>
        <w:rPr>
          <w:rFonts w:ascii="Carlito" w:hAnsi="Carlito" w:eastAsia="Carlito"/>
        </w:rPr>
        <w:t>3.</w:t>
      </w:r>
      <w:r>
        <w:rPr>
          <w:rFonts w:ascii="Carlito" w:hAnsi="Carlito" w:eastAsia="Carlito"/>
        </w:rPr>
        <w:t xml:space="preserve">  Record the effect direction: up, down, opposite, or not testable.</w:t>
      </w:r>
    </w:p>
    <w:p>
      <w:pPr>
        <w:spacing w:after="60"/>
        <w:ind w:left="432" w:hanging="317"/>
      </w:pPr>
      <w:r>
        <w:rPr>
          <w:rFonts w:ascii="Carlito" w:hAnsi="Carlito" w:eastAsia="Carlito"/>
        </w:rPr>
        <w:t>4.</w:t>
      </w:r>
      <w:r>
        <w:rPr>
          <w:rFonts w:ascii="Carlito" w:hAnsi="Carlito" w:eastAsia="Carlito"/>
        </w:rPr>
        <w:t xml:space="preserve">  Record the effect size and uncertainty when replicate-aware statistics are possible.</w:t>
      </w:r>
    </w:p>
    <w:p>
      <w:pPr>
        <w:spacing w:after="60"/>
        <w:ind w:left="432" w:hanging="317"/>
      </w:pPr>
      <w:r>
        <w:rPr>
          <w:rFonts w:ascii="Carlito" w:hAnsi="Carlito" w:eastAsia="Carlito"/>
        </w:rPr>
        <w:t>5.</w:t>
      </w:r>
      <w:r>
        <w:rPr>
          <w:rFonts w:ascii="Carlito" w:hAnsi="Carlito" w:eastAsia="Carlito"/>
        </w:rPr>
        <w:t xml:space="preserve">  Summarize the evidence in a concordance table, heatmap, or forest plot.</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2062"/>
        <w:gridCol w:w="2062"/>
        <w:gridCol w:w="2062"/>
        <w:gridCol w:w="2062"/>
        <w:gridCol w:w="2062"/>
      </w:tblGrid>
      <w:tr>
        <w:trPr>
          <w:tblHeader w:val="true"/>
          <w:cantSplit/>
        </w:trPr>
        <w:tc>
          <w:tcPr>
            <w:tcW w:type="dxa" w:w="3168"/>
            <w:shd w:fill="17324D"/>
            <w:tcMar>
              <w:top w:w="80" w:type="dxa"/>
              <w:start w:w="80" w:type="dxa"/>
              <w:bottom w:w="80" w:type="dxa"/>
              <w:end w:w="80" w:type="dxa"/>
            </w:tcMar>
            <w:vAlign w:val="center"/>
          </w:tcPr>
          <w:p>
            <w:r>
              <w:rPr>
                <w:rFonts w:ascii="Carlito" w:hAnsi="Carlito" w:eastAsia="Carlito"/>
                <w:b/>
                <w:color w:val="FFFFFF"/>
                <w:sz w:val="15"/>
              </w:rPr>
              <w:t>Human prediction</w:t>
            </w:r>
          </w:p>
        </w:tc>
        <w:tc>
          <w:tcPr>
            <w:tcW w:type="dxa" w:w="1872"/>
            <w:shd w:fill="17324D"/>
            <w:tcMar>
              <w:top w:w="80" w:type="dxa"/>
              <w:start w:w="80" w:type="dxa"/>
              <w:bottom w:w="80" w:type="dxa"/>
              <w:end w:w="80" w:type="dxa"/>
            </w:tcMar>
            <w:vAlign w:val="center"/>
          </w:tcPr>
          <w:p>
            <w:r>
              <w:rPr>
                <w:rFonts w:ascii="Carlito" w:hAnsi="Carlito" w:eastAsia="Carlito"/>
                <w:b/>
                <w:color w:val="FFFFFF"/>
                <w:sz w:val="15"/>
              </w:rPr>
              <w:t>GSE241553</w:t>
            </w:r>
          </w:p>
        </w:tc>
        <w:tc>
          <w:tcPr>
            <w:tcW w:type="dxa" w:w="2232"/>
            <w:shd w:fill="17324D"/>
            <w:tcMar>
              <w:top w:w="80" w:type="dxa"/>
              <w:start w:w="80" w:type="dxa"/>
              <w:bottom w:w="80" w:type="dxa"/>
              <w:end w:w="80" w:type="dxa"/>
            </w:tcMar>
            <w:vAlign w:val="center"/>
          </w:tcPr>
          <w:p>
            <w:r>
              <w:rPr>
                <w:rFonts w:ascii="Carlito" w:hAnsi="Carlito" w:eastAsia="Carlito"/>
                <w:b/>
                <w:color w:val="FFFFFF"/>
                <w:sz w:val="15"/>
              </w:rPr>
              <w:t>GSE185063</w:t>
            </w:r>
          </w:p>
        </w:tc>
        <w:tc>
          <w:tcPr>
            <w:tcW w:type="dxa" w:w="2232"/>
            <w:shd w:fill="17324D"/>
            <w:tcMar>
              <w:top w:w="80" w:type="dxa"/>
              <w:start w:w="80" w:type="dxa"/>
              <w:bottom w:w="80" w:type="dxa"/>
              <w:end w:w="80" w:type="dxa"/>
            </w:tcMar>
            <w:vAlign w:val="center"/>
          </w:tcPr>
          <w:p>
            <w:r>
              <w:rPr>
                <w:rFonts w:ascii="Carlito" w:hAnsi="Carlito" w:eastAsia="Carlito"/>
                <w:b/>
                <w:color w:val="FFFFFF"/>
                <w:sz w:val="15"/>
              </w:rPr>
              <w:t>GSE163857</w:t>
            </w:r>
          </w:p>
        </w:tc>
        <w:tc>
          <w:tcPr>
            <w:tcW w:type="dxa" w:w="2015"/>
            <w:shd w:fill="17324D"/>
            <w:tcMar>
              <w:top w:w="80" w:type="dxa"/>
              <w:start w:w="80" w:type="dxa"/>
              <w:bottom w:w="80" w:type="dxa"/>
              <w:end w:w="80" w:type="dxa"/>
            </w:tcMar>
            <w:vAlign w:val="center"/>
          </w:tcPr>
          <w:p>
            <w:r>
              <w:rPr>
                <w:rFonts w:ascii="Carlito" w:hAnsi="Carlito" w:eastAsia="Carlito"/>
                <w:b/>
                <w:color w:val="FFFFFF"/>
                <w:sz w:val="15"/>
              </w:rPr>
              <w:t>Overall</w:t>
            </w:r>
          </w:p>
        </w:tc>
      </w:tr>
      <w:tr>
        <w:trPr>
          <w:cantSplit/>
        </w:trPr>
        <w:tc>
          <w:tcPr>
            <w:tcW w:type="dxa" w:w="3168"/>
            <w:tcMar>
              <w:top w:w="75" w:type="dxa"/>
              <w:start w:w="75" w:type="dxa"/>
              <w:bottom w:w="75" w:type="dxa"/>
              <w:end w:w="75" w:type="dxa"/>
            </w:tcMar>
            <w:vAlign w:val="top"/>
          </w:tcPr>
          <w:p>
            <w:r>
              <w:rPr>
                <w:rFonts w:ascii="Carlito" w:hAnsi="Carlito" w:eastAsia="Carlito"/>
                <w:b w:val="0"/>
                <w:color w:val="24303F"/>
                <w:sz w:val="15"/>
              </w:rPr>
              <w:t>Female APOE4 microglial mitochondrial module is lower</w:t>
            </w:r>
          </w:p>
        </w:tc>
        <w:tc>
          <w:tcPr>
            <w:tcW w:type="dxa" w:w="1872"/>
            <w:tcMar>
              <w:top w:w="75" w:type="dxa"/>
              <w:start w:w="75" w:type="dxa"/>
              <w:bottom w:w="75" w:type="dxa"/>
              <w:end w:w="75" w:type="dxa"/>
            </w:tcMar>
            <w:vAlign w:val="top"/>
          </w:tcPr>
          <w:p>
            <w:r>
              <w:rPr>
                <w:rFonts w:ascii="Carlito" w:hAnsi="Carlito" w:eastAsia="Carlito"/>
                <w:b w:val="0"/>
                <w:color w:val="24303F"/>
                <w:sz w:val="15"/>
              </w:rPr>
              <w:t>Same direction</w:t>
            </w:r>
          </w:p>
        </w:tc>
        <w:tc>
          <w:tcPr>
            <w:tcW w:type="dxa" w:w="2232"/>
            <w:tcMar>
              <w:top w:w="75" w:type="dxa"/>
              <w:start w:w="75" w:type="dxa"/>
              <w:bottom w:w="75" w:type="dxa"/>
              <w:end w:w="75" w:type="dxa"/>
            </w:tcMar>
            <w:vAlign w:val="top"/>
          </w:tcPr>
          <w:p>
            <w:r>
              <w:rPr>
                <w:rFonts w:ascii="Carlito" w:hAnsi="Carlito" w:eastAsia="Carlito"/>
                <w:b w:val="0"/>
                <w:color w:val="24303F"/>
                <w:sz w:val="15"/>
              </w:rPr>
              <w:t>Same direction in cortical microglia</w:t>
            </w:r>
          </w:p>
        </w:tc>
        <w:tc>
          <w:tcPr>
            <w:tcW w:type="dxa" w:w="2232"/>
            <w:tcMar>
              <w:top w:w="75" w:type="dxa"/>
              <w:start w:w="75" w:type="dxa"/>
              <w:bottom w:w="75" w:type="dxa"/>
              <w:end w:w="75" w:type="dxa"/>
            </w:tcMar>
            <w:vAlign w:val="top"/>
          </w:tcPr>
          <w:p>
            <w:r>
              <w:rPr>
                <w:rFonts w:ascii="Carlito" w:hAnsi="Carlito" w:eastAsia="Carlito"/>
                <w:b w:val="0"/>
                <w:color w:val="24303F"/>
                <w:sz w:val="15"/>
              </w:rPr>
              <w:t>Same direction in female 5xFAD microglia</w:t>
            </w:r>
          </w:p>
        </w:tc>
        <w:tc>
          <w:tcPr>
            <w:tcW w:type="dxa" w:w="2015"/>
            <w:tcMar>
              <w:top w:w="75" w:type="dxa"/>
              <w:start w:w="75" w:type="dxa"/>
              <w:bottom w:w="75" w:type="dxa"/>
              <w:end w:w="75" w:type="dxa"/>
            </w:tcMar>
            <w:vAlign w:val="top"/>
          </w:tcPr>
          <w:p>
            <w:r>
              <w:rPr>
                <w:rFonts w:ascii="Carlito" w:hAnsi="Carlito" w:eastAsia="Carlito"/>
                <w:b w:val="0"/>
                <w:color w:val="24303F"/>
                <w:sz w:val="15"/>
              </w:rPr>
              <w:t>Strong convergent support</w:t>
            </w:r>
          </w:p>
        </w:tc>
      </w:tr>
      <w:tr>
        <w:trPr>
          <w:cantSplit/>
        </w:trPr>
        <w:tc>
          <w:tcPr>
            <w:tcW w:type="dxa" w:w="3168"/>
            <w:tcMar>
              <w:top w:w="75" w:type="dxa"/>
              <w:start w:w="75" w:type="dxa"/>
              <w:bottom w:w="75" w:type="dxa"/>
              <w:end w:w="75" w:type="dxa"/>
            </w:tcMar>
            <w:vAlign w:val="top"/>
            <w:shd w:fill="F3F5F7"/>
          </w:tcPr>
          <w:p>
            <w:r>
              <w:rPr>
                <w:rFonts w:ascii="Carlito" w:hAnsi="Carlito" w:eastAsia="Carlito"/>
                <w:b w:val="0"/>
                <w:color w:val="24303F"/>
                <w:sz w:val="15"/>
              </w:rPr>
              <w:t>APOE4 astrocyte stress module is higher</w:t>
            </w:r>
          </w:p>
        </w:tc>
        <w:tc>
          <w:tcPr>
            <w:tcW w:type="dxa" w:w="1872"/>
            <w:tcMar>
              <w:top w:w="75" w:type="dxa"/>
              <w:start w:w="75" w:type="dxa"/>
              <w:bottom w:w="75" w:type="dxa"/>
              <w:end w:w="75" w:type="dxa"/>
            </w:tcMar>
            <w:vAlign w:val="top"/>
            <w:shd w:fill="F3F5F7"/>
          </w:tcPr>
          <w:p>
            <w:r>
              <w:rPr>
                <w:rFonts w:ascii="Carlito" w:hAnsi="Carlito" w:eastAsia="Carlito"/>
                <w:b w:val="0"/>
                <w:color w:val="24303F"/>
                <w:sz w:val="15"/>
              </w:rPr>
              <w:t>Not the primary test</w:t>
            </w:r>
          </w:p>
        </w:tc>
        <w:tc>
          <w:tcPr>
            <w:tcW w:type="dxa" w:w="2232"/>
            <w:tcMar>
              <w:top w:w="75" w:type="dxa"/>
              <w:start w:w="75" w:type="dxa"/>
              <w:bottom w:w="75" w:type="dxa"/>
              <w:end w:w="75" w:type="dxa"/>
            </w:tcMar>
            <w:vAlign w:val="top"/>
            <w:shd w:fill="F3F5F7"/>
          </w:tcPr>
          <w:p>
            <w:r>
              <w:rPr>
                <w:rFonts w:ascii="Carlito" w:hAnsi="Carlito" w:eastAsia="Carlito"/>
                <w:b w:val="0"/>
                <w:color w:val="24303F"/>
                <w:sz w:val="15"/>
              </w:rPr>
              <w:t>Same direction in cortical astrocytes</w:t>
            </w:r>
          </w:p>
        </w:tc>
        <w:tc>
          <w:tcPr>
            <w:tcW w:type="dxa" w:w="2232"/>
            <w:tcMar>
              <w:top w:w="75" w:type="dxa"/>
              <w:start w:w="75" w:type="dxa"/>
              <w:bottom w:w="75" w:type="dxa"/>
              <w:end w:w="75" w:type="dxa"/>
            </w:tcMar>
            <w:vAlign w:val="top"/>
            <w:shd w:fill="F3F5F7"/>
          </w:tcPr>
          <w:p>
            <w:r>
              <w:rPr>
                <w:rFonts w:ascii="Carlito" w:hAnsi="Carlito" w:eastAsia="Carlito"/>
                <w:b w:val="0"/>
                <w:color w:val="24303F"/>
                <w:sz w:val="15"/>
              </w:rPr>
              <w:t>Astrocytes not measured</w:t>
            </w:r>
          </w:p>
        </w:tc>
        <w:tc>
          <w:tcPr>
            <w:tcW w:type="dxa" w:w="2015"/>
            <w:tcMar>
              <w:top w:w="75" w:type="dxa"/>
              <w:start w:w="75" w:type="dxa"/>
              <w:bottom w:w="75" w:type="dxa"/>
              <w:end w:w="75" w:type="dxa"/>
            </w:tcMar>
            <w:vAlign w:val="top"/>
            <w:shd w:fill="F3F5F7"/>
          </w:tcPr>
          <w:p>
            <w:r>
              <w:rPr>
                <w:rFonts w:ascii="Carlito" w:hAnsi="Carlito" w:eastAsia="Carlito"/>
                <w:b w:val="0"/>
                <w:color w:val="24303F"/>
                <w:sz w:val="15"/>
              </w:rPr>
              <w:t>Moderate cortical support</w:t>
            </w:r>
          </w:p>
        </w:tc>
      </w:tr>
      <w:tr>
        <w:trPr>
          <w:cantSplit/>
        </w:trPr>
        <w:tc>
          <w:tcPr>
            <w:tcW w:type="dxa" w:w="3168"/>
            <w:tcMar>
              <w:top w:w="75" w:type="dxa"/>
              <w:start w:w="75" w:type="dxa"/>
              <w:bottom w:w="75" w:type="dxa"/>
              <w:end w:w="75" w:type="dxa"/>
            </w:tcMar>
            <w:vAlign w:val="top"/>
          </w:tcPr>
          <w:p>
            <w:r>
              <w:rPr>
                <w:rFonts w:ascii="Carlito" w:hAnsi="Carlito" w:eastAsia="Carlito"/>
                <w:b w:val="0"/>
                <w:color w:val="24303F"/>
                <w:sz w:val="15"/>
              </w:rPr>
              <w:t>AD lowers excitatory-neuron respiration</w:t>
            </w:r>
          </w:p>
        </w:tc>
        <w:tc>
          <w:tcPr>
            <w:tcW w:type="dxa" w:w="1872"/>
            <w:tcMar>
              <w:top w:w="75" w:type="dxa"/>
              <w:start w:w="75" w:type="dxa"/>
              <w:bottom w:w="75" w:type="dxa"/>
              <w:end w:w="75" w:type="dxa"/>
            </w:tcMar>
            <w:vAlign w:val="top"/>
          </w:tcPr>
          <w:p>
            <w:r>
              <w:rPr>
                <w:rFonts w:ascii="Carlito" w:hAnsi="Carlito" w:eastAsia="Carlito"/>
                <w:b w:val="0"/>
                <w:color w:val="24303F"/>
                <w:sz w:val="15"/>
              </w:rPr>
              <w:t>No AD control</w:t>
            </w:r>
          </w:p>
        </w:tc>
        <w:tc>
          <w:tcPr>
            <w:tcW w:type="dxa" w:w="2232"/>
            <w:tcMar>
              <w:top w:w="75" w:type="dxa"/>
              <w:start w:w="75" w:type="dxa"/>
              <w:bottom w:w="75" w:type="dxa"/>
              <w:end w:w="75" w:type="dxa"/>
            </w:tcMar>
            <w:vAlign w:val="top"/>
          </w:tcPr>
          <w:p>
            <w:r>
              <w:rPr>
                <w:rFonts w:ascii="Carlito" w:hAnsi="Carlito" w:eastAsia="Carlito"/>
                <w:b w:val="0"/>
                <w:color w:val="24303F"/>
                <w:sz w:val="15"/>
              </w:rPr>
              <w:t>No AD background</w:t>
            </w:r>
          </w:p>
        </w:tc>
        <w:tc>
          <w:tcPr>
            <w:tcW w:type="dxa" w:w="2232"/>
            <w:tcMar>
              <w:top w:w="75" w:type="dxa"/>
              <w:start w:w="75" w:type="dxa"/>
              <w:bottom w:w="75" w:type="dxa"/>
              <w:end w:w="75" w:type="dxa"/>
            </w:tcMar>
            <w:vAlign w:val="top"/>
          </w:tcPr>
          <w:p>
            <w:r>
              <w:rPr>
                <w:rFonts w:ascii="Carlito" w:hAnsi="Carlito" w:eastAsia="Carlito"/>
                <w:b w:val="0"/>
                <w:color w:val="24303F"/>
                <w:sz w:val="15"/>
              </w:rPr>
              <w:t>Microglia only</w:t>
            </w:r>
          </w:p>
        </w:tc>
        <w:tc>
          <w:tcPr>
            <w:tcW w:type="dxa" w:w="2015"/>
            <w:tcMar>
              <w:top w:w="75" w:type="dxa"/>
              <w:start w:w="75" w:type="dxa"/>
              <w:bottom w:w="75" w:type="dxa"/>
              <w:end w:w="75" w:type="dxa"/>
            </w:tcMar>
            <w:vAlign w:val="top"/>
          </w:tcPr>
          <w:p>
            <w:r>
              <w:rPr>
                <w:rFonts w:ascii="Carlito" w:hAnsi="Carlito" w:eastAsia="Carlito"/>
                <w:b w:val="0"/>
                <w:color w:val="24303F"/>
                <w:sz w:val="15"/>
              </w:rPr>
              <w:t>Not resolved by core package</w:t>
            </w:r>
          </w:p>
        </w:tc>
      </w:tr>
    </w:tbl>
    <w:p>
      <w:pPr>
        <w:spacing w:after="0"/>
      </w:pPr>
    </w:p>
    <w:p>
      <w:r>
        <w:rPr>
          <w:rFonts w:ascii="Carlito" w:hAnsi="Carlito" w:eastAsia="Carlito"/>
        </w:rPr>
        <w:t>The table above is an illustration of how to organize results. It is not a report of actual findings.</w:t>
      </w:r>
    </w:p>
    <w:p>
      <w:pPr>
        <w:jc w:val="center"/>
      </w:pPr>
      <w:r>
        <w:drawing>
          <wp:inline xmlns:a="http://schemas.openxmlformats.org/drawingml/2006/main" xmlns:pic="http://schemas.openxmlformats.org/drawingml/2006/picture">
            <wp:extent cx="6309360" cy="3661771"/>
            <wp:docPr id="6" name="Picture 6" descr="A five-step ladder from visual similarity to a fully replicated factorial interaction." title="Figure 6. A simple evidence hierarchy for interpreting cross-study agreement."/>
            <wp:cNvGraphicFramePr>
              <a:graphicFrameLocks noChangeAspect="1"/>
            </wp:cNvGraphicFramePr>
            <a:graphic>
              <a:graphicData uri="http://schemas.openxmlformats.org/drawingml/2006/picture">
                <pic:pic>
                  <pic:nvPicPr>
                    <pic:cNvPr id="0" name="evidence_ladder.png"/>
                    <pic:cNvPicPr/>
                  </pic:nvPicPr>
                  <pic:blipFill>
                    <a:blip r:embed="rId16"/>
                    <a:stretch>
                      <a:fillRect/>
                    </a:stretch>
                  </pic:blipFill>
                  <pic:spPr>
                    <a:xfrm>
                      <a:off x="0" y="0"/>
                      <a:ext cx="6309360" cy="3661771"/>
                    </a:xfrm>
                    <a:prstGeom prst="rect"/>
                  </pic:spPr>
                </pic:pic>
              </a:graphicData>
            </a:graphic>
          </wp:inline>
        </w:drawing>
      </w:r>
    </w:p>
    <w:p>
      <w:pPr>
        <w:spacing w:after="120"/>
        <w:jc w:val="center"/>
      </w:pPr>
      <w:r>
        <w:rPr>
          <w:rFonts w:ascii="Carlito" w:hAnsi="Carlito" w:eastAsia="Carlito"/>
          <w:i/>
          <w:color w:val="5B6573"/>
          <w:sz w:val="17"/>
        </w:rPr>
        <w:t>Figure 6. A simple evidence hierarchy for interpreting cross-study agreement.</w:t>
      </w:r>
    </w:p>
    <w:p>
      <w:pPr>
        <w:pStyle w:val="Heading1"/>
      </w:pPr>
      <w:r>
        <w:t>15. Recommended figures for the final project</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1944"/>
            <w:shd w:fill="17324D"/>
            <w:tcMar>
              <w:top w:w="80" w:type="dxa"/>
              <w:start w:w="80" w:type="dxa"/>
              <w:bottom w:w="80" w:type="dxa"/>
              <w:end w:w="80" w:type="dxa"/>
            </w:tcMar>
            <w:vAlign w:val="center"/>
          </w:tcPr>
          <w:p>
            <w:r>
              <w:rPr>
                <w:rFonts w:ascii="Carlito" w:hAnsi="Carlito" w:eastAsia="Carlito"/>
                <w:b/>
                <w:color w:val="FFFFFF"/>
                <w:sz w:val="17"/>
              </w:rPr>
              <w:t>Figure</w:t>
            </w:r>
          </w:p>
        </w:tc>
        <w:tc>
          <w:tcPr>
            <w:tcW w:type="dxa" w:w="4320"/>
            <w:shd w:fill="17324D"/>
            <w:tcMar>
              <w:top w:w="80" w:type="dxa"/>
              <w:start w:w="80" w:type="dxa"/>
              <w:bottom w:w="80" w:type="dxa"/>
              <w:end w:w="80" w:type="dxa"/>
            </w:tcMar>
            <w:vAlign w:val="center"/>
          </w:tcPr>
          <w:p>
            <w:r>
              <w:rPr>
                <w:rFonts w:ascii="Carlito" w:hAnsi="Carlito" w:eastAsia="Carlito"/>
                <w:b/>
                <w:color w:val="FFFFFF"/>
                <w:sz w:val="17"/>
              </w:rPr>
              <w:t>What it shows</w:t>
            </w:r>
          </w:p>
        </w:tc>
        <w:tc>
          <w:tcPr>
            <w:tcW w:type="dxa" w:w="3528"/>
            <w:shd w:fill="17324D"/>
            <w:tcMar>
              <w:top w:w="80" w:type="dxa"/>
              <w:start w:w="80" w:type="dxa"/>
              <w:bottom w:w="80" w:type="dxa"/>
              <w:end w:w="80" w:type="dxa"/>
            </w:tcMar>
            <w:vAlign w:val="center"/>
          </w:tcPr>
          <w:p>
            <w:r>
              <w:rPr>
                <w:rFonts w:ascii="Carlito" w:hAnsi="Carlito" w:eastAsia="Carlito"/>
                <w:b/>
                <w:color w:val="FFFFFF"/>
                <w:sz w:val="17"/>
              </w:rPr>
              <w:t>Beginner interpretation</w:t>
            </w:r>
          </w:p>
        </w:tc>
      </w:tr>
      <w:tr>
        <w:trPr>
          <w:cantSplit/>
        </w:trPr>
        <w:tc>
          <w:tcPr>
            <w:tcW w:type="dxa" w:w="1944"/>
            <w:tcMar>
              <w:top w:w="75" w:type="dxa"/>
              <w:start w:w="75" w:type="dxa"/>
              <w:bottom w:w="75" w:type="dxa"/>
              <w:end w:w="75" w:type="dxa"/>
            </w:tcMar>
            <w:vAlign w:val="top"/>
          </w:tcPr>
          <w:p>
            <w:r>
              <w:rPr>
                <w:rFonts w:ascii="Carlito" w:hAnsi="Carlito" w:eastAsia="Carlito"/>
                <w:b w:val="0"/>
                <w:color w:val="24303F"/>
                <w:sz w:val="17"/>
              </w:rPr>
              <w:t>Dataset coverage matrix</w:t>
            </w:r>
          </w:p>
        </w:tc>
        <w:tc>
          <w:tcPr>
            <w:tcW w:type="dxa" w:w="4320"/>
            <w:tcMar>
              <w:top w:w="75" w:type="dxa"/>
              <w:start w:w="75" w:type="dxa"/>
              <w:bottom w:w="75" w:type="dxa"/>
              <w:end w:w="75" w:type="dxa"/>
            </w:tcMar>
            <w:vAlign w:val="top"/>
          </w:tcPr>
          <w:p>
            <w:r>
              <w:rPr>
                <w:rFonts w:ascii="Carlito" w:hAnsi="Carlito" w:eastAsia="Carlito"/>
                <w:b w:val="0"/>
                <w:color w:val="24303F"/>
                <w:sz w:val="17"/>
              </w:rPr>
              <w:t>Which dataset contains cortex, APOE, sex, disease, cell types, and independent mice</w:t>
            </w:r>
          </w:p>
        </w:tc>
        <w:tc>
          <w:tcPr>
            <w:tcW w:type="dxa" w:w="3528"/>
            <w:tcMar>
              <w:top w:w="75" w:type="dxa"/>
              <w:start w:w="75" w:type="dxa"/>
              <w:bottom w:w="75" w:type="dxa"/>
              <w:end w:w="75" w:type="dxa"/>
            </w:tcMar>
            <w:vAlign w:val="top"/>
          </w:tcPr>
          <w:p>
            <w:r>
              <w:rPr>
                <w:rFonts w:ascii="Carlito" w:hAnsi="Carlito" w:eastAsia="Carlito"/>
                <w:b w:val="0"/>
                <w:color w:val="24303F"/>
                <w:sz w:val="17"/>
              </w:rPr>
              <w:t>Why multiple studies are needed</w:t>
            </w:r>
          </w:p>
        </w:tc>
      </w:tr>
      <w:tr>
        <w:trPr>
          <w:cantSplit/>
        </w:trPr>
        <w:tc>
          <w:tcPr>
            <w:tcW w:type="dxa" w:w="1944"/>
            <w:tcMar>
              <w:top w:w="75" w:type="dxa"/>
              <w:start w:w="75" w:type="dxa"/>
              <w:bottom w:w="75" w:type="dxa"/>
              <w:end w:w="75" w:type="dxa"/>
            </w:tcMar>
            <w:vAlign w:val="top"/>
            <w:shd w:fill="F3F5F7"/>
          </w:tcPr>
          <w:p>
            <w:r>
              <w:rPr>
                <w:rFonts w:ascii="Carlito" w:hAnsi="Carlito" w:eastAsia="Carlito"/>
                <w:b w:val="0"/>
                <w:color w:val="24303F"/>
                <w:sz w:val="17"/>
              </w:rPr>
              <w:t>Forest plot</w:t>
            </w:r>
          </w:p>
        </w:tc>
        <w:tc>
          <w:tcPr>
            <w:tcW w:type="dxa" w:w="4320"/>
            <w:tcMar>
              <w:top w:w="75" w:type="dxa"/>
              <w:start w:w="75" w:type="dxa"/>
              <w:bottom w:w="75" w:type="dxa"/>
              <w:end w:w="75" w:type="dxa"/>
            </w:tcMar>
            <w:vAlign w:val="top"/>
            <w:shd w:fill="F3F5F7"/>
          </w:tcPr>
          <w:p>
            <w:r>
              <w:rPr>
                <w:rFonts w:ascii="Carlito" w:hAnsi="Carlito" w:eastAsia="Carlito"/>
                <w:b w:val="0"/>
                <w:color w:val="24303F"/>
                <w:sz w:val="17"/>
              </w:rPr>
              <w:t>Effect size and confidence interval from each study or contrast</w:t>
            </w:r>
          </w:p>
        </w:tc>
        <w:tc>
          <w:tcPr>
            <w:tcW w:type="dxa" w:w="3528"/>
            <w:tcMar>
              <w:top w:w="75" w:type="dxa"/>
              <w:start w:w="75" w:type="dxa"/>
              <w:bottom w:w="75" w:type="dxa"/>
              <w:end w:w="75" w:type="dxa"/>
            </w:tcMar>
            <w:vAlign w:val="top"/>
            <w:shd w:fill="F3F5F7"/>
          </w:tcPr>
          <w:p>
            <w:r>
              <w:rPr>
                <w:rFonts w:ascii="Carlito" w:hAnsi="Carlito" w:eastAsia="Carlito"/>
                <w:b w:val="0"/>
                <w:color w:val="24303F"/>
                <w:sz w:val="17"/>
              </w:rPr>
              <w:t>Whether studies agree in direction and how uncertain they are</w:t>
            </w:r>
          </w:p>
        </w:tc>
      </w:tr>
      <w:tr>
        <w:trPr>
          <w:cantSplit/>
        </w:trPr>
        <w:tc>
          <w:tcPr>
            <w:tcW w:type="dxa" w:w="1944"/>
            <w:tcMar>
              <w:top w:w="75" w:type="dxa"/>
              <w:start w:w="75" w:type="dxa"/>
              <w:bottom w:w="75" w:type="dxa"/>
              <w:end w:w="75" w:type="dxa"/>
            </w:tcMar>
            <w:vAlign w:val="top"/>
          </w:tcPr>
          <w:p>
            <w:r>
              <w:rPr>
                <w:rFonts w:ascii="Carlito" w:hAnsi="Carlito" w:eastAsia="Carlito"/>
                <w:b w:val="0"/>
                <w:color w:val="24303F"/>
                <w:sz w:val="17"/>
              </w:rPr>
              <w:t>Cell-type heatmap</w:t>
            </w:r>
          </w:p>
        </w:tc>
        <w:tc>
          <w:tcPr>
            <w:tcW w:type="dxa" w:w="4320"/>
            <w:tcMar>
              <w:top w:w="75" w:type="dxa"/>
              <w:start w:w="75" w:type="dxa"/>
              <w:bottom w:w="75" w:type="dxa"/>
              <w:end w:w="75" w:type="dxa"/>
            </w:tcMar>
            <w:vAlign w:val="top"/>
          </w:tcPr>
          <w:p>
            <w:r>
              <w:rPr>
                <w:rFonts w:ascii="Carlito" w:hAnsi="Carlito" w:eastAsia="Carlito"/>
                <w:b w:val="0"/>
                <w:color w:val="24303F"/>
                <w:sz w:val="17"/>
              </w:rPr>
              <w:t>Module effect across cell types in GSE185063</w:t>
            </w:r>
          </w:p>
        </w:tc>
        <w:tc>
          <w:tcPr>
            <w:tcW w:type="dxa" w:w="3528"/>
            <w:tcMar>
              <w:top w:w="75" w:type="dxa"/>
              <w:start w:w="75" w:type="dxa"/>
              <w:bottom w:w="75" w:type="dxa"/>
              <w:end w:w="75" w:type="dxa"/>
            </w:tcMar>
            <w:vAlign w:val="top"/>
          </w:tcPr>
          <w:p>
            <w:r>
              <w:rPr>
                <w:rFonts w:ascii="Carlito" w:hAnsi="Carlito" w:eastAsia="Carlito"/>
                <w:b w:val="0"/>
                <w:color w:val="24303F"/>
                <w:sz w:val="17"/>
              </w:rPr>
              <w:t>Where in the cortex the signal is located</w:t>
            </w:r>
          </w:p>
        </w:tc>
      </w:tr>
      <w:tr>
        <w:trPr>
          <w:cantSplit/>
        </w:trPr>
        <w:tc>
          <w:tcPr>
            <w:tcW w:type="dxa" w:w="1944"/>
            <w:tcMar>
              <w:top w:w="75" w:type="dxa"/>
              <w:start w:w="75" w:type="dxa"/>
              <w:bottom w:w="75" w:type="dxa"/>
              <w:end w:w="75" w:type="dxa"/>
            </w:tcMar>
            <w:vAlign w:val="top"/>
            <w:shd w:fill="F3F5F7"/>
          </w:tcPr>
          <w:p>
            <w:r>
              <w:rPr>
                <w:rFonts w:ascii="Carlito" w:hAnsi="Carlito" w:eastAsia="Carlito"/>
                <w:b w:val="0"/>
                <w:color w:val="24303F"/>
                <w:sz w:val="17"/>
              </w:rPr>
              <w:t>Interaction plot</w:t>
            </w:r>
          </w:p>
        </w:tc>
        <w:tc>
          <w:tcPr>
            <w:tcW w:type="dxa" w:w="4320"/>
            <w:tcMar>
              <w:top w:w="75" w:type="dxa"/>
              <w:start w:w="75" w:type="dxa"/>
              <w:bottom w:w="75" w:type="dxa"/>
              <w:end w:w="75" w:type="dxa"/>
            </w:tcMar>
            <w:vAlign w:val="top"/>
            <w:shd w:fill="F3F5F7"/>
          </w:tcPr>
          <w:p>
            <w:r>
              <w:rPr>
                <w:rFonts w:ascii="Carlito" w:hAnsi="Carlito" w:eastAsia="Carlito"/>
                <w:b w:val="0"/>
                <w:color w:val="24303F"/>
                <w:sz w:val="17"/>
              </w:rPr>
              <w:t>APOE3 and APOE4 scores separated by sex</w:t>
            </w:r>
          </w:p>
        </w:tc>
        <w:tc>
          <w:tcPr>
            <w:tcW w:type="dxa" w:w="3528"/>
            <w:tcMar>
              <w:top w:w="75" w:type="dxa"/>
              <w:start w:w="75" w:type="dxa"/>
              <w:bottom w:w="75" w:type="dxa"/>
              <w:end w:w="75" w:type="dxa"/>
            </w:tcMar>
            <w:vAlign w:val="top"/>
            <w:shd w:fill="F3F5F7"/>
          </w:tcPr>
          <w:p>
            <w:r>
              <w:rPr>
                <w:rFonts w:ascii="Carlito" w:hAnsi="Carlito" w:eastAsia="Carlito"/>
                <w:b w:val="0"/>
                <w:color w:val="24303F"/>
                <w:sz w:val="17"/>
              </w:rPr>
              <w:t>Whether APOE behaves differently in females and males</w:t>
            </w:r>
          </w:p>
        </w:tc>
      </w:tr>
      <w:tr>
        <w:trPr>
          <w:cantSplit/>
        </w:trPr>
        <w:tc>
          <w:tcPr>
            <w:tcW w:type="dxa" w:w="1944"/>
            <w:tcMar>
              <w:top w:w="75" w:type="dxa"/>
              <w:start w:w="75" w:type="dxa"/>
              <w:bottom w:w="75" w:type="dxa"/>
              <w:end w:w="75" w:type="dxa"/>
            </w:tcMar>
            <w:vAlign w:val="top"/>
          </w:tcPr>
          <w:p>
            <w:r>
              <w:rPr>
                <w:rFonts w:ascii="Carlito" w:hAnsi="Carlito" w:eastAsia="Carlito"/>
                <w:b w:val="0"/>
                <w:color w:val="24303F"/>
                <w:sz w:val="17"/>
              </w:rPr>
              <w:t>Concordance table</w:t>
            </w:r>
          </w:p>
        </w:tc>
        <w:tc>
          <w:tcPr>
            <w:tcW w:type="dxa" w:w="4320"/>
            <w:tcMar>
              <w:top w:w="75" w:type="dxa"/>
              <w:start w:w="75" w:type="dxa"/>
              <w:bottom w:w="75" w:type="dxa"/>
              <w:end w:w="75" w:type="dxa"/>
            </w:tcMar>
            <w:vAlign w:val="top"/>
          </w:tcPr>
          <w:p>
            <w:r>
              <w:rPr>
                <w:rFonts w:ascii="Carlito" w:hAnsi="Carlito" w:eastAsia="Carlito"/>
                <w:b w:val="0"/>
                <w:color w:val="24303F"/>
                <w:sz w:val="17"/>
              </w:rPr>
              <w:t>Same/opposite/not-testable results across datasets</w:t>
            </w:r>
          </w:p>
        </w:tc>
        <w:tc>
          <w:tcPr>
            <w:tcW w:type="dxa" w:w="3528"/>
            <w:tcMar>
              <w:top w:w="75" w:type="dxa"/>
              <w:start w:w="75" w:type="dxa"/>
              <w:bottom w:w="75" w:type="dxa"/>
              <w:end w:w="75" w:type="dxa"/>
            </w:tcMar>
            <w:vAlign w:val="top"/>
          </w:tcPr>
          <w:p>
            <w:r>
              <w:rPr>
                <w:rFonts w:ascii="Carlito" w:hAnsi="Carlito" w:eastAsia="Carlito"/>
                <w:b w:val="0"/>
                <w:color w:val="24303F"/>
                <w:sz w:val="17"/>
              </w:rPr>
              <w:t>Overall strength and limitations of validation</w:t>
            </w:r>
          </w:p>
        </w:tc>
      </w:tr>
    </w:tbl>
    <w:p>
      <w:pPr>
        <w:spacing w:after="0"/>
      </w:pPr>
    </w:p>
    <w:p>
      <w:pPr>
        <w:pStyle w:val="Heading1"/>
      </w:pPr>
      <w:r>
        <w:t>16. Common mistakes and how to avoid them</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2880"/>
            <w:shd w:fill="17324D"/>
            <w:tcMar>
              <w:top w:w="80" w:type="dxa"/>
              <w:start w:w="80" w:type="dxa"/>
              <w:bottom w:w="80" w:type="dxa"/>
              <w:end w:w="80" w:type="dxa"/>
            </w:tcMar>
            <w:vAlign w:val="center"/>
          </w:tcPr>
          <w:p>
            <w:r>
              <w:rPr>
                <w:rFonts w:ascii="Carlito" w:hAnsi="Carlito" w:eastAsia="Carlito"/>
                <w:b/>
                <w:color w:val="FFFFFF"/>
                <w:sz w:val="16"/>
              </w:rPr>
              <w:t>Mistake</w:t>
            </w:r>
          </w:p>
        </w:tc>
        <w:tc>
          <w:tcPr>
            <w:tcW w:type="dxa" w:w="3384"/>
            <w:shd w:fill="17324D"/>
            <w:tcMar>
              <w:top w:w="80" w:type="dxa"/>
              <w:start w:w="80" w:type="dxa"/>
              <w:bottom w:w="80" w:type="dxa"/>
              <w:end w:w="80" w:type="dxa"/>
            </w:tcMar>
            <w:vAlign w:val="center"/>
          </w:tcPr>
          <w:p>
            <w:r>
              <w:rPr>
                <w:rFonts w:ascii="Carlito" w:hAnsi="Carlito" w:eastAsia="Carlito"/>
                <w:b/>
                <w:color w:val="FFFFFF"/>
                <w:sz w:val="16"/>
              </w:rPr>
              <w:t>Why it is a problem</w:t>
            </w:r>
          </w:p>
        </w:tc>
        <w:tc>
          <w:tcPr>
            <w:tcW w:type="dxa" w:w="3528"/>
            <w:shd w:fill="17324D"/>
            <w:tcMar>
              <w:top w:w="80" w:type="dxa"/>
              <w:start w:w="80" w:type="dxa"/>
              <w:bottom w:w="80" w:type="dxa"/>
              <w:end w:w="80" w:type="dxa"/>
            </w:tcMar>
            <w:vAlign w:val="center"/>
          </w:tcPr>
          <w:p>
            <w:r>
              <w:rPr>
                <w:rFonts w:ascii="Carlito" w:hAnsi="Carlito" w:eastAsia="Carlito"/>
                <w:b/>
                <w:color w:val="FFFFFF"/>
                <w:sz w:val="16"/>
              </w:rPr>
              <w:t>Better practice</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6"/>
              </w:rPr>
              <w:t>Counting cells as independent mice</w:t>
            </w:r>
          </w:p>
        </w:tc>
        <w:tc>
          <w:tcPr>
            <w:tcW w:type="dxa" w:w="3384"/>
            <w:tcMar>
              <w:top w:w="75" w:type="dxa"/>
              <w:start w:w="75" w:type="dxa"/>
              <w:bottom w:w="75" w:type="dxa"/>
              <w:end w:w="75" w:type="dxa"/>
            </w:tcMar>
            <w:vAlign w:val="top"/>
          </w:tcPr>
          <w:p>
            <w:r>
              <w:rPr>
                <w:rFonts w:ascii="Carlito" w:hAnsi="Carlito" w:eastAsia="Carlito"/>
                <w:b w:val="0"/>
                <w:color w:val="24303F"/>
                <w:sz w:val="16"/>
              </w:rPr>
              <w:t>Greatly exaggerates sample size</w:t>
            </w:r>
          </w:p>
        </w:tc>
        <w:tc>
          <w:tcPr>
            <w:tcW w:type="dxa" w:w="3528"/>
            <w:tcMar>
              <w:top w:w="75" w:type="dxa"/>
              <w:start w:w="75" w:type="dxa"/>
              <w:bottom w:w="75" w:type="dxa"/>
              <w:end w:w="75" w:type="dxa"/>
            </w:tcMar>
            <w:vAlign w:val="top"/>
          </w:tcPr>
          <w:p>
            <w:r>
              <w:rPr>
                <w:rFonts w:ascii="Carlito" w:hAnsi="Carlito" w:eastAsia="Carlito"/>
                <w:b w:val="0"/>
                <w:color w:val="24303F"/>
                <w:sz w:val="16"/>
              </w:rPr>
              <w:t>Use mouse-level pseudobulk or an appropriate mixed model</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6"/>
              </w:rPr>
              <w:t>Calling hippocampus a PFC replication</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The regions are biologically different</w:t>
            </w:r>
          </w:p>
        </w:tc>
        <w:tc>
          <w:tcPr>
            <w:tcW w:type="dxa" w:w="3528"/>
            <w:tcMar>
              <w:top w:w="75" w:type="dxa"/>
              <w:start w:w="75" w:type="dxa"/>
              <w:bottom w:w="75" w:type="dxa"/>
              <w:end w:w="75" w:type="dxa"/>
            </w:tcMar>
            <w:vAlign w:val="top"/>
            <w:shd w:fill="F3F5F7"/>
          </w:tcPr>
          <w:p>
            <w:r>
              <w:rPr>
                <w:rFonts w:ascii="Carlito" w:hAnsi="Carlito" w:eastAsia="Carlito"/>
                <w:b w:val="0"/>
                <w:color w:val="24303F"/>
                <w:sz w:val="16"/>
              </w:rPr>
              <w:t>Call it cross-region pathway support</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6"/>
              </w:rPr>
              <w:t>Merging all GEO matrices</w:t>
            </w:r>
          </w:p>
        </w:tc>
        <w:tc>
          <w:tcPr>
            <w:tcW w:type="dxa" w:w="3384"/>
            <w:tcMar>
              <w:top w:w="75" w:type="dxa"/>
              <w:start w:w="75" w:type="dxa"/>
              <w:bottom w:w="75" w:type="dxa"/>
              <w:end w:w="75" w:type="dxa"/>
            </w:tcMar>
            <w:vAlign w:val="top"/>
          </w:tcPr>
          <w:p>
            <w:r>
              <w:rPr>
                <w:rFonts w:ascii="Carlito" w:hAnsi="Carlito" w:eastAsia="Carlito"/>
                <w:b w:val="0"/>
                <w:color w:val="24303F"/>
                <w:sz w:val="16"/>
              </w:rPr>
              <w:t>Study and biology can be confounded</w:t>
            </w:r>
          </w:p>
        </w:tc>
        <w:tc>
          <w:tcPr>
            <w:tcW w:type="dxa" w:w="3528"/>
            <w:tcMar>
              <w:top w:w="75" w:type="dxa"/>
              <w:start w:w="75" w:type="dxa"/>
              <w:bottom w:w="75" w:type="dxa"/>
              <w:end w:w="75" w:type="dxa"/>
            </w:tcMar>
            <w:vAlign w:val="top"/>
          </w:tcPr>
          <w:p>
            <w:r>
              <w:rPr>
                <w:rFonts w:ascii="Carlito" w:hAnsi="Carlito" w:eastAsia="Carlito"/>
                <w:b w:val="0"/>
                <w:color w:val="24303F"/>
                <w:sz w:val="16"/>
              </w:rPr>
              <w:t>Analyze separately and compare effects</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6"/>
              </w:rPr>
              <w:t>Guessing missing sex labels</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Can reverse or invent an interaction</w:t>
            </w:r>
          </w:p>
        </w:tc>
        <w:tc>
          <w:tcPr>
            <w:tcW w:type="dxa" w:w="3528"/>
            <w:tcMar>
              <w:top w:w="75" w:type="dxa"/>
              <w:start w:w="75" w:type="dxa"/>
              <w:bottom w:w="75" w:type="dxa"/>
              <w:end w:w="75" w:type="dxa"/>
            </w:tcMar>
            <w:vAlign w:val="top"/>
            <w:shd w:fill="F3F5F7"/>
          </w:tcPr>
          <w:p>
            <w:r>
              <w:rPr>
                <w:rFonts w:ascii="Carlito" w:hAnsi="Carlito" w:eastAsia="Carlito"/>
                <w:b w:val="0"/>
                <w:color w:val="24303F"/>
                <w:sz w:val="16"/>
              </w:rPr>
              <w:t>Request or verify the sample key</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6"/>
              </w:rPr>
              <w:t>Changing the gene list after seeing results</w:t>
            </w:r>
          </w:p>
        </w:tc>
        <w:tc>
          <w:tcPr>
            <w:tcW w:type="dxa" w:w="3384"/>
            <w:tcMar>
              <w:top w:w="75" w:type="dxa"/>
              <w:start w:w="75" w:type="dxa"/>
              <w:bottom w:w="75" w:type="dxa"/>
              <w:end w:w="75" w:type="dxa"/>
            </w:tcMar>
            <w:vAlign w:val="top"/>
          </w:tcPr>
          <w:p>
            <w:r>
              <w:rPr>
                <w:rFonts w:ascii="Carlito" w:hAnsi="Carlito" w:eastAsia="Carlito"/>
                <w:b w:val="0"/>
                <w:color w:val="24303F"/>
                <w:sz w:val="16"/>
              </w:rPr>
              <w:t>Creates cherry-picking bias</w:t>
            </w:r>
          </w:p>
        </w:tc>
        <w:tc>
          <w:tcPr>
            <w:tcW w:type="dxa" w:w="3528"/>
            <w:tcMar>
              <w:top w:w="75" w:type="dxa"/>
              <w:start w:w="75" w:type="dxa"/>
              <w:bottom w:w="75" w:type="dxa"/>
              <w:end w:w="75" w:type="dxa"/>
            </w:tcMar>
            <w:vAlign w:val="top"/>
          </w:tcPr>
          <w:p>
            <w:r>
              <w:rPr>
                <w:rFonts w:ascii="Carlito" w:hAnsi="Carlito" w:eastAsia="Carlito"/>
                <w:b w:val="0"/>
                <w:color w:val="24303F"/>
                <w:sz w:val="16"/>
              </w:rPr>
              <w:t>Freeze the human module first</w:t>
            </w:r>
          </w:p>
        </w:tc>
      </w:tr>
      <w:tr>
        <w:trPr>
          <w:cantSplit/>
        </w:trPr>
        <w:tc>
          <w:tcPr>
            <w:tcW w:type="dxa" w:w="2880"/>
            <w:tcMar>
              <w:top w:w="75" w:type="dxa"/>
              <w:start w:w="75" w:type="dxa"/>
              <w:bottom w:w="75" w:type="dxa"/>
              <w:end w:w="75" w:type="dxa"/>
            </w:tcMar>
            <w:vAlign w:val="top"/>
            <w:shd w:fill="F3F5F7"/>
          </w:tcPr>
          <w:p>
            <w:r>
              <w:rPr>
                <w:rFonts w:ascii="Carlito" w:hAnsi="Carlito" w:eastAsia="Carlito"/>
                <w:b w:val="0"/>
                <w:color w:val="24303F"/>
                <w:sz w:val="16"/>
              </w:rPr>
              <w:t>Using only p-values</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Small studies may be underpowered; huge cell counts can mislead</w:t>
            </w:r>
          </w:p>
        </w:tc>
        <w:tc>
          <w:tcPr>
            <w:tcW w:type="dxa" w:w="3528"/>
            <w:tcMar>
              <w:top w:w="75" w:type="dxa"/>
              <w:start w:w="75" w:type="dxa"/>
              <w:bottom w:w="75" w:type="dxa"/>
              <w:end w:w="75" w:type="dxa"/>
            </w:tcMar>
            <w:vAlign w:val="top"/>
            <w:shd w:fill="F3F5F7"/>
          </w:tcPr>
          <w:p>
            <w:r>
              <w:rPr>
                <w:rFonts w:ascii="Carlito" w:hAnsi="Carlito" w:eastAsia="Carlito"/>
                <w:b w:val="0"/>
                <w:color w:val="24303F"/>
                <w:sz w:val="16"/>
              </w:rPr>
              <w:t>Report effect sizes, confidence intervals, and replicate counts</w:t>
            </w:r>
          </w:p>
        </w:tc>
      </w:tr>
      <w:tr>
        <w:trPr>
          <w:cantSplit/>
        </w:trPr>
        <w:tc>
          <w:tcPr>
            <w:tcW w:type="dxa" w:w="2880"/>
            <w:tcMar>
              <w:top w:w="75" w:type="dxa"/>
              <w:start w:w="75" w:type="dxa"/>
              <w:bottom w:w="75" w:type="dxa"/>
              <w:end w:w="75" w:type="dxa"/>
            </w:tcMar>
            <w:vAlign w:val="top"/>
          </w:tcPr>
          <w:p>
            <w:r>
              <w:rPr>
                <w:rFonts w:ascii="Carlito" w:hAnsi="Carlito" w:eastAsia="Carlito"/>
                <w:b w:val="0"/>
                <w:color w:val="24303F"/>
                <w:sz w:val="16"/>
              </w:rPr>
              <w:t>Treating every mouse AD model as equivalent</w:t>
            </w:r>
          </w:p>
        </w:tc>
        <w:tc>
          <w:tcPr>
            <w:tcW w:type="dxa" w:w="3384"/>
            <w:tcMar>
              <w:top w:w="75" w:type="dxa"/>
              <w:start w:w="75" w:type="dxa"/>
              <w:bottom w:w="75" w:type="dxa"/>
              <w:end w:w="75" w:type="dxa"/>
            </w:tcMar>
            <w:vAlign w:val="top"/>
          </w:tcPr>
          <w:p>
            <w:r>
              <w:rPr>
                <w:rFonts w:ascii="Carlito" w:hAnsi="Carlito" w:eastAsia="Carlito"/>
                <w:b w:val="0"/>
                <w:color w:val="24303F"/>
                <w:sz w:val="16"/>
              </w:rPr>
              <w:t>Amyloid, tau, aging, and immune models capture different biology</w:t>
            </w:r>
          </w:p>
        </w:tc>
        <w:tc>
          <w:tcPr>
            <w:tcW w:type="dxa" w:w="3528"/>
            <w:tcMar>
              <w:top w:w="75" w:type="dxa"/>
              <w:start w:w="75" w:type="dxa"/>
              <w:bottom w:w="75" w:type="dxa"/>
              <w:end w:w="75" w:type="dxa"/>
            </w:tcMar>
            <w:vAlign w:val="top"/>
          </w:tcPr>
          <w:p>
            <w:r>
              <w:rPr>
                <w:rFonts w:ascii="Carlito" w:hAnsi="Carlito" w:eastAsia="Carlito"/>
                <w:b w:val="0"/>
                <w:color w:val="24303F"/>
                <w:sz w:val="16"/>
              </w:rPr>
              <w:t>Describe the model and limit the claim</w:t>
            </w:r>
          </w:p>
        </w:tc>
      </w:tr>
    </w:tbl>
    <w:p>
      <w:pPr>
        <w:spacing w:after="0"/>
      </w:pPr>
    </w:p>
    <w:p>
      <w:pPr>
        <w:pStyle w:val="Heading1"/>
      </w:pPr>
      <w:r>
        <w:t>17. A practical project checklist</w:t>
      </w:r>
    </w:p>
    <w:p>
      <w:pPr>
        <w:spacing w:after="60"/>
        <w:ind w:left="173"/>
      </w:pPr>
      <w:r>
        <w:rPr>
          <w:rFonts w:ascii="Carlito" w:hAnsi="Carlito" w:eastAsia="Carlito"/>
          <w:sz w:val="20"/>
        </w:rPr>
        <w:t>[ ] Write the exact human PFC claim and cell type.</w:t>
      </w:r>
    </w:p>
    <w:p>
      <w:pPr>
        <w:spacing w:after="60"/>
        <w:ind w:left="173"/>
      </w:pPr>
      <w:r>
        <w:rPr>
          <w:rFonts w:ascii="Carlito" w:hAnsi="Carlito" w:eastAsia="Carlito"/>
          <w:sz w:val="20"/>
        </w:rPr>
        <w:t>[ ] Freeze the human gene module and expected direction.</w:t>
      </w:r>
    </w:p>
    <w:p>
      <w:pPr>
        <w:spacing w:after="60"/>
        <w:ind w:left="173"/>
      </w:pPr>
      <w:r>
        <w:rPr>
          <w:rFonts w:ascii="Carlito" w:hAnsi="Carlito" w:eastAsia="Carlito"/>
          <w:sz w:val="20"/>
        </w:rPr>
        <w:t>[ ] Create a human-to-mouse ortholog table.</w:t>
      </w:r>
    </w:p>
    <w:p>
      <w:pPr>
        <w:spacing w:after="60"/>
        <w:ind w:left="173"/>
      </w:pPr>
      <w:r>
        <w:rPr>
          <w:rFonts w:ascii="Carlito" w:hAnsi="Carlito" w:eastAsia="Carlito"/>
          <w:sz w:val="20"/>
        </w:rPr>
        <w:t>[ ] Download and audit metadata for the three core datasets.</w:t>
      </w:r>
    </w:p>
    <w:p>
      <w:pPr>
        <w:spacing w:after="60"/>
        <w:ind w:left="173"/>
      </w:pPr>
      <w:r>
        <w:rPr>
          <w:rFonts w:ascii="Carlito" w:hAnsi="Carlito" w:eastAsia="Carlito"/>
          <w:sz w:val="20"/>
        </w:rPr>
        <w:t>[ ] Verify mouse ID, sex, APOE, disease, age, region, pooling, and batch.</w:t>
      </w:r>
    </w:p>
    <w:p>
      <w:pPr>
        <w:spacing w:after="60"/>
        <w:ind w:left="173"/>
      </w:pPr>
      <w:r>
        <w:rPr>
          <w:rFonts w:ascii="Carlito" w:hAnsi="Carlito" w:eastAsia="Carlito"/>
          <w:sz w:val="20"/>
        </w:rPr>
        <w:t>[ ] Perform QC without removing a biological group disproportionately.</w:t>
      </w:r>
    </w:p>
    <w:p>
      <w:pPr>
        <w:spacing w:after="60"/>
        <w:ind w:left="173"/>
      </w:pPr>
      <w:r>
        <w:rPr>
          <w:rFonts w:ascii="Carlito" w:hAnsi="Carlito" w:eastAsia="Carlito"/>
          <w:sz w:val="20"/>
        </w:rPr>
        <w:t>[ ] Create mouse-by-cell-type pseudobulk profiles for GSE241553 and GSE185063.</w:t>
      </w:r>
    </w:p>
    <w:p>
      <w:pPr>
        <w:spacing w:after="60"/>
        <w:ind w:left="173"/>
      </w:pPr>
      <w:r>
        <w:rPr>
          <w:rFonts w:ascii="Carlito" w:hAnsi="Carlito" w:eastAsia="Carlito"/>
          <w:sz w:val="20"/>
        </w:rPr>
        <w:t>[ ] Fit the APOE-by-sex model in GSE241553.</w:t>
      </w:r>
    </w:p>
    <w:p>
      <w:pPr>
        <w:spacing w:after="60"/>
        <w:ind w:left="173"/>
      </w:pPr>
      <w:r>
        <w:rPr>
          <w:rFonts w:ascii="Carlito" w:hAnsi="Carlito" w:eastAsia="Carlito"/>
          <w:sz w:val="20"/>
        </w:rPr>
        <w:t>[ ] Fit the APOE-by-age model in GSE185063; add sex only after verification.</w:t>
      </w:r>
    </w:p>
    <w:p>
      <w:pPr>
        <w:spacing w:after="60"/>
        <w:ind w:left="173"/>
      </w:pPr>
      <w:r>
        <w:rPr>
          <w:rFonts w:ascii="Carlito" w:hAnsi="Carlito" w:eastAsia="Carlito"/>
          <w:sz w:val="20"/>
        </w:rPr>
        <w:t>[ ] Fit the APOE-by-sex-by-disease model and planned contrasts in GSE163857.</w:t>
      </w:r>
    </w:p>
    <w:p>
      <w:pPr>
        <w:spacing w:after="60"/>
        <w:ind w:left="173"/>
      </w:pPr>
      <w:r>
        <w:rPr>
          <w:rFonts w:ascii="Carlito" w:hAnsi="Carlito" w:eastAsia="Carlito"/>
          <w:sz w:val="20"/>
        </w:rPr>
        <w:t>[ ] Add optional datasets only for a pre-defined unresolved question.</w:t>
      </w:r>
    </w:p>
    <w:p>
      <w:pPr>
        <w:spacing w:after="60"/>
        <w:ind w:left="173"/>
      </w:pPr>
      <w:r>
        <w:rPr>
          <w:rFonts w:ascii="Carlito" w:hAnsi="Carlito" w:eastAsia="Carlito"/>
          <w:sz w:val="20"/>
        </w:rPr>
        <w:t>[ ] Prepare an effect-direction concordance table.</w:t>
      </w:r>
    </w:p>
    <w:p>
      <w:pPr>
        <w:spacing w:after="60"/>
        <w:ind w:left="173"/>
      </w:pPr>
      <w:r>
        <w:rPr>
          <w:rFonts w:ascii="Carlito" w:hAnsi="Carlito" w:eastAsia="Carlito"/>
          <w:sz w:val="20"/>
        </w:rPr>
        <w:t>[ ] Use wording that matches tissue region and evidence strength.</w:t>
      </w:r>
    </w:p>
    <w:p>
      <w:pPr>
        <w:spacing w:after="60"/>
        <w:ind w:left="173"/>
      </w:pPr>
      <w:r>
        <w:rPr>
          <w:rFonts w:ascii="Carlito" w:hAnsi="Carlito" w:eastAsia="Carlito"/>
          <w:sz w:val="20"/>
        </w:rPr>
        <w:t>[ ] Save scripts, metadata tables, software environment, and final figures.</w:t>
      </w:r>
    </w:p>
    <w:p>
      <w:pPr>
        <w:pStyle w:val="Heading1"/>
      </w:pPr>
      <w:r>
        <w:t>18. What would a definitive new mouse experiment look like?</w:t>
      </w:r>
    </w:p>
    <w:p>
      <w:r>
        <w:rPr>
          <w:rFonts w:ascii="Carlito" w:hAnsi="Carlito" w:eastAsia="Carlito"/>
        </w:rPr>
        <w:t>Public data cannot provide a complete region-matched test. A definitive study would collect frontal or medial PFC from mice in all eight APOE, sex, and disease combinations.</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304"/>
            <w:shd w:fill="17324D"/>
            <w:tcMar>
              <w:top w:w="80" w:type="dxa"/>
              <w:start w:w="80" w:type="dxa"/>
              <w:bottom w:w="80" w:type="dxa"/>
              <w:end w:w="80" w:type="dxa"/>
            </w:tcMar>
            <w:vAlign w:val="center"/>
          </w:tcPr>
          <w:p>
            <w:r>
              <w:rPr>
                <w:rFonts w:ascii="Carlito" w:hAnsi="Carlito" w:eastAsia="Carlito"/>
                <w:b/>
                <w:color w:val="FFFFFF"/>
                <w:sz w:val="17"/>
              </w:rPr>
              <w:t>Design element</w:t>
            </w:r>
          </w:p>
        </w:tc>
        <w:tc>
          <w:tcPr>
            <w:tcW w:type="dxa" w:w="7488"/>
            <w:shd w:fill="17324D"/>
            <w:tcMar>
              <w:top w:w="80" w:type="dxa"/>
              <w:start w:w="80" w:type="dxa"/>
              <w:bottom w:w="80" w:type="dxa"/>
              <w:end w:w="80" w:type="dxa"/>
            </w:tcMar>
            <w:vAlign w:val="center"/>
          </w:tcPr>
          <w:p>
            <w:r>
              <w:rPr>
                <w:rFonts w:ascii="Carlito" w:hAnsi="Carlito" w:eastAsia="Carlito"/>
                <w:b/>
                <w:color w:val="FFFFFF"/>
                <w:sz w:val="17"/>
              </w:rPr>
              <w:t>Recommended starting point</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APOE</w:t>
            </w:r>
          </w:p>
        </w:tc>
        <w:tc>
          <w:tcPr>
            <w:tcW w:type="dxa" w:w="7488"/>
            <w:tcMar>
              <w:top w:w="75" w:type="dxa"/>
              <w:start w:w="75" w:type="dxa"/>
              <w:bottom w:w="75" w:type="dxa"/>
              <w:end w:w="75" w:type="dxa"/>
            </w:tcMar>
            <w:vAlign w:val="top"/>
          </w:tcPr>
          <w:p>
            <w:r>
              <w:rPr>
                <w:rFonts w:ascii="Carlito" w:hAnsi="Carlito" w:eastAsia="Carlito"/>
                <w:b w:val="0"/>
                <w:color w:val="24303F"/>
                <w:sz w:val="17"/>
              </w:rPr>
              <w:t>Humanized APOE3 and APOE4</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Sex</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Female and male</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Disease</w:t>
            </w:r>
          </w:p>
        </w:tc>
        <w:tc>
          <w:tcPr>
            <w:tcW w:type="dxa" w:w="7488"/>
            <w:tcMar>
              <w:top w:w="75" w:type="dxa"/>
              <w:start w:w="75" w:type="dxa"/>
              <w:bottom w:w="75" w:type="dxa"/>
              <w:end w:w="75" w:type="dxa"/>
            </w:tcMar>
            <w:vAlign w:val="top"/>
          </w:tcPr>
          <w:p>
            <w:r>
              <w:rPr>
                <w:rFonts w:ascii="Carlito" w:hAnsi="Carlito" w:eastAsia="Carlito"/>
                <w:b w:val="0"/>
                <w:color w:val="24303F"/>
                <w:sz w:val="17"/>
              </w:rPr>
              <w:t>AD model and matched non-AD control</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Groups</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2 x 2 x 2 = 8 groups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Region</w:t>
            </w:r>
          </w:p>
        </w:tc>
        <w:tc>
          <w:tcPr>
            <w:tcW w:type="dxa" w:w="7488"/>
            <w:tcMar>
              <w:top w:w="75" w:type="dxa"/>
              <w:start w:w="75" w:type="dxa"/>
              <w:bottom w:w="75" w:type="dxa"/>
              <w:end w:w="75" w:type="dxa"/>
            </w:tcMar>
            <w:vAlign w:val="top"/>
          </w:tcPr>
          <w:p>
            <w:r>
              <w:rPr>
                <w:rFonts w:ascii="Carlito" w:hAnsi="Carlito" w:eastAsia="Carlito"/>
                <w:b w:val="0"/>
                <w:color w:val="24303F"/>
                <w:sz w:val="17"/>
              </w:rPr>
              <w:t>Clearly defined frontal or medial PFC</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Replicates</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About 6-8 independent mice per group as a planning target, followed by formal power analysis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Assay</w:t>
            </w:r>
          </w:p>
        </w:tc>
        <w:tc>
          <w:tcPr>
            <w:tcW w:type="dxa" w:w="7488"/>
            <w:tcMar>
              <w:top w:w="75" w:type="dxa"/>
              <w:start w:w="75" w:type="dxa"/>
              <w:bottom w:w="75" w:type="dxa"/>
              <w:end w:w="75" w:type="dxa"/>
            </w:tcMar>
            <w:vAlign w:val="top"/>
          </w:tcPr>
          <w:p>
            <w:r>
              <w:rPr>
                <w:rFonts w:ascii="Carlito" w:hAnsi="Carlito" w:eastAsia="Carlito"/>
                <w:b w:val="0"/>
                <w:color w:val="24303F"/>
                <w:sz w:val="17"/>
              </w:rPr>
              <w:t>snRNA-seq with one independent library per mouse</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Batch control</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Randomize all groups across dissection, nuclei isolation, library preparation, and sequencing</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Additional validation</w:t>
            </w:r>
          </w:p>
        </w:tc>
        <w:tc>
          <w:tcPr>
            <w:tcW w:type="dxa" w:w="7488"/>
            <w:tcMar>
              <w:top w:w="75" w:type="dxa"/>
              <w:start w:w="75" w:type="dxa"/>
              <w:bottom w:w="75" w:type="dxa"/>
              <w:end w:w="75" w:type="dxa"/>
            </w:tcMar>
            <w:vAlign w:val="top"/>
          </w:tcPr>
          <w:p>
            <w:r>
              <w:rPr>
                <w:rFonts w:ascii="Carlito" w:hAnsi="Carlito" w:eastAsia="Carlito"/>
                <w:b w:val="0"/>
                <w:color w:val="24303F"/>
                <w:sz w:val="17"/>
              </w:rPr>
              <w:t>Retain adjacent tissue for plaques, protein, histology, or other pathology measures</w:t>
            </w:r>
          </w:p>
        </w:tc>
      </w:tr>
    </w:tbl>
    <w:p>
      <w:pPr>
        <w:spacing w:after="0"/>
      </w:pPr>
    </w:p>
    <w:p>
      <w:r>
        <w:rPr>
          <w:rFonts w:ascii="Carlito" w:hAnsi="Carlito" w:eastAsia="Carlito"/>
        </w:rPr>
        <w:t>Six to eight mice across eight groups means roughly 48-64 mice before allowing for sample loss or quality-control failure. This number is a planning range, not a substitute for a power calculation.</w:t>
      </w:r>
    </w:p>
    <w:p>
      <w:pPr>
        <w:pStyle w:val="Heading1"/>
      </w:pPr>
      <w:r>
        <w:t>19. Glossary</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2304"/>
            <w:shd w:fill="17324D"/>
            <w:tcMar>
              <w:top w:w="80" w:type="dxa"/>
              <w:start w:w="80" w:type="dxa"/>
              <w:bottom w:w="80" w:type="dxa"/>
              <w:end w:w="80" w:type="dxa"/>
            </w:tcMar>
            <w:vAlign w:val="center"/>
          </w:tcPr>
          <w:p>
            <w:r>
              <w:rPr>
                <w:rFonts w:ascii="Carlito" w:hAnsi="Carlito" w:eastAsia="Carlito"/>
                <w:b/>
                <w:color w:val="FFFFFF"/>
                <w:sz w:val="17"/>
              </w:rPr>
              <w:t>Word</w:t>
            </w:r>
          </w:p>
        </w:tc>
        <w:tc>
          <w:tcPr>
            <w:tcW w:type="dxa" w:w="7488"/>
            <w:shd w:fill="17324D"/>
            <w:tcMar>
              <w:top w:w="80" w:type="dxa"/>
              <w:start w:w="80" w:type="dxa"/>
              <w:bottom w:w="80" w:type="dxa"/>
              <w:end w:w="80" w:type="dxa"/>
            </w:tcMar>
            <w:vAlign w:val="center"/>
          </w:tcPr>
          <w:p>
            <w:r>
              <w:rPr>
                <w:rFonts w:ascii="Carlito" w:hAnsi="Carlito" w:eastAsia="Carlito"/>
                <w:b/>
                <w:color w:val="FFFFFF"/>
                <w:sz w:val="17"/>
              </w:rPr>
              <w:t>Meaning</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Batch</w:t>
            </w:r>
          </w:p>
        </w:tc>
        <w:tc>
          <w:tcPr>
            <w:tcW w:type="dxa" w:w="7488"/>
            <w:tcMar>
              <w:top w:w="75" w:type="dxa"/>
              <w:start w:w="75" w:type="dxa"/>
              <w:bottom w:w="75" w:type="dxa"/>
              <w:end w:w="75" w:type="dxa"/>
            </w:tcMar>
            <w:vAlign w:val="top"/>
          </w:tcPr>
          <w:p>
            <w:r>
              <w:rPr>
                <w:rFonts w:ascii="Carlito" w:hAnsi="Carlito" w:eastAsia="Carlito"/>
                <w:b w:val="0"/>
                <w:color w:val="24303F"/>
                <w:sz w:val="17"/>
              </w:rPr>
              <w:t>A group of samples processed together. Batch differences can look like biology if groups are not randomized.</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Cell state</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 temporary or disease-related condition within a cell type, such as a reactive astrocyte.</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Confidence interval</w:t>
            </w:r>
          </w:p>
        </w:tc>
        <w:tc>
          <w:tcPr>
            <w:tcW w:type="dxa" w:w="7488"/>
            <w:tcMar>
              <w:top w:w="75" w:type="dxa"/>
              <w:start w:w="75" w:type="dxa"/>
              <w:bottom w:w="75" w:type="dxa"/>
              <w:end w:w="75" w:type="dxa"/>
            </w:tcMar>
            <w:vAlign w:val="top"/>
          </w:tcPr>
          <w:p>
            <w:r>
              <w:rPr>
                <w:rFonts w:ascii="Carlito" w:hAnsi="Carlito" w:eastAsia="Carlito"/>
                <w:b w:val="0"/>
                <w:color w:val="24303F"/>
                <w:sz w:val="17"/>
              </w:rPr>
              <w:t>A range showing uncertainty around an estimated effect.</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Contrast</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 specific comparison, such as female APOE4 5xFAD versus female APOE3 5xFAD.</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Differential expression</w:t>
            </w:r>
          </w:p>
        </w:tc>
        <w:tc>
          <w:tcPr>
            <w:tcW w:type="dxa" w:w="7488"/>
            <w:tcMar>
              <w:top w:w="75" w:type="dxa"/>
              <w:start w:w="75" w:type="dxa"/>
              <w:bottom w:w="75" w:type="dxa"/>
              <w:end w:w="75" w:type="dxa"/>
            </w:tcMar>
            <w:vAlign w:val="top"/>
          </w:tcPr>
          <w:p>
            <w:r>
              <w:rPr>
                <w:rFonts w:ascii="Carlito" w:hAnsi="Carlito" w:eastAsia="Carlito"/>
                <w:b w:val="0"/>
                <w:color w:val="24303F"/>
                <w:sz w:val="17"/>
              </w:rPr>
              <w:t>Testing whether a gene has different expression between groups.</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Effect direction</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Whether a gene or module is higher or lower in one group.</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Effect size</w:t>
            </w:r>
          </w:p>
        </w:tc>
        <w:tc>
          <w:tcPr>
            <w:tcW w:type="dxa" w:w="7488"/>
            <w:tcMar>
              <w:top w:w="75" w:type="dxa"/>
              <w:start w:w="75" w:type="dxa"/>
              <w:bottom w:w="75" w:type="dxa"/>
              <w:end w:w="75" w:type="dxa"/>
            </w:tcMar>
            <w:vAlign w:val="top"/>
          </w:tcPr>
          <w:p>
            <w:r>
              <w:rPr>
                <w:rFonts w:ascii="Carlito" w:hAnsi="Carlito" w:eastAsia="Carlito"/>
                <w:b w:val="0"/>
                <w:color w:val="24303F"/>
                <w:sz w:val="17"/>
              </w:rPr>
              <w:t>How large a biological difference is.</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Factor</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An experimental variable such as APOE, sex, disease, age, or brain region.</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Gene module</w:t>
            </w:r>
          </w:p>
        </w:tc>
        <w:tc>
          <w:tcPr>
            <w:tcW w:type="dxa" w:w="7488"/>
            <w:tcMar>
              <w:top w:w="75" w:type="dxa"/>
              <w:start w:w="75" w:type="dxa"/>
              <w:bottom w:w="75" w:type="dxa"/>
              <w:end w:w="75" w:type="dxa"/>
            </w:tcMar>
            <w:vAlign w:val="top"/>
          </w:tcPr>
          <w:p>
            <w:r>
              <w:rPr>
                <w:rFonts w:ascii="Carlito" w:hAnsi="Carlito" w:eastAsia="Carlito"/>
                <w:b w:val="0"/>
                <w:color w:val="24303F"/>
                <w:sz w:val="17"/>
              </w:rPr>
              <w:t>A pre-defined group of genes analyzed together because they represent a process or pattern.</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GEO</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NCBI Gene Expression Omnibus, a public repository for gene-expression studies.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Interaction</w:t>
            </w:r>
          </w:p>
        </w:tc>
        <w:tc>
          <w:tcPr>
            <w:tcW w:type="dxa" w:w="7488"/>
            <w:tcMar>
              <w:top w:w="75" w:type="dxa"/>
              <w:start w:w="75" w:type="dxa"/>
              <w:bottom w:w="75" w:type="dxa"/>
              <w:end w:w="75" w:type="dxa"/>
            </w:tcMar>
            <w:vAlign w:val="top"/>
          </w:tcPr>
          <w:p>
            <w:r>
              <w:rPr>
                <w:rFonts w:ascii="Carlito" w:hAnsi="Carlito" w:eastAsia="Carlito"/>
                <w:b w:val="0"/>
                <w:color w:val="24303F"/>
                <w:sz w:val="17"/>
              </w:rPr>
              <w:t>A situation where the effect of one factor depends on another factor.</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Metadata</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Information describing samples, such as mouse ID, sex, age, genotype, and tissue.</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Ortholog</w:t>
            </w:r>
          </w:p>
        </w:tc>
        <w:tc>
          <w:tcPr>
            <w:tcW w:type="dxa" w:w="7488"/>
            <w:tcMar>
              <w:top w:w="75" w:type="dxa"/>
              <w:start w:w="75" w:type="dxa"/>
              <w:bottom w:w="75" w:type="dxa"/>
              <w:end w:w="75" w:type="dxa"/>
            </w:tcMar>
            <w:vAlign w:val="top"/>
          </w:tcPr>
          <w:p>
            <w:r>
              <w:rPr>
                <w:rFonts w:ascii="Carlito" w:hAnsi="Carlito" w:eastAsia="Carlito"/>
                <w:b w:val="0"/>
                <w:color w:val="24303F"/>
                <w:sz w:val="17"/>
              </w:rPr>
              <w:t>A corresponding gene in another species.</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Pathway</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 collection of genes and proteins that work together in a biological process.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Pseudobulk</w:t>
            </w:r>
          </w:p>
        </w:tc>
        <w:tc>
          <w:tcPr>
            <w:tcW w:type="dxa" w:w="7488"/>
            <w:tcMar>
              <w:top w:w="75" w:type="dxa"/>
              <w:start w:w="75" w:type="dxa"/>
              <w:bottom w:w="75" w:type="dxa"/>
              <w:end w:w="75" w:type="dxa"/>
            </w:tcMar>
            <w:vAlign w:val="top"/>
          </w:tcPr>
          <w:p>
            <w:r>
              <w:rPr>
                <w:rFonts w:ascii="Carlito" w:hAnsi="Carlito" w:eastAsia="Carlito"/>
                <w:b w:val="0"/>
                <w:color w:val="24303F"/>
                <w:sz w:val="17"/>
              </w:rPr>
              <w:t>Counts from cells of the same type and mouse added together into one mouse-level profile.</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Pseudoreplication</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Incorrectly treating repeated measurements from one subject as independent subjects.</w:t>
            </w:r>
          </w:p>
        </w:tc>
      </w:tr>
      <w:tr>
        <w:trPr>
          <w:cantSplit/>
        </w:trPr>
        <w:tc>
          <w:tcPr>
            <w:tcW w:type="dxa" w:w="2304"/>
            <w:tcMar>
              <w:top w:w="75" w:type="dxa"/>
              <w:start w:w="75" w:type="dxa"/>
              <w:bottom w:w="75" w:type="dxa"/>
              <w:end w:w="75" w:type="dxa"/>
            </w:tcMar>
            <w:vAlign w:val="top"/>
          </w:tcPr>
          <w:p>
            <w:r>
              <w:rPr>
                <w:rFonts w:ascii="Carlito" w:hAnsi="Carlito" w:eastAsia="Carlito"/>
                <w:b/>
                <w:color w:val="24303F"/>
                <w:sz w:val="17"/>
              </w:rPr>
              <w:t>Replicate</w:t>
            </w:r>
          </w:p>
        </w:tc>
        <w:tc>
          <w:tcPr>
            <w:tcW w:type="dxa" w:w="7488"/>
            <w:tcMar>
              <w:top w:w="75" w:type="dxa"/>
              <w:start w:w="75" w:type="dxa"/>
              <w:bottom w:w="75" w:type="dxa"/>
              <w:end w:w="75" w:type="dxa"/>
            </w:tcMar>
            <w:vAlign w:val="top"/>
          </w:tcPr>
          <w:p>
            <w:r>
              <w:rPr>
                <w:rFonts w:ascii="Carlito" w:hAnsi="Carlito" w:eastAsia="Carlito"/>
                <w:b w:val="0"/>
                <w:color w:val="24303F"/>
                <w:sz w:val="17"/>
              </w:rPr>
              <w:t>An independently studied biological subject, usually one mouse in this project.</w:t>
            </w:r>
          </w:p>
        </w:tc>
      </w:tr>
      <w:tr>
        <w:trPr>
          <w:cantSplit/>
        </w:trPr>
        <w:tc>
          <w:tcPr>
            <w:tcW w:type="dxa" w:w="2304"/>
            <w:tcMar>
              <w:top w:w="75" w:type="dxa"/>
              <w:start w:w="75" w:type="dxa"/>
              <w:bottom w:w="75" w:type="dxa"/>
              <w:end w:w="75" w:type="dxa"/>
            </w:tcMar>
            <w:vAlign w:val="top"/>
            <w:shd w:fill="F3F5F7"/>
          </w:tcPr>
          <w:p>
            <w:r>
              <w:rPr>
                <w:rFonts w:ascii="Carlito" w:hAnsi="Carlito" w:eastAsia="Carlito"/>
                <w:b/>
                <w:color w:val="24303F"/>
                <w:sz w:val="17"/>
              </w:rPr>
              <w:t>UMAP</w:t>
            </w:r>
          </w:p>
        </w:tc>
        <w:tc>
          <w:tcPr>
            <w:tcW w:type="dxa" w:w="7488"/>
            <w:tcMar>
              <w:top w:w="75" w:type="dxa"/>
              <w:start w:w="75" w:type="dxa"/>
              <w:bottom w:w="75" w:type="dxa"/>
              <w:end w:w="75" w:type="dxa"/>
            </w:tcMar>
            <w:vAlign w:val="top"/>
            <w:shd w:fill="F3F5F7"/>
          </w:tcPr>
          <w:p>
            <w:r>
              <w:rPr>
                <w:rFonts w:ascii="Carlito" w:hAnsi="Carlito" w:eastAsia="Carlito"/>
                <w:b w:val="0"/>
                <w:color w:val="24303F"/>
                <w:sz w:val="17"/>
              </w:rPr>
              <w:t>A two-dimensional map often used to visualize groups of single cells; nearby cells have similar expression profiles.</w:t>
            </w:r>
          </w:p>
        </w:tc>
      </w:tr>
    </w:tbl>
    <w:p>
      <w:pPr>
        <w:spacing w:after="0"/>
      </w:pPr>
    </w:p>
    <w:p>
      <w:pPr>
        <w:pStyle w:val="Heading1"/>
      </w:pPr>
      <w:r>
        <w:t>Sources and verification links</w:t>
      </w:r>
    </w:p>
    <w:p>
      <w:pPr>
        <w:pStyle w:val="SmallText"/>
      </w:pPr>
      <w:r>
        <w:rPr>
          <w:rFonts w:ascii="Carlito" w:hAnsi="Carlito" w:eastAsia="Carlito"/>
          <w:color w:val="24303F"/>
          <w:sz w:val="17"/>
        </w:rPr>
        <w:t xml:space="preserve">1. GEO: GSE241553: </w:t>
      </w:r>
      <w:hyperlink r:id="rId17">
        <w:r>
          <w:rPr>
            <w:rFonts w:ascii="Carlito" w:hAnsi="Carlito"/>
            <w:color w:val="2F5597"/>
            <w:u w:val="single"/>
            <w:sz w:val="17"/>
            <w:szCs w:val="17"/>
          </w:rPr>
          <w:t>https://www.ncbi.nlm.nih.gov/geo/query/acc.cgi?acc=GSE241553</w:t>
        </w:r>
      </w:hyperlink>
    </w:p>
    <w:p>
      <w:pPr>
        <w:pStyle w:val="SmallText"/>
      </w:pPr>
      <w:r>
        <w:rPr>
          <w:rFonts w:ascii="Carlito" w:hAnsi="Carlito" w:eastAsia="Carlito"/>
          <w:color w:val="24303F"/>
          <w:sz w:val="17"/>
        </w:rPr>
        <w:t xml:space="preserve">2. GEO: GSE185063: </w:t>
      </w:r>
      <w:hyperlink r:id="rId18">
        <w:r>
          <w:rPr>
            <w:rFonts w:ascii="Carlito" w:hAnsi="Carlito"/>
            <w:color w:val="2F5597"/>
            <w:u w:val="single"/>
            <w:sz w:val="17"/>
            <w:szCs w:val="17"/>
          </w:rPr>
          <w:t>https://www.ncbi.nlm.nih.gov/geo/query/acc.cgi?acc=GSE185063</w:t>
        </w:r>
      </w:hyperlink>
    </w:p>
    <w:p>
      <w:pPr>
        <w:pStyle w:val="SmallText"/>
      </w:pPr>
      <w:r>
        <w:rPr>
          <w:rFonts w:ascii="Carlito" w:hAnsi="Carlito" w:eastAsia="Carlito"/>
          <w:color w:val="24303F"/>
          <w:sz w:val="17"/>
        </w:rPr>
        <w:t xml:space="preserve">3. Barisano et al., JEM 2022 methods and cortical snRNA-seq: </w:t>
      </w:r>
      <w:hyperlink r:id="rId19">
        <w:r>
          <w:rPr>
            <w:rFonts w:ascii="Carlito" w:hAnsi="Carlito"/>
            <w:color w:val="2F5597"/>
            <w:u w:val="single"/>
            <w:sz w:val="17"/>
            <w:szCs w:val="17"/>
          </w:rPr>
          <w:t>https://doi.org/10.1084/jem.20221137</w:t>
        </w:r>
      </w:hyperlink>
    </w:p>
    <w:p>
      <w:pPr>
        <w:pStyle w:val="SmallText"/>
      </w:pPr>
      <w:r>
        <w:rPr>
          <w:rFonts w:ascii="Carlito" w:hAnsi="Carlito" w:eastAsia="Carlito"/>
          <w:color w:val="24303F"/>
          <w:sz w:val="17"/>
        </w:rPr>
        <w:t xml:space="preserve">4. GEO: GSE163857: </w:t>
      </w:r>
      <w:hyperlink r:id="rId20">
        <w:r>
          <w:rPr>
            <w:rFonts w:ascii="Carlito" w:hAnsi="Carlito"/>
            <w:color w:val="2F5597"/>
            <w:u w:val="single"/>
            <w:sz w:val="17"/>
            <w:szCs w:val="17"/>
          </w:rPr>
          <w:t>https://www.ncbi.nlm.nih.gov/geo/query/acc.cgi?acc=GSE163857</w:t>
        </w:r>
      </w:hyperlink>
    </w:p>
    <w:p>
      <w:pPr>
        <w:pStyle w:val="SmallText"/>
      </w:pPr>
      <w:r>
        <w:rPr>
          <w:rFonts w:ascii="Carlito" w:hAnsi="Carlito" w:eastAsia="Carlito"/>
          <w:color w:val="24303F"/>
          <w:sz w:val="17"/>
        </w:rPr>
        <w:t xml:space="preserve">5. GEO: GSE140399: </w:t>
      </w:r>
      <w:hyperlink r:id="rId21">
        <w:r>
          <w:rPr>
            <w:rFonts w:ascii="Carlito" w:hAnsi="Carlito"/>
            <w:color w:val="2F5597"/>
            <w:u w:val="single"/>
            <w:sz w:val="17"/>
            <w:szCs w:val="17"/>
          </w:rPr>
          <w:t>https://www.ncbi.nlm.nih.gov/geo/query/acc.cgi?acc=GSE140399</w:t>
        </w:r>
      </w:hyperlink>
    </w:p>
    <w:p>
      <w:pPr>
        <w:pStyle w:val="SmallText"/>
      </w:pPr>
      <w:r>
        <w:rPr>
          <w:rFonts w:ascii="Carlito" w:hAnsi="Carlito" w:eastAsia="Carlito"/>
          <w:color w:val="24303F"/>
          <w:sz w:val="17"/>
        </w:rPr>
        <w:t xml:space="preserve">6. GEO: GSE140510: </w:t>
      </w:r>
      <w:hyperlink r:id="rId22">
        <w:r>
          <w:rPr>
            <w:rFonts w:ascii="Carlito" w:hAnsi="Carlito"/>
            <w:color w:val="2F5597"/>
            <w:u w:val="single"/>
            <w:sz w:val="17"/>
            <w:szCs w:val="17"/>
          </w:rPr>
          <w:t>https://www.ncbi.nlm.nih.gov/geo/query/acc.cgi?acc=GSE140510</w:t>
        </w:r>
      </w:hyperlink>
    </w:p>
    <w:p>
      <w:pPr>
        <w:pStyle w:val="SmallText"/>
      </w:pPr>
      <w:r>
        <w:rPr>
          <w:rFonts w:ascii="Carlito" w:hAnsi="Carlito" w:eastAsia="Carlito"/>
          <w:color w:val="24303F"/>
          <w:sz w:val="17"/>
        </w:rPr>
        <w:t xml:space="preserve">7. GEO: GSE143758: </w:t>
      </w:r>
      <w:hyperlink r:id="rId23">
        <w:r>
          <w:rPr>
            <w:rFonts w:ascii="Carlito" w:hAnsi="Carlito"/>
            <w:color w:val="2F5597"/>
            <w:u w:val="single"/>
            <w:sz w:val="17"/>
            <w:szCs w:val="17"/>
          </w:rPr>
          <w:t>https://www.ncbi.nlm.nih.gov/geo/query/acc.cgi?acc=GSE143758</w:t>
        </w:r>
      </w:hyperlink>
    </w:p>
    <w:p>
      <w:pPr>
        <w:pStyle w:val="SmallText"/>
      </w:pPr>
      <w:r>
        <w:rPr>
          <w:rFonts w:ascii="Carlito" w:hAnsi="Carlito" w:eastAsia="Carlito"/>
          <w:color w:val="24303F"/>
          <w:sz w:val="17"/>
        </w:rPr>
        <w:t xml:space="preserve">8. GEO: GSE225503: </w:t>
      </w:r>
      <w:hyperlink r:id="rId24">
        <w:r>
          <w:rPr>
            <w:rFonts w:ascii="Carlito" w:hAnsi="Carlito"/>
            <w:color w:val="2F5597"/>
            <w:u w:val="single"/>
            <w:sz w:val="17"/>
            <w:szCs w:val="17"/>
          </w:rPr>
          <w:t>https://www.ncbi.nlm.nih.gov/geo/query/acc.cgi?acc=GSE225503</w:t>
        </w:r>
      </w:hyperlink>
    </w:p>
    <w:p>
      <w:pPr>
        <w:pStyle w:val="SmallText"/>
      </w:pPr>
      <w:r>
        <w:rPr>
          <w:rFonts w:ascii="Carlito" w:hAnsi="Carlito" w:eastAsia="Carlito"/>
          <w:color w:val="24303F"/>
          <w:sz w:val="17"/>
        </w:rPr>
        <w:t xml:space="preserve">9. Zhou et al., Nature Medicine 2020: </w:t>
      </w:r>
      <w:hyperlink r:id="rId25">
        <w:r>
          <w:rPr>
            <w:rFonts w:ascii="Carlito" w:hAnsi="Carlito"/>
            <w:color w:val="2F5597"/>
            <w:u w:val="single"/>
            <w:sz w:val="17"/>
            <w:szCs w:val="17"/>
          </w:rPr>
          <w:t>https://pubmed.ncbi.nlm.nih.gov/31932797/</w:t>
        </w:r>
      </w:hyperlink>
    </w:p>
    <w:p>
      <w:pPr>
        <w:pStyle w:val="SmallText"/>
      </w:pPr>
      <w:r>
        <w:rPr>
          <w:rFonts w:ascii="Carlito" w:hAnsi="Carlito" w:eastAsia="Carlito"/>
        </w:rPr>
        <w:t>Teaching note: all numerical examples labeled hypothetical or illustrative were created only to explain analysis concepts. They must not be cited as results.</w:t>
      </w:r>
    </w:p>
    <w:sectPr w:rsidR="00FC693F" w:rsidRPr="0006063C" w:rsidSect="00034616">
      <w:headerReference w:type="default" r:id="rId9"/>
      <w:footerReference w:type="default" r:id="rId10"/>
      <w:pgSz w:w="12240" w:h="15840"/>
      <w:pgMar w:top="893" w:right="965" w:bottom="893" w:left="965"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eastAsia="Carlito"/>
        <w:color w:val="5B6573"/>
        <w:sz w:val="17"/>
      </w:rPr>
      <w:t xml:space="preserve">Page </w:t>
    </w:r>
    <w:r>
      <w:rPr>
        <w:rFonts w:ascii="Carlito" w:hAnsi="Carlito"/>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BD3DD"/>
      </w:pBdr>
    </w:pPr>
    <w:r>
      <w:rPr>
        <w:rFonts w:ascii="Carlito" w:hAnsi="Carlito" w:eastAsia="Carlito"/>
        <w:b/>
        <w:color w:val="5B6573"/>
        <w:sz w:val="17"/>
      </w:rPr>
      <w:t>Beginner tutorial - validating human PFC findings with mouse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rlito" w:hAnsi="Carlito"/>
      <w:color w:val="2430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rlito" w:hAnsi="Carlito"/>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rlito" w:hAnsi="Carlito"/>
      <w:b/>
      <w:bCs/>
      <w:color w:val="1F7A8C"/>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6B5C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rlito" w:hAnsi="Carlito"/>
      <w:b w:val="0"/>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40" w:lineRule="auto"/>
    </w:pPr>
    <w:rPr>
      <w:rFonts w:ascii="Carlito" w:hAnsi="Carlito"/>
      <w:color w:val="5B6573"/>
      <w:sz w:val="17"/>
    </w:rPr>
  </w:style>
  <w:style w:type="paragraph" w:customStyle="1" w:styleId="CodeBlock">
    <w:name w:val="Code Block"/>
    <w:pPr>
      <w:spacing w:before="60" w:after="100" w:line="240" w:lineRule="auto"/>
      <w:ind w:left="259" w:right="259"/>
    </w:pPr>
    <w:rPr>
      <w:rFonts w:ascii="DejaVu Sans Mono" w:hAnsi="DejaVu Sans Mono"/>
      <w:color w:val="24303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ncbi.nlm.nih.gov/geo/query/acc.cgi?acc=GSE241553" TargetMode="External"/><Relationship Id="rId18" Type="http://schemas.openxmlformats.org/officeDocument/2006/relationships/hyperlink" Target="https://www.ncbi.nlm.nih.gov/geo/query/acc.cgi?acc=GSE185063" TargetMode="External"/><Relationship Id="rId19" Type="http://schemas.openxmlformats.org/officeDocument/2006/relationships/hyperlink" Target="https://doi.org/10.1084/jem.20221137" TargetMode="External"/><Relationship Id="rId20" Type="http://schemas.openxmlformats.org/officeDocument/2006/relationships/hyperlink" Target="https://www.ncbi.nlm.nih.gov/geo/query/acc.cgi?acc=GSE163857" TargetMode="External"/><Relationship Id="rId21" Type="http://schemas.openxmlformats.org/officeDocument/2006/relationships/hyperlink" Target="https://www.ncbi.nlm.nih.gov/geo/query/acc.cgi?acc=GSE140399" TargetMode="External"/><Relationship Id="rId22" Type="http://schemas.openxmlformats.org/officeDocument/2006/relationships/hyperlink" Target="https://www.ncbi.nlm.nih.gov/geo/query/acc.cgi?acc=GSE140510" TargetMode="External"/><Relationship Id="rId23" Type="http://schemas.openxmlformats.org/officeDocument/2006/relationships/hyperlink" Target="https://www.ncbi.nlm.nih.gov/geo/query/acc.cgi?acc=GSE143758" TargetMode="External"/><Relationship Id="rId24" Type="http://schemas.openxmlformats.org/officeDocument/2006/relationships/hyperlink" Target="https://www.ncbi.nlm.nih.gov/geo/query/acc.cgi?acc=GSE225503" TargetMode="External"/><Relationship Id="rId25" Type="http://schemas.openxmlformats.org/officeDocument/2006/relationships/hyperlink" Target="https://pubmed.ncbi.nlm.nih.gov/319327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