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Building the cell-type Bayesian networks: method, code, and requirements</w:t>
      </w:r>
    </w:p>
    <w:p>
      <w:r>
        <w:rPr>
          <w:i/>
        </w:rPr>
        <w:t>Updated September 2, 2026. This version replaces the earlier conclusion that the RIMBANet construction code was not publicly available. The complete construction pipeline has now been located (see “Public construction code” below), and the requirements checklist has been updated accordingly.</w:t>
      </w:r>
    </w:p>
    <w:p>
      <w:pPr>
        <w:pStyle w:val="Heading2"/>
      </w:pPr>
      <w:r>
        <w:t>Summary</w:t>
      </w:r>
    </w:p>
    <w:p>
      <w:pPr>
        <w:pStyle w:val="ListBullet"/>
      </w:pPr>
      <w:r>
        <w:t xml:space="preserve">The nine cell-type networks in </w:t>
      </w:r>
      <w:r>
        <w:rPr>
          <w:rFonts w:ascii="Courier New" w:hAnsi="Courier New"/>
          <w:sz w:val="20"/>
        </w:rPr>
        <w:t>data/bayesian_network/</w:t>
      </w:r>
      <w:r>
        <w:t xml:space="preserve"> (</w:t>
      </w:r>
      <w:r>
        <w:rPr>
          <w:rFonts w:ascii="Courier New" w:hAnsi="Courier New"/>
          <w:sz w:val="20"/>
        </w:rPr>
        <w:t>result.links3.links.txt</w:t>
      </w:r>
      <w:r>
        <w:t>) were built with the RIMBANet pipeline used in Wang’s papers. The public pipeline README names the same input file, parameter file, and final output file, confirming the provenance.</w:t>
      </w:r>
    </w:p>
    <w:p>
      <w:pPr>
        <w:pStyle w:val="ListBullet"/>
      </w:pPr>
      <w:r>
        <w:t xml:space="preserve">The complete construction pipeline is publicly available at </w:t>
      </w:r>
      <w:hyperlink r:id="rId9">
        <w:r>
          <w:rPr>
            <w:color w:val="0563C1"/>
            <w:u w:val="single"/>
          </w:rPr>
          <w:t xml:space="preserve">mw201608/BayesianNetwork</w:t>
        </w:r>
      </w:hyperlink>
      <w:r>
        <w:t xml:space="preserve">, referenced by </w:t>
      </w:r>
      <w:r>
        <w:rPr>
          <w:rFonts w:ascii="Courier New" w:hAnsi="Courier New"/>
          <w:sz w:val="20"/>
        </w:rPr>
        <w:t>workflow_for_BayesianNetwork.txt</w:t>
      </w:r>
      <w:r>
        <w:t xml:space="preserve"> in the </w:t>
      </w:r>
      <w:hyperlink r:id="rId10">
        <w:r>
          <w:rPr>
            <w:color w:val="0563C1"/>
            <w:u w:val="single"/>
          </w:rPr>
          <w:t xml:space="preserve">Wang proteomics repository</w:t>
        </w:r>
      </w:hyperlink>
      <w:r>
        <w:t>. The earlier blocker — “the public implementation is incomplete” — is resolved.</w:t>
      </w:r>
    </w:p>
    <w:p>
      <w:pPr>
        <w:pStyle w:val="ListBullet"/>
      </w:pPr>
      <w:r>
        <w:t>What is still missing is the previous analyst’s run-specific files (</w:t>
      </w:r>
      <w:r>
        <w:rPr>
          <w:rFonts w:ascii="Courier New" w:hAnsi="Courier New"/>
          <w:sz w:val="20"/>
        </w:rPr>
        <w:t>bn.param.txt</w:t>
      </w:r>
      <w:r>
        <w:t xml:space="preserve">, </w:t>
      </w:r>
      <w:r>
        <w:rPr>
          <w:rFonts w:ascii="Courier New" w:hAnsi="Courier New"/>
          <w:sz w:val="20"/>
        </w:rPr>
        <w:t>prior.txt</w:t>
      </w:r>
      <w:r>
        <w:t xml:space="preserve">, </w:t>
      </w:r>
      <w:r>
        <w:rPr>
          <w:rFonts w:ascii="Courier New" w:hAnsi="Courier New"/>
          <w:sz w:val="20"/>
        </w:rPr>
        <w:t>bn.banned.txt</w:t>
      </w:r>
      <w:r>
        <w:t>). These are needed only for exact reproduction of the existing networks, not for building new ones.</w:t>
      </w:r>
    </w:p>
    <w:p>
      <w:pPr>
        <w:pStyle w:val="ListBullet"/>
      </w:pPr>
      <w:r>
        <w:t>For SEA-AD, two routes are viable: Liu 2026/SIGNET (statistically safest at ~78 donors) or a Wang-style RIMBANet network (now fully buildable from public code).</w:t>
      </w:r>
    </w:p>
    <w:p>
      <w:pPr>
        <w:pStyle w:val="Heading2"/>
      </w:pPr>
      <w:r>
        <w:t>The RIMBANet recipe in Wang’s papers</w:t>
      </w:r>
    </w:p>
    <w:p>
      <w:r>
        <w:t>Both Wang papers use RIMBANet (Reconstructing Integrative Molecular Bayesian Networks, Zhu lab). The local Wang multiscale proteomic paper (</w:t>
      </w:r>
      <w:r>
        <w:rPr>
          <w:rFonts w:ascii="Courier New" w:hAnsi="Courier New"/>
          <w:sz w:val="20"/>
        </w:rPr>
        <w:t>docs/related_papers/wang_multiscale_modeling.pdf</w:t>
      </w:r>
      <w:r>
        <w:t>) describes the procedure most precisely in its STAR Methods section “Bayesian causal network analysis”:</w:t>
      </w:r>
    </w:p>
    <w:p>
      <w:pPr>
        <w:pStyle w:val="ListNumber"/>
      </w:pPr>
      <w:r>
        <w:rPr>
          <w:b/>
        </w:rPr>
        <w:t>Expression data.</w:t>
      </w:r>
      <w:r>
        <w:t xml:space="preserve"> Genome-wide expression (bulk proteomics in the 2025 paper; per-cell-type snRNA-seq in the 2024 paper), discretized into three ordinal states (low/medium/high) using k-means clustering with k = 3.</w:t>
      </w:r>
    </w:p>
    <w:p>
      <w:pPr>
        <w:pStyle w:val="ListNumber"/>
      </w:pPr>
      <w:r>
        <w:rPr>
          <w:b/>
        </w:rPr>
        <w:t>Genetic structural priors.</w:t>
      </w:r>
      <w:r>
        <w:t xml:space="preserve"> eQTLs computed from expression plus matched WGS genotypes using MatrixEQTL (FDR &lt; 0.05), followed by the formal Causal Inference Test (CIT) on gene pairs sharing an eQTL to derive directed causal priors.</w:t>
      </w:r>
    </w:p>
    <w:p>
      <w:pPr>
        <w:pStyle w:val="ListNumber"/>
      </w:pPr>
      <w:r>
        <w:rPr>
          <w:b/>
        </w:rPr>
        <w:t>TF–target priors.</w:t>
      </w:r>
      <w:r>
        <w:t xml:space="preserve"> Known transcription factor–target relationships from the ENCODE project, added as additional structural priors.</w:t>
      </w:r>
    </w:p>
    <w:p>
      <w:pPr>
        <w:pStyle w:val="ListNumber"/>
      </w:pPr>
      <w:r>
        <w:rPr>
          <w:b/>
        </w:rPr>
        <w:t>MCMC structure learning.</w:t>
      </w:r>
      <w:r>
        <w:t xml:space="preserve"> 1,000 networks generated by Monte Carlo Markov Chain simulation from different random starting structures.</w:t>
      </w:r>
    </w:p>
    <w:p>
      <w:pPr>
        <w:pStyle w:val="ListNumber"/>
      </w:pPr>
      <w:r>
        <w:rPr>
          <w:b/>
        </w:rPr>
        <w:t>Consensus and de-loop.</w:t>
      </w:r>
      <w:r>
        <w:t xml:space="preserve"> Edges present in more than 30% of the 1,000 networks define the consensus network; an iterative de-loop step removes the most weakly supported edge in any cycle until the network is a directed acyclic graph (DAG).</w:t>
      </w:r>
    </w:p>
    <w:p>
      <w:r>
        <w:t xml:space="preserve">The final DAG is exactly the </w:t>
      </w:r>
      <w:r>
        <w:rPr>
          <w:rFonts w:ascii="Courier New" w:hAnsi="Courier New"/>
          <w:sz w:val="20"/>
        </w:rPr>
        <w:t>result.links3.links.txt</w:t>
      </w:r>
      <w:r>
        <w:t xml:space="preserve"> format present locally for all nine cell types. Key driver analysis (KDA) is then run on the consensus network using the KDA R package (version 0.2 in the public archive; the paper says 0.02 — confirm with the lab).</w:t>
      </w:r>
    </w:p>
    <w:p>
      <w:pPr>
        <w:pStyle w:val="Heading2"/>
      </w:pPr>
      <w:r>
        <w:t>Public construction code (new finding)</w:t>
      </w:r>
    </w:p>
    <w:p>
      <w:r>
        <w:t xml:space="preserve">The </w:t>
      </w:r>
      <w:hyperlink r:id="rId10">
        <w:r>
          <w:rPr>
            <w:color w:val="0563C1"/>
            <w:u w:val="single"/>
          </w:rPr>
          <w:t xml:space="preserve">wange230/proteomics_networks</w:t>
        </w:r>
      </w:hyperlink>
      <w:r>
        <w:t xml:space="preserve"> repository contains </w:t>
      </w:r>
      <w:r>
        <w:rPr>
          <w:rFonts w:ascii="Courier New" w:hAnsi="Courier New"/>
          <w:sz w:val="20"/>
        </w:rPr>
        <w:t>codes/Baysian_network/workflow_for_BayesianNetwork.txt</w:t>
      </w:r>
      <w:r>
        <w:t xml:space="preserve">, which points to the full pipeline at </w:t>
      </w:r>
      <w:hyperlink r:id="rId9">
        <w:r>
          <w:rPr>
            <w:color w:val="0563C1"/>
            <w:u w:val="single"/>
          </w:rPr>
          <w:t xml:space="preserve">mw201608/BayesianNetwork</w:t>
        </w:r>
      </w:hyperlink>
      <w:r>
        <w:t xml:space="preserve"> (Minghui Wang) and to the original </w:t>
      </w:r>
      <w:hyperlink r:id="rId11">
        <w:r>
          <w:rPr>
            <w:color w:val="0563C1"/>
            <w:u w:val="single"/>
          </w:rPr>
          <w:t xml:space="preserve">RIMBANet software page</w:t>
        </w:r>
      </w:hyperlink>
      <w:r>
        <w:t xml:space="preserve"> at the Zhu lab. The pipeline repository contains:</w:t>
      </w:r>
    </w:p>
    <w:p>
      <w:pPr>
        <w:pStyle w:val="ListBullet"/>
      </w:pPr>
      <w:r>
        <w:rPr>
          <w:rFonts w:ascii="Courier New" w:hAnsi="Courier New"/>
          <w:sz w:val="20"/>
        </w:rPr>
        <w:t>src/</w:t>
      </w:r>
      <w:r>
        <w:t xml:space="preserve"> — full RIMBANet C++ source, plus a precompiled Linux binary </w:t>
      </w:r>
      <w:r>
        <w:rPr>
          <w:rFonts w:ascii="Courier New" w:hAnsi="Courier New"/>
          <w:sz w:val="20"/>
        </w:rPr>
        <w:t>bin/testBN</w:t>
      </w:r>
      <w:r>
        <w:t>;</w:t>
      </w:r>
    </w:p>
    <w:p>
      <w:pPr>
        <w:pStyle w:val="ListBullet"/>
      </w:pPr>
      <w:r>
        <w:rPr>
          <w:rFonts w:ascii="Courier New" w:hAnsi="Courier New"/>
          <w:sz w:val="20"/>
        </w:rPr>
        <w:t>Perls/</w:t>
      </w:r>
      <w:r>
        <w:t xml:space="preserve"> — the prior-construction scripts (</w:t>
      </w:r>
      <w:r>
        <w:rPr>
          <w:rFonts w:ascii="Courier New" w:hAnsi="Courier New"/>
          <w:sz w:val="20"/>
        </w:rPr>
        <w:t>addPrior.pl</w:t>
      </w:r>
      <w:r>
        <w:t xml:space="preserve">, </w:t>
      </w:r>
      <w:r>
        <w:rPr>
          <w:rFonts w:ascii="Courier New" w:hAnsi="Courier New"/>
          <w:sz w:val="20"/>
        </w:rPr>
        <w:t>addPriorFromFile.pl</w:t>
      </w:r>
      <w:r>
        <w:t xml:space="preserve">, </w:t>
      </w:r>
      <w:r>
        <w:rPr>
          <w:rFonts w:ascii="Courier New" w:hAnsi="Courier New"/>
          <w:sz w:val="20"/>
        </w:rPr>
        <w:t>partialCorr2Prior.pl</w:t>
      </w:r>
      <w:r>
        <w:t xml:space="preserve">, </w:t>
      </w:r>
      <w:r>
        <w:rPr>
          <w:rFonts w:ascii="Courier New" w:hAnsi="Courier New"/>
          <w:sz w:val="20"/>
        </w:rPr>
        <w:t>createBannedMatrix.pl</w:t>
      </w:r>
      <w:r>
        <w:t xml:space="preserve">, </w:t>
      </w:r>
      <w:r>
        <w:rPr>
          <w:rFonts w:ascii="Courier New" w:hAnsi="Courier New"/>
          <w:sz w:val="20"/>
        </w:rPr>
        <w:t>updateBannedMatrix4Cis.pl</w:t>
      </w:r>
      <w:r>
        <w:t xml:space="preserve">, </w:t>
      </w:r>
      <w:r>
        <w:rPr>
          <w:rFonts w:ascii="Courier New" w:hAnsi="Courier New"/>
          <w:sz w:val="20"/>
        </w:rPr>
        <w:t>process_w_genetics.pl</w:t>
      </w:r>
      <w:r>
        <w:t xml:space="preserve">, </w:t>
      </w:r>
      <w:r>
        <w:rPr>
          <w:rFonts w:ascii="Courier New" w:hAnsi="Courier New"/>
          <w:sz w:val="20"/>
        </w:rPr>
        <w:t>run_w_genetics.pl</w:t>
      </w:r>
      <w:r>
        <w:t xml:space="preserve"> for the eQTL/genetics priors);</w:t>
      </w:r>
    </w:p>
    <w:p>
      <w:pPr>
        <w:pStyle w:val="ListBullet"/>
      </w:pPr>
      <w:r>
        <w:rPr>
          <w:rFonts w:ascii="Courier New" w:hAnsi="Courier New"/>
          <w:sz w:val="20"/>
        </w:rPr>
        <w:t>script/</w:t>
      </w:r>
      <w:r>
        <w:t xml:space="preserve"> — </w:t>
      </w:r>
      <w:r>
        <w:rPr>
          <w:rFonts w:ascii="Courier New" w:hAnsi="Courier New"/>
          <w:sz w:val="20"/>
        </w:rPr>
        <w:t>caller.bsh</w:t>
      </w:r>
      <w:r>
        <w:t xml:space="preserve"> (submits the 1,000 parallel MCMC jobs on an LSF cluster) and </w:t>
      </w:r>
      <w:r>
        <w:rPr>
          <w:rFonts w:ascii="Courier New" w:hAnsi="Courier New"/>
          <w:sz w:val="20"/>
        </w:rPr>
        <w:t>createStructure.bsh bn.param.txt</w:t>
      </w:r>
      <w:r>
        <w:t xml:space="preserve"> (builds the ≥30% consensus and de-loops it).</w:t>
      </w:r>
    </w:p>
    <w:p>
      <w:r>
        <w:t xml:space="preserve">The README names the input file </w:t>
      </w:r>
      <w:r>
        <w:rPr>
          <w:rFonts w:ascii="Courier New" w:hAnsi="Courier New"/>
          <w:sz w:val="20"/>
        </w:rPr>
        <w:t>data.discretized.txt</w:t>
      </w:r>
      <w:r>
        <w:t xml:space="preserve">, the parameter file </w:t>
      </w:r>
      <w:r>
        <w:rPr>
          <w:rFonts w:ascii="Courier New" w:hAnsi="Courier New"/>
          <w:sz w:val="20"/>
        </w:rPr>
        <w:t>bn.param.txt</w:t>
      </w:r>
      <w:r>
        <w:t xml:space="preserve">, the default of 1,000 runs and the 30% consensus threshold, and the default final output </w:t>
      </w:r>
      <w:r>
        <w:rPr>
          <w:rFonts w:ascii="Courier New" w:hAnsi="Courier New"/>
          <w:sz w:val="20"/>
        </w:rPr>
        <w:t>result.links3.links.txt</w:t>
      </w:r>
      <w:r>
        <w:t xml:space="preserve"> — matching the local network files exactly. This confirms the nine local networks were built with this precise pipeline.</w:t>
      </w:r>
    </w:p>
    <w:p>
      <w:r>
        <w:t xml:space="preserve">The README also links a step-by-step preprocessing example by Minghui Wang, </w:t>
      </w:r>
      <w:hyperlink r:id="rId12">
        <w:r>
          <w:rPr>
            <w:color w:val="0563C1"/>
            <w:u w:val="single"/>
          </w:rPr>
          <w:t xml:space="preserve">ROSMAP snRNA-seq: Bayesian network analysis</w:t>
        </w:r>
      </w:hyperlink>
      <w:r>
        <w:t xml:space="preserve"> (AD scRNA-seq companion, Section K), which shows the exact preprocessing the previous analyst most likely used: take the nuclei of one cell type/cluster from a Seurat object, keep genes detected in at least 20% of cells with more than 3 unique values, discretize each gene with k-means (k = 3), and write </w:t>
      </w:r>
      <w:r>
        <w:rPr>
          <w:rFonts w:ascii="Courier New" w:hAnsi="Courier New"/>
          <w:sz w:val="20"/>
        </w:rPr>
        <w:t>data.discretized.txt</w:t>
      </w:r>
      <w:r>
        <w:t>. Note that this minimal path uses individual nuclei as samples and skips the genetic and TF priors entirely; expression-only RIMBANet is legitimate but gives weaker directional evidence.</w:t>
      </w:r>
    </w:p>
    <w:p>
      <w:pPr>
        <w:pStyle w:val="Heading2"/>
      </w:pPr>
      <w:r>
        <w:t>Checklist to build a network</w:t>
      </w:r>
    </w:p>
    <w:p>
      <w:r>
        <w:rPr>
          <w:b/>
        </w:rPr>
        <w:t>Data (required):</w:t>
      </w:r>
    </w:p>
    <w:p>
      <w:pPr>
        <w:pStyle w:val="ListBullet"/>
      </w:pPr>
      <w:r>
        <w:t>A cell-type expression matrix. The vignette route uses individual nuclei of one cell type as samples; a donor-level pseudobulk design is also possible but sharply reduces the sample count.</w:t>
      </w:r>
    </w:p>
    <w:p>
      <w:pPr>
        <w:pStyle w:val="ListBullet"/>
      </w:pPr>
      <w:r>
        <w:t>Gene filtering (e.g., detected in ≥20% of cells, &gt;3 unique values) and k-means discretization into states 0/1/2.</w:t>
      </w:r>
    </w:p>
    <w:p>
      <w:r>
        <w:rPr>
          <w:b/>
        </w:rPr>
        <w:t>Data (for causal direction, per the Wang papers):</w:t>
      </w:r>
    </w:p>
    <w:p>
      <w:pPr>
        <w:pStyle w:val="ListBullet"/>
      </w:pPr>
      <w:r>
        <w:t>Matched WGS genotypes from the same donors, for MatrixEQTL eQTLs (FDR &lt; 0.05) and CIT causal priors.</w:t>
      </w:r>
    </w:p>
    <w:p>
      <w:pPr>
        <w:pStyle w:val="ListBullet"/>
      </w:pPr>
      <w:r>
        <w:t>ENCODE TF–target lists as additional structural priors.</w:t>
      </w:r>
    </w:p>
    <w:p>
      <w:pPr>
        <w:pStyle w:val="ListBullet"/>
      </w:pPr>
      <w:r>
        <w:t xml:space="preserve">Because </w:t>
      </w:r>
      <w:r>
        <w:rPr>
          <w:rFonts w:ascii="Courier New" w:hAnsi="Courier New"/>
          <w:sz w:val="20"/>
        </w:rPr>
        <w:t>prior.txt</w:t>
      </w:r>
      <w:r>
        <w:t xml:space="preserve"> for the copied local networks is missing, it remains unknown whether the previous analyst used any priors.</w:t>
      </w:r>
    </w:p>
    <w:p>
      <w:r>
        <w:rPr>
          <w:b/>
        </w:rPr>
        <w:t>Software and compute:</w:t>
      </w:r>
    </w:p>
    <w:p>
      <w:pPr>
        <w:pStyle w:val="ListBullet"/>
      </w:pPr>
      <w:r>
        <w:t xml:space="preserve">The RIMBANet binary. The shipped </w:t>
      </w:r>
      <w:r>
        <w:rPr>
          <w:rFonts w:ascii="Courier New" w:hAnsi="Courier New"/>
          <w:sz w:val="20"/>
        </w:rPr>
        <w:t>bin/testBN</w:t>
      </w:r>
      <w:r>
        <w:t xml:space="preserve"> is a Linux binary; on macOS it must be compiled from </w:t>
      </w:r>
      <w:r>
        <w:rPr>
          <w:rFonts w:ascii="Courier New" w:hAnsi="Courier New"/>
          <w:sz w:val="20"/>
        </w:rPr>
        <w:t>src/</w:t>
      </w:r>
      <w:r>
        <w:t>, which depends on the old xerces-c 2.8 XML library bundled in the repository.</w:t>
      </w:r>
    </w:p>
    <w:p>
      <w:pPr>
        <w:pStyle w:val="ListBullet"/>
      </w:pPr>
      <w:r>
        <w:t>Perl and bash for the prior and job scripts; R with MatrixEQTL and cit packages for the genetic priors.</w:t>
      </w:r>
    </w:p>
    <w:p>
      <w:pPr>
        <w:pStyle w:val="ListBullet"/>
      </w:pPr>
      <w:r>
        <w:t xml:space="preserve">A compute cluster. </w:t>
      </w:r>
      <w:r>
        <w:rPr>
          <w:rFonts w:ascii="Courier New" w:hAnsi="Courier New"/>
          <w:sz w:val="20"/>
        </w:rPr>
        <w:t>caller.bsh</w:t>
      </w:r>
      <w:r>
        <w:t xml:space="preserve"> assumes LSF and 1,000 jobs per network; nine cell types means roughly 9,000 MCMC runs. The scripts can be adapted to SLURM or a large multicore machine.</w:t>
      </w:r>
    </w:p>
    <w:p>
      <w:r>
        <w:rPr>
          <w:b/>
        </w:rPr>
        <w:t>Post-processing:</w:t>
      </w:r>
    </w:p>
    <w:p>
      <w:pPr>
        <w:pStyle w:val="ListBullet"/>
      </w:pPr>
      <w:r>
        <w:rPr>
          <w:rFonts w:ascii="Courier New" w:hAnsi="Courier New"/>
          <w:sz w:val="20"/>
        </w:rPr>
        <w:t>createStructure.bsh</w:t>
      </w:r>
      <w:r>
        <w:t xml:space="preserve"> for the consensus and de-loop steps, producing </w:t>
      </w:r>
      <w:r>
        <w:rPr>
          <w:rFonts w:ascii="Courier New" w:hAnsi="Courier New"/>
          <w:sz w:val="20"/>
        </w:rPr>
        <w:t>result.links3.links.txt</w:t>
      </w:r>
      <w:r>
        <w:t>.</w:t>
      </w:r>
    </w:p>
    <w:p>
      <w:pPr>
        <w:pStyle w:val="ListBullet"/>
      </w:pPr>
      <w:r>
        <w:t xml:space="preserve">KDA with the public </w:t>
      </w:r>
      <w:r>
        <w:rPr>
          <w:rFonts w:ascii="Courier New" w:hAnsi="Courier New"/>
          <w:sz w:val="20"/>
        </w:rPr>
        <w:t>KDA-0.2.tar.gz</w:t>
      </w:r>
      <w:r>
        <w:t xml:space="preserve"> package and scripts from the Wang proteomics repository (see the email notes for settings: directed, nlayers = 6, Bonferroni correction, etc.).</w:t>
      </w:r>
    </w:p>
    <w:p>
      <w:pPr>
        <w:pStyle w:val="Heading2"/>
      </w:pPr>
      <w:r>
        <w:t>Papers that document broad-cell network construction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Paper</w:t>
            </w:r>
          </w:p>
        </w:tc>
        <w:tc>
          <w:tcPr>
            <w:tcW w:type="dxa" w:w="2160"/>
          </w:tcPr>
          <w:p>
            <w:r>
              <w:rPr>
                <w:b/>
              </w:rPr>
              <w:t>Broad-cell component</w:t>
            </w:r>
          </w:p>
        </w:tc>
        <w:tc>
          <w:tcPr>
            <w:tcW w:type="dxa" w:w="2160"/>
          </w:tcPr>
          <w:p>
            <w:r>
              <w:rPr>
                <w:b/>
              </w:rPr>
              <w:t>Network level</w:t>
            </w:r>
          </w:p>
        </w:tc>
        <w:tc>
          <w:tcPr>
            <w:tcW w:type="dxa" w:w="2160"/>
          </w:tcPr>
          <w:p>
            <w:r>
              <w:rPr>
                <w:b/>
              </w:rPr>
              <w:t>Relevance</w:t>
            </w:r>
          </w:p>
        </w:tc>
      </w:tr>
      <w:tr>
        <w:tc>
          <w:tcPr>
            <w:tcW w:type="dxa" w:w="2160"/>
          </w:tcPr>
          <w:p>
            <w:r>
              <w:t>Liu et al., 2026</w:t>
            </w:r>
          </w:p>
        </w:tc>
        <w:tc>
          <w:tcPr>
            <w:tcW w:type="dxa" w:w="2160"/>
          </w:tcPr>
          <w:p>
            <w:r>
              <w:t>Six broad ROSMAP cell types; donor-by-cell-type profiles</w:t>
            </w:r>
          </w:p>
        </w:tc>
        <w:tc>
          <w:tcPr>
            <w:tcW w:type="dxa" w:w="2160"/>
          </w:tcPr>
          <w:p>
            <w:r>
              <w:t>SIGNET directed causal GRNs (not RIMBANet)</w:t>
            </w:r>
          </w:p>
        </w:tc>
        <w:tc>
          <w:tcPr>
            <w:tcW w:type="dxa" w:w="2160"/>
          </w:tcPr>
          <w:p>
            <w:r>
              <w:t>Best practical method for SEA-AD sample sizes</w:t>
            </w:r>
          </w:p>
        </w:tc>
      </w:tr>
      <w:tr>
        <w:tc>
          <w:tcPr>
            <w:tcW w:type="dxa" w:w="2160"/>
          </w:tcPr>
          <w:p>
            <w:r>
              <w:t>Lopes et al., 2025</w:t>
            </w:r>
          </w:p>
        </w:tc>
        <w:tc>
          <w:tcPr>
            <w:tcW w:type="dxa" w:w="2160"/>
          </w:tcPr>
          <w:p>
            <w:r>
              <w:t>Seven major ROSMAP cell types; donor pseudobulk</w:t>
            </w:r>
          </w:p>
        </w:tc>
        <w:tc>
          <w:tcPr>
            <w:tcW w:type="dxa" w:w="2160"/>
          </w:tcPr>
          <w:p>
            <w:r>
              <w:t>Bayesian networks among modules, cell proportions, and AD traits; selected gene-level intra-module BNs</w:t>
            </w:r>
          </w:p>
        </w:tc>
        <w:tc>
          <w:tcPr>
            <w:tcW w:type="dxa" w:w="2160"/>
          </w:tcPr>
          <w:p>
            <w:r>
              <w:t>Best documented broad-cell pseudobulk plus actual BN workflow; MATLAB CINDERellA engine not fully portable</w:t>
            </w:r>
          </w:p>
        </w:tc>
      </w:tr>
      <w:tr>
        <w:tc>
          <w:tcPr>
            <w:tcW w:type="dxa" w:w="2160"/>
          </w:tcPr>
          <w:p>
            <w:r>
              <w:t>Wang et al., 2024</w:t>
            </w:r>
          </w:p>
        </w:tc>
        <w:tc>
          <w:tcPr>
            <w:tcW w:type="dxa" w:w="2160"/>
          </w:tcPr>
          <w:p>
            <w:r>
              <w:t>Major brain cell classes and AD-associated cell populations</w:t>
            </w:r>
          </w:p>
        </w:tc>
        <w:tc>
          <w:tcPr>
            <w:tcW w:type="dxa" w:w="2160"/>
          </w:tcPr>
          <w:p>
            <w:r>
              <w:t>Gene-level RIMBANet plus MEGENA</w:t>
            </w:r>
          </w:p>
        </w:tc>
        <w:tc>
          <w:tcPr>
            <w:tcW w:type="dxa" w:w="2160"/>
          </w:tcPr>
          <w:p>
            <w:r>
              <w:t>Closest precedent to the existing local networks; construction pipeline now located (see above)</w:t>
            </w:r>
          </w:p>
        </w:tc>
      </w:tr>
      <w:tr>
        <w:tc>
          <w:tcPr>
            <w:tcW w:type="dxa" w:w="2160"/>
          </w:tcPr>
          <w:p>
            <w:r>
              <w:t>Wang et al., 2025 (local)</w:t>
            </w:r>
          </w:p>
        </w:tc>
        <w:tc>
          <w:tcPr>
            <w:tcW w:type="dxa" w:w="2160"/>
          </w:tcPr>
          <w:p>
            <w:r>
              <w:t>Not cell-type specific; PHG proteomic network</w:t>
            </w:r>
          </w:p>
        </w:tc>
        <w:tc>
          <w:tcPr>
            <w:tcW w:type="dxa" w:w="2160"/>
          </w:tcPr>
          <w:p>
            <w:r>
              <w:t>Genome-scale RIMBANet network and KDA</w:t>
            </w:r>
          </w:p>
        </w:tc>
        <w:tc>
          <w:tcPr>
            <w:tcW w:type="dxa" w:w="2160"/>
          </w:tcPr>
          <w:p>
            <w:r>
              <w:t>Best description of the exact RIMBANet consensus procedure; repo links to the public pipeline</w:t>
            </w:r>
          </w:p>
        </w:tc>
      </w:tr>
    </w:tbl>
    <w:p>
      <w:pPr>
        <w:pStyle w:val="Heading3"/>
      </w:pPr>
      <w:r>
        <w:t>Liu et al., 2026 — “From correlation to causation: Cell-type-specific gene regulatory networks in Alzheimer’s disease”</w:t>
      </w:r>
    </w:p>
    <w:p>
      <w:r>
        <w:t xml:space="preserve">The closest scientific template for a SEA-AD analysis. It constructs separate causal networks for six broad ROSMAP cell types (astrocytes, excitatory neurons, inhibitory neurons, microglia, oligodendrocytes, OPCs) from 272 ROSMAP AD donors with matched snRNA-seq and WGS. Procedure: aggregate nuclei into donor-by-cell-type profiles; adjust for age, sex, PMI, cohort, APOE ε4, batch, and nuclei count; identify cell-type-specific cis-eQTL instruments; infer directed relationships with SIGNET and two-stage penalized least squares; reconstruct 1,000 bootstrap networks; retain edges present in at least 95% of networks. </w:t>
      </w:r>
      <w:hyperlink r:id="rId13">
        <w:r>
          <w:rPr>
            <w:color w:val="0563C1"/>
            <w:u w:val="single"/>
          </w:rPr>
          <w:t xml:space="preserve">Full paper</w:t>
        </w:r>
      </w:hyperlink>
      <w:r>
        <w:t xml:space="preserve">, </w:t>
      </w:r>
      <w:hyperlink r:id="rId14">
        <w:r>
          <w:rPr>
            <w:color w:val="0563C1"/>
            <w:u w:val="single"/>
          </w:rPr>
          <w:t xml:space="preserve">SIGNET software</w:t>
        </w:r>
      </w:hyperlink>
      <w:r>
        <w:t>. Important distinction: SIGNET produces a causal directed GRN, not a RIMBANet-style Bayesian network; its edge list could feed KDA, but the method would not be identical to the existing networks.</w:t>
      </w:r>
    </w:p>
    <w:p>
      <w:pPr>
        <w:pStyle w:val="Heading3"/>
      </w:pPr>
      <w:r>
        <w:t>Lopes et al., 2025 — “Gene module-trait network analysis uncovers cell type specific systems and genes relevant to Alzheimer’s Disease”</w:t>
      </w:r>
    </w:p>
    <w:p>
      <w:r>
        <w:t xml:space="preserve">Analyzed 424 ROSMAP participants and seven broad cell types: summed counts by participant within each cell type; retained genes with at least 1 CPM in 80% of samples; TMM and voom normalization; Speakeasy coexpression modules; ensemble MCMC Bayesian network connecting module expression, cell-state proportions, and AD traits (500 chains for the module-trait network, 1,000 chains for selected intra-module gene networks). The principal network nodes are modules and traits, not every gene in a broad cell type. </w:t>
      </w:r>
      <w:hyperlink r:id="rId15">
        <w:r>
          <w:rPr>
            <w:color w:val="0563C1"/>
            <w:u w:val="single"/>
          </w:rPr>
          <w:t xml:space="preserve">Paper</w:t>
        </w:r>
      </w:hyperlink>
      <w:r>
        <w:t xml:space="preserve">, </w:t>
      </w:r>
      <w:hyperlink r:id="rId16">
        <w:r>
          <w:rPr>
            <w:color w:val="0563C1"/>
            <w:u w:val="single"/>
          </w:rPr>
          <w:t xml:space="preserve">analysis repository</w:t>
        </w:r>
      </w:hyperlink>
      <w:r>
        <w:t>. The released scripts call a MATLAB CINDERellA engine through an internal lab path not included in the repository.</w:t>
      </w:r>
    </w:p>
    <w:p>
      <w:pPr>
        <w:pStyle w:val="Heading3"/>
      </w:pPr>
      <w:r>
        <w:t>Wang et al., 2024 — “Single cell transcriptomes and multiscale networks from persons with and without Alzheimer’s disease”</w:t>
      </w:r>
    </w:p>
    <w:p>
      <w:r>
        <w:t xml:space="preserve">Used six major brain cell classes from 101 participants and constructed gene regulatory networks with RIMBANet (directed probabilistic networks), MEGENA (multiscale coexpression), cell-type-specific expression and eQTL information, and downstream key-driver analysis. This is the closest published precedent for the methodology behind the local </w:t>
      </w:r>
      <w:r>
        <w:rPr>
          <w:rFonts w:ascii="Courier New" w:hAnsi="Courier New"/>
          <w:sz w:val="20"/>
        </w:rPr>
        <w:t>result.links3.links.txt</w:t>
      </w:r>
      <w:r>
        <w:t xml:space="preserve"> files. </w:t>
      </w:r>
      <w:hyperlink r:id="rId17">
        <w:r>
          <w:rPr>
            <w:color w:val="0563C1"/>
            <w:u w:val="single"/>
          </w:rPr>
          <w:t xml:space="preserve">Paper</w:t>
        </w:r>
      </w:hyperlink>
      <w:r>
        <w:t xml:space="preserve">, </w:t>
      </w:r>
      <w:hyperlink r:id="rId18">
        <w:r>
          <w:rPr>
            <w:color w:val="0563C1"/>
            <w:u w:val="single"/>
          </w:rPr>
          <w:t xml:space="preserve">analysis repository</w:t>
        </w:r>
      </w:hyperlink>
      <w:r>
        <w:t xml:space="preserve">. The paper’s own repository contains MEGENA and differential-connectivity code but not the RIMBANet construction scripts — however, this is no longer a blocker: the construction pipeline is published separately at </w:t>
      </w:r>
      <w:hyperlink r:id="rId9">
        <w:r>
          <w:rPr>
            <w:color w:val="0563C1"/>
            <w:u w:val="single"/>
          </w:rPr>
          <w:t xml:space="preserve">mw201608/BayesianNetwork</w:t>
        </w:r>
      </w:hyperlink>
      <w:r>
        <w:t xml:space="preserve"> (see “Public construction code” above).</w:t>
      </w:r>
    </w:p>
    <w:p>
      <w:pPr>
        <w:pStyle w:val="Heading3"/>
      </w:pPr>
      <w:r>
        <w:t>Wang et al., 2025 (local) — multiscale proteomic modeling paper</w:t>
      </w:r>
    </w:p>
    <w:p>
      <w:r>
        <w:t>The local Wang multiscale proteomic paper (</w:t>
      </w:r>
      <w:r>
        <w:rPr>
          <w:rFonts w:ascii="Courier New" w:hAnsi="Courier New"/>
          <w:sz w:val="20"/>
        </w:rPr>
        <w:t>docs/related_papers/wang_multiscale_modeling.pdf</w:t>
      </w:r>
      <w:r>
        <w:t xml:space="preserve">) documents matched molecular and genetic data, eQTL and CIT causal-inference priors, ENCODE TF–target priors, 1,000 stochastic network reconstructions, consensus-edge filtering (&gt;30%), cycle removal, and subsequent KDA. It constructs a protein network rather than broad-cell transcriptomic networks, but it is the best description of the exact RIMBANet-style procedure, and its </w:t>
      </w:r>
      <w:hyperlink r:id="rId10">
        <w:r>
          <w:rPr>
            <w:color w:val="0563C1"/>
            <w:u w:val="single"/>
          </w:rPr>
          <w:t xml:space="preserve">public repository</w:t>
        </w:r>
      </w:hyperlink>
      <w:r>
        <w:t xml:space="preserve"> is the entry point to both the KDA package and the construction pipeline.</w:t>
      </w:r>
    </w:p>
    <w:p>
      <w:r>
        <w:t>The local Mathys paper (</w:t>
      </w:r>
      <w:r>
        <w:rPr>
          <w:rFonts w:ascii="Courier New" w:hAnsi="Courier New"/>
          <w:sz w:val="20"/>
        </w:rPr>
        <w:t>docs/related_papers/mathys single-cell atlas reveals correlates.pdf</w:t>
      </w:r>
      <w:r>
        <w:t>) supplies the large ROSMAP single-nucleus cohort and supports donor-level pseudobulk analysis, but does not describe Bayesian-network construction. The Yu paper also does not construct Bayesian networks.</w:t>
      </w:r>
    </w:p>
    <w:p>
      <w:pPr>
        <w:pStyle w:val="Heading2"/>
      </w:pPr>
      <w:r>
        <w:t>What this means for SEA-AD</w:t>
      </w:r>
    </w:p>
    <w:p>
      <w:r>
        <w:t>Two paper-supported designs are now available.</w:t>
      </w:r>
    </w:p>
    <w:p>
      <w:r>
        <w:rPr>
          <w:b/>
        </w:rPr>
        <w:t>Route A — SIGNET (Liu 2026), statistically safest:</w:t>
      </w:r>
    </w:p>
    <w:p>
      <w:r>
        <w:rPr>
          <w:rFonts w:ascii="Courier New" w:hAnsi="Courier New"/>
          <w:sz w:val="18"/>
        </w:rPr>
        <w:t>SEA-AD nuclei</w:t>
        <w:br/>
      </w:r>
      <w:r>
        <w:rPr>
          <w:rFonts w:ascii="Courier New" w:hAnsi="Courier New"/>
          <w:sz w:val="18"/>
        </w:rPr>
        <w:t xml:space="preserve">    ↓ aggregate within donor and broad cell type</w:t>
        <w:br/>
      </w:r>
      <w:r>
        <w:rPr>
          <w:rFonts w:ascii="Courier New" w:hAnsi="Courier New"/>
          <w:sz w:val="18"/>
        </w:rPr>
        <w:t>donor × gene pseudobulk matrices</w:t>
        <w:br/>
      </w:r>
      <w:r>
        <w:rPr>
          <w:rFonts w:ascii="Courier New" w:hAnsi="Courier New"/>
          <w:sz w:val="18"/>
        </w:rPr>
        <w:t xml:space="preserve">    ↓ covariate correction</w:t>
        <w:br/>
      </w:r>
      <w:r>
        <w:rPr>
          <w:rFonts w:ascii="Courier New" w:hAnsi="Courier New"/>
          <w:sz w:val="18"/>
        </w:rPr>
        <w:t>cell-type expression residuals</w:t>
        <w:br/>
      </w:r>
      <w:r>
        <w:rPr>
          <w:rFonts w:ascii="Courier New" w:hAnsi="Courier New"/>
          <w:sz w:val="18"/>
        </w:rPr>
        <w:t xml:space="preserve">    + matched SEA-AD WGS</w:t>
        <w:br/>
      </w:r>
      <w:r>
        <w:rPr>
          <w:rFonts w:ascii="Courier New" w:hAnsi="Courier New"/>
          <w:sz w:val="18"/>
        </w:rPr>
        <w:t xml:space="preserve">    ↓ cell-type cis-eQTL instruments</w:t>
        <w:br/>
      </w:r>
      <w:r>
        <w:rPr>
          <w:rFonts w:ascii="Courier New" w:hAnsi="Courier New"/>
          <w:sz w:val="18"/>
        </w:rPr>
        <w:t>SIGNET directed causal GRNs</w:t>
        <w:br/>
      </w:r>
      <w:r>
        <w:rPr>
          <w:rFonts w:ascii="Courier New" w:hAnsi="Courier New"/>
          <w:sz w:val="18"/>
        </w:rPr>
        <w:t xml:space="preserve">    ↓ bootstrap stability filtering</w:t>
        <w:br/>
      </w:r>
      <w:r>
        <w:rPr>
          <w:rFonts w:ascii="Courier New" w:hAnsi="Courier New"/>
          <w:sz w:val="18"/>
        </w:rPr>
        <w:t>one network per broad cell type</w:t>
        <w:br/>
      </w:r>
      <w:r>
        <w:rPr>
          <w:rFonts w:ascii="Courier New" w:hAnsi="Courier New"/>
          <w:sz w:val="18"/>
        </w:rPr>
        <w:t xml:space="preserve">    ↓</w:t>
        <w:br/>
      </w:r>
      <w:r>
        <w:rPr>
          <w:rFonts w:ascii="Courier New" w:hAnsi="Courier New"/>
          <w:sz w:val="18"/>
        </w:rPr>
        <w:t>SEA-AD-specific KDA</w:t>
      </w:r>
    </w:p>
    <w:p>
      <w:r>
        <w:t>This follows Liu et al. closely and yields a genuinely SEA-AD-derived directed network. The main adaptation is sample size: SEA-AD has approximately 78 eligible donors versus 272 in Liu et al., so expect fewer detectable instruments and substantially less stable edges.</w:t>
      </w:r>
    </w:p>
    <w:p>
      <w:r>
        <w:rPr>
          <w:b/>
        </w:rPr>
        <w:t>Route B — RIMBANet (Wang papers), now fully buildable from public code:</w:t>
      </w:r>
    </w:p>
    <w:p>
      <w:r>
        <w:rPr>
          <w:rFonts w:ascii="Courier New" w:hAnsi="Courier New"/>
          <w:sz w:val="18"/>
        </w:rPr>
        <w:t>SEA-AD nuclei of one broad cell type</w:t>
        <w:br/>
      </w:r>
      <w:r>
        <w:rPr>
          <w:rFonts w:ascii="Courier New" w:hAnsi="Courier New"/>
          <w:sz w:val="18"/>
        </w:rPr>
        <w:t xml:space="preserve">    ↓ gene filtering (≥20% detection, &gt;3 unique values)</w:t>
        <w:br/>
      </w:r>
      <w:r>
        <w:rPr>
          <w:rFonts w:ascii="Courier New" w:hAnsi="Courier New"/>
          <w:sz w:val="18"/>
        </w:rPr>
        <w:t xml:space="preserve">    ↓ k-means (k=3) discretization</w:t>
        <w:br/>
      </w:r>
      <w:r>
        <w:rPr>
          <w:rFonts w:ascii="Courier New" w:hAnsi="Courier New"/>
          <w:sz w:val="18"/>
        </w:rPr>
        <w:t>data.discretized.txt</w:t>
        <w:br/>
      </w:r>
      <w:r>
        <w:rPr>
          <w:rFonts w:ascii="Courier New" w:hAnsi="Courier New"/>
          <w:sz w:val="18"/>
        </w:rPr>
        <w:t xml:space="preserve">    + optional priors (MatrixEQTL eQTLs → CIT; ENCODE TF-targets)</w:t>
        <w:br/>
      </w:r>
      <w:r>
        <w:rPr>
          <w:rFonts w:ascii="Courier New" w:hAnsi="Courier New"/>
          <w:sz w:val="18"/>
        </w:rPr>
        <w:t xml:space="preserve">    ↓ caller.bsh: 1,000 MCMC structure-learning runs</w:t>
        <w:br/>
      </w:r>
      <w:r>
        <w:rPr>
          <w:rFonts w:ascii="Courier New" w:hAnsi="Courier New"/>
          <w:sz w:val="18"/>
        </w:rPr>
        <w:t>1,000 candidate networks</w:t>
        <w:br/>
      </w:r>
      <w:r>
        <w:rPr>
          <w:rFonts w:ascii="Courier New" w:hAnsi="Courier New"/>
          <w:sz w:val="18"/>
        </w:rPr>
        <w:t xml:space="preserve">    ↓ createStructure.bsh: ≥30% consensus + de-loop</w:t>
        <w:br/>
      </w:r>
      <w:r>
        <w:rPr>
          <w:rFonts w:ascii="Courier New" w:hAnsi="Courier New"/>
          <w:sz w:val="18"/>
        </w:rPr>
        <w:t>result.links3.links.txt (DAG)</w:t>
        <w:br/>
      </w:r>
      <w:r>
        <w:rPr>
          <w:rFonts w:ascii="Courier New" w:hAnsi="Courier New"/>
          <w:sz w:val="18"/>
        </w:rPr>
        <w:t xml:space="preserve">    ↓</w:t>
        <w:br/>
      </w:r>
      <w:r>
        <w:rPr>
          <w:rFonts w:ascii="Courier New" w:hAnsi="Courier New"/>
          <w:sz w:val="18"/>
        </w:rPr>
        <w:t>KDA (KDA-0.2 package)</w:t>
      </w:r>
    </w:p>
    <w:p>
      <w:r>
        <w:t>This matches the method behind the existing local networks and keeps downstream KDA directly comparable to them.</w:t>
      </w:r>
    </w:p>
    <w:p>
      <w:pPr>
        <w:pStyle w:val="Heading2"/>
      </w:pPr>
      <w:r>
        <w:t>Remaining gaps and caveats</w:t>
      </w:r>
    </w:p>
    <w:p>
      <w:pPr>
        <w:pStyle w:val="ListBullet"/>
      </w:pPr>
      <w:r>
        <w:t>The run-specific files behind the existing local networks (</w:t>
      </w:r>
      <w:r>
        <w:rPr>
          <w:rFonts w:ascii="Courier New" w:hAnsi="Courier New"/>
          <w:sz w:val="20"/>
        </w:rPr>
        <w:t>bn.param.txt</w:t>
      </w:r>
      <w:r>
        <w:t xml:space="preserve">, </w:t>
      </w:r>
      <w:r>
        <w:rPr>
          <w:rFonts w:ascii="Courier New" w:hAnsi="Courier New"/>
          <w:sz w:val="20"/>
        </w:rPr>
        <w:t>prior.txt</w:t>
      </w:r>
      <w:r>
        <w:t xml:space="preserve">, </w:t>
      </w:r>
      <w:r>
        <w:rPr>
          <w:rFonts w:ascii="Courier New" w:hAnsi="Courier New"/>
          <w:sz w:val="20"/>
        </w:rPr>
        <w:t>bn.banned.txt</w:t>
      </w:r>
      <w:r>
        <w:t xml:space="preserve">, weighted </w:t>
      </w:r>
      <w:r>
        <w:rPr>
          <w:rFonts w:ascii="Courier New" w:hAnsi="Courier New"/>
          <w:sz w:val="20"/>
        </w:rPr>
        <w:t>result.links.3</w:t>
      </w:r>
      <w:r>
        <w:t xml:space="preserve">) are absent: as of September 2, 2026, all nine directories under </w:t>
      </w:r>
      <w:r>
        <w:rPr>
          <w:rFonts w:ascii="Courier New" w:hAnsi="Courier New"/>
          <w:sz w:val="20"/>
        </w:rPr>
        <w:t>data/bayesian_network/</w:t>
      </w:r>
      <w:r>
        <w:t xml:space="preserve"> contain only </w:t>
      </w:r>
      <w:r>
        <w:rPr>
          <w:rFonts w:ascii="Courier New" w:hAnsi="Courier New"/>
          <w:sz w:val="20"/>
        </w:rPr>
        <w:t>result.links3.links.txt</w:t>
      </w:r>
      <w:r>
        <w:t>. The earlier note that extra Vasculature supporting files existed locally no longer matches the repository contents. Exact reproduction of the existing networks therefore still requires those files or confirmation from the lab/previous analyst.</w:t>
      </w:r>
    </w:p>
    <w:p>
      <w:pPr>
        <w:pStyle w:val="ListBullet"/>
      </w:pPr>
      <w:r>
        <w:t xml:space="preserve">Because </w:t>
      </w:r>
      <w:r>
        <w:rPr>
          <w:rFonts w:ascii="Courier New" w:hAnsi="Courier New"/>
          <w:sz w:val="20"/>
        </w:rPr>
        <w:t>prior.txt</w:t>
      </w:r>
      <w:r>
        <w:t xml:space="preserve"> is missing, it is unknown how much genetic or TF-prior information contributed to the directions in the copied networks. “Putative key driver” remains safer wording than “proven causal regulator.”</w:t>
      </w:r>
    </w:p>
    <w:p>
      <w:pPr>
        <w:pStyle w:val="ListBullet"/>
      </w:pPr>
      <w:r>
        <w:t xml:space="preserve">KDA version-label discrepancy: the paper says version 0.02, the public archive is </w:t>
      </w:r>
      <w:r>
        <w:rPr>
          <w:rFonts w:ascii="Courier New" w:hAnsi="Courier New"/>
          <w:sz w:val="20"/>
        </w:rPr>
        <w:t>KDA-0.2.tar.gz</w:t>
      </w:r>
      <w:r>
        <w:t xml:space="preserve"> (internal version 0.2). Confirm with the lab.</w:t>
      </w:r>
    </w:p>
    <w:p>
      <w:pPr>
        <w:pStyle w:val="ListBullet"/>
      </w:pPr>
      <w:r>
        <w:rPr>
          <w:rFonts w:ascii="Courier New" w:hAnsi="Courier New"/>
          <w:sz w:val="20"/>
        </w:rPr>
        <w:t>bin/testBN</w:t>
      </w:r>
      <w:r>
        <w:t xml:space="preserve"> is a Linux binary; building on macOS requires compiling </w:t>
      </w:r>
      <w:r>
        <w:rPr>
          <w:rFonts w:ascii="Courier New" w:hAnsi="Courier New"/>
          <w:sz w:val="20"/>
        </w:rPr>
        <w:t>src/</w:t>
      </w:r>
      <w:r>
        <w:t xml:space="preserve"> against the bundled xerces-c 2.8. The job scripts assume an LSF cluster and need adaptation for other schedulers.</w:t>
      </w:r>
    </w:p>
    <w:p>
      <w:pPr>
        <w:pStyle w:val="ListBullet"/>
      </w:pPr>
      <w:r>
        <w:t xml:space="preserve">Sample size: with approximately 78 SEA-AD donors, individual edges will be unstable. The RIMBANet reproducibility literature indicates key drivers are generally more stable than individual edges when power is limited. </w:t>
      </w:r>
      <w:hyperlink r:id="rId19">
        <w:r>
          <w:rPr>
            <w:color w:val="0563C1"/>
            <w:u w:val="single"/>
          </w:rPr>
          <w:t xml:space="preserve">RIMBANet reproducibility study</w:t>
        </w:r>
      </w:hyperlink>
      <w:r>
        <w:t>.</w:t>
      </w:r>
    </w:p>
    <w:p>
      <w:pPr>
        <w:pStyle w:val="ListBullet"/>
      </w:pPr>
      <w:r>
        <w:t xml:space="preserve">No publication definitively documents the exact ROSMAP broad-cell files currently in this repository; they appear to be a previous analyst’s unpublished application of RIMBANet, consistent with the provenance recorded in </w:t>
      </w:r>
      <w:r>
        <w:rPr>
          <w:rFonts w:ascii="Courier New" w:hAnsi="Courier New"/>
          <w:sz w:val="20"/>
        </w:rPr>
        <w:t>docs/email_notes/email_07252026_explained.md</w:t>
      </w:r>
      <w:r>
        <w:t>.</w:t>
      </w:r>
    </w:p>
    <w:p>
      <w:pPr>
        <w:pStyle w:val="Heading2"/>
      </w:pPr>
      <w:r>
        <w:t>Conclusions (updated September 2, 2026)</w:t>
      </w:r>
    </w:p>
    <w:p>
      <w:pPr>
        <w:pStyle w:val="ListBullet"/>
      </w:pPr>
      <w:r>
        <w:rPr>
          <w:b/>
        </w:rPr>
        <w:t>Best practical SEA-AD method:</w:t>
      </w:r>
      <w:r>
        <w:t xml:space="preserve"> Liu 2026/SIGNET, for sample-size reasons.</w:t>
      </w:r>
    </w:p>
    <w:p>
      <w:pPr>
        <w:pStyle w:val="ListBullet"/>
      </w:pPr>
      <w:r>
        <w:rPr>
          <w:b/>
        </w:rPr>
        <w:t>Wang-style RIMBANet network:</w:t>
      </w:r>
      <w:r>
        <w:t xml:space="preserve"> now fully buildable from public code (</w:t>
      </w:r>
      <w:hyperlink r:id="rId9">
        <w:r>
          <w:rPr>
            <w:color w:val="0563C1"/>
            <w:u w:val="single"/>
          </w:rPr>
          <w:t xml:space="preserve">mw201608/BayesianNetwork</w:t>
        </w:r>
      </w:hyperlink>
      <w:r>
        <w:t>); the earlier conclusion that the public implementation was incomplete is superseded.</w:t>
      </w:r>
    </w:p>
    <w:p>
      <w:pPr>
        <w:pStyle w:val="ListBullet"/>
      </w:pPr>
      <w:r>
        <w:rPr>
          <w:b/>
        </w:rPr>
        <w:t>Exact reproduction of the nine existing networks:</w:t>
      </w:r>
      <w:r>
        <w:t xml:space="preserve"> still requires the previous analyst’s parameter and prior files, or lab confirmation of the settings used.</w:t>
      </w:r>
    </w:p>
    <w:p>
      <w:pPr>
        <w:pStyle w:val="ListBullet"/>
      </w:pPr>
      <w:r>
        <w:rPr>
          <w:b/>
        </w:rPr>
        <w:t>Module-level Bayesian precedent:</w:t>
      </w:r>
      <w:r>
        <w:t xml:space="preserve"> Lopes 2025 remains the best broad-cell pseudobulk BN workflow, but its CINDERellA engine is not portable.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w201608/BayesianNetwork" TargetMode="External"/><Relationship Id="rId10" Type="http://schemas.openxmlformats.org/officeDocument/2006/relationships/hyperlink" Target="https://github.com/wange230/proteomics_networks" TargetMode="External"/><Relationship Id="rId11" Type="http://schemas.openxmlformats.org/officeDocument/2006/relationships/hyperlink" Target="https://labs.icahn.mssm.edu/zhulab/?s=rimbanet" TargetMode="External"/><Relationship Id="rId12" Type="http://schemas.openxmlformats.org/officeDocument/2006/relationships/hyperlink" Target="https://songw01.github.io/AD_scRNAseq_companion/vignettes/Section_K_Bayesian_Network_Analysis.html" TargetMode="External"/><Relationship Id="rId13" Type="http://schemas.openxmlformats.org/officeDocument/2006/relationships/hyperlink" Target="https://pmc.ncbi.nlm.nih.gov/articles/PMC12895379/" TargetMode="External"/><Relationship Id="rId14" Type="http://schemas.openxmlformats.org/officeDocument/2006/relationships/hyperlink" Target="https://github.com/signet4grn/SIGNET" TargetMode="External"/><Relationship Id="rId15" Type="http://schemas.openxmlformats.org/officeDocument/2006/relationships/hyperlink" Target="https://doi.org/10.1186/s40478-025-02143-4" TargetMode="External"/><Relationship Id="rId16" Type="http://schemas.openxmlformats.org/officeDocument/2006/relationships/hyperlink" Target="https://github.com/RushAlz/sn_networks_ROSMAP" TargetMode="External"/><Relationship Id="rId17" Type="http://schemas.openxmlformats.org/officeDocument/2006/relationships/hyperlink" Target="https://doi.org/10.1038/s41467-024-49790-0" TargetMode="External"/><Relationship Id="rId18" Type="http://schemas.openxmlformats.org/officeDocument/2006/relationships/hyperlink" Target="https://github.com/qwang178/Banner_snRNAseq_SFG" TargetMode="External"/><Relationship Id="rId19" Type="http://schemas.openxmlformats.org/officeDocument/2006/relationships/hyperlink" Target="https://pmc.ncbi.nlm.nih.gov/articles/PMC51613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