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</w:pPr>
      <w:r>
        <w:rPr>
          <w:b/>
        </w:rPr>
        <w:t>Table 1.</w:t>
      </w:r>
      <w:r>
        <w:t xml:space="preserve"> Locked dataset roles and eligibility.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Accession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Design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Locked role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Evidence class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PRJNA830488 (GSE201243)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Guiwei/Yurong1 leaf; mock/infected; 24 h; 3 libraries per cell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Discovery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Conditional inferential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PRJNA450886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Guiwei/Heiye pericarp; mock/infected; 6, 24, 48 h; 3 libraries per cell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Primary external evaluation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Cross-context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PRJNA922966 (GSE222651)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Feizixiao leaf/fruit; mock/infected; 24 h; 3 libraries per cell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Generic infection transfer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Cross-context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PRJNA922965 (GSE222650)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Feizixiao leaf/fruit small RNA; mock/infected; 24 h; 3 libraries per cell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Orthogonal modality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Orthogonal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PRJNA1090613 (GSE262200)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Guiwei/SFZ leaf; mock/infected; 3 libraries per cell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Exploratory only</w:t>
            </w:r>
          </w:p>
        </w:tc>
        <w:tc>
          <w:tcPr>
            <w:tcW w:type="dxa" w:w="324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Exploratory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left"/>
    </w:pPr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1: Cultivar-dependent transcriptional responses of lychee to Peronophythora litchii: a registered genome-wide analysis</dc:title>
  <dc:subject/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