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60"/>
      </w:pPr>
      <w:r>
        <w:rPr>
          <w:b/>
        </w:rPr>
        <w:t>Table 2.</w:t>
      </w:r>
      <w:r>
        <w:t xml:space="preserve"> Formal genome-wide audit of the 18 exploratory-stage candidates. Interaction effects are re-estimated genome-wide values (Yurong1 response minus Guiwei response, log2 scale). No candidate met the registered discovery threshold (genome-wide q &lt; 0.05 and |log2FC| ≥ log2(1.5)).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Gene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Exploratory annotation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Interaction log2FC (SE)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 xml:space="preserve">Genome-wide </w:t>
            </w:r>
            <w:r>
              <w:rPr>
                <w:rFonts w:ascii="Times New Roman" w:hAnsi="Times New Roman"/>
                <w:b/>
                <w:i/>
                <w:sz w:val="15"/>
              </w:rPr>
              <w:t>q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5"/>
              </w:rPr>
              <w:t>Uniform mappability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LITCHI001510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Poorly characterized responsive gene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−2.83 (0.91)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0.080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LITCHI019519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EF-hand calcium-binding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−3.33 (1.14)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0.106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LITCHI019299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S-adenosylmethionine-related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−1.21 (0.47)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0.175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LITCHI007102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Phytosulfokine precursor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−0.74 (0.32)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0.238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LITCHI019183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Plant lipid-transfer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+0.99 (0.45)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0.273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LITCHI028401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Selected interaction candidate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−2.41 (1.13)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0.281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Fail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LITCHI012388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Heat-shock protein 70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−0.90 (0.49)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0.381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LITCHI001552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Cyclase-like stress-related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+0.92 (0.55)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0.430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LITCHI001512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Poorly characterized responsive gene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−1.01 (0.63)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0.457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LITCHI017676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S-adenosylmethionine-related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−2.36 (1.53)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0.478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LITCHI002550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Cytochrome P450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+0.76 (0.96)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0.762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LITCHI028104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Jacalin-like lectin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+1.39 (1.89)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0.785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LITCHI002793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Osmotin/thaumatin-like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+0.41 (0.55)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0.786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LITCHI017995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Metalloendoproteinase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+0.48 (0.73)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0.812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LITCHI009301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Osmotin/thaumatin-like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−0.70 (1.08)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0.816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Fail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LITCHI025738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Cyclase-like stress-related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−0.22 (0.62)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0.908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LITCHI011394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Pathogenesis-related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−0.25 (0.98)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0.940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LITCHI018043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Plant lipid-transfer protein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−0.10 (0.52)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0.954</w:t>
            </w:r>
          </w:p>
        </w:tc>
        <w:tc>
          <w:tcPr>
            <w:tcW w:type="dxa" w:w="2592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5"/>
              </w:rPr>
              <w:t>Pass</w:t>
            </w:r>
          </w:p>
        </w:tc>
      </w:tr>
    </w:tbl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left"/>
    </w:pPr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2: Cultivar-dependent transcriptional responses of lychee to Peronophythora litchii: a registered genome-wide analysis</dc:title>
  <dc:subject/>
  <dc:creator>Eric Zhuang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