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344F" w14:textId="3D83F75E" w:rsidR="00D35566" w:rsidRDefault="00527CF6">
      <w:pPr>
        <w:pStyle w:val="Title"/>
      </w:pPr>
      <w:r>
        <w:t xml:space="preserve">An Integrative Bioinformatics Framework for Transcriptomic Reanalysis Reveals Regulatory Architectures in the Lychee Response to </w:t>
      </w:r>
      <w:proofErr w:type="spellStart"/>
      <w:r>
        <w:rPr>
          <w:i/>
          <w:iCs/>
        </w:rPr>
        <w:t>Peronophythora</w:t>
      </w:r>
      <w:proofErr w:type="spellEnd"/>
    </w:p>
    <w:p w14:paraId="189FA0D4" w14:textId="77777777" w:rsidR="00D35566" w:rsidRDefault="00D35566"/>
    <w:p w14:paraId="3EE9AEAC" w14:textId="77777777" w:rsidR="00D35566" w:rsidRDefault="00D35566"/>
    <w:p w14:paraId="77F66214" w14:textId="1A739A9A" w:rsidR="00D35566" w:rsidRPr="002B6C54" w:rsidRDefault="00000000" w:rsidP="002B6C54">
      <w:pPr>
        <w:spacing w:line="360" w:lineRule="auto"/>
        <w:jc w:val="center"/>
        <w:rPr>
          <w:b/>
          <w:bCs/>
        </w:rPr>
      </w:pPr>
      <w:r>
        <w:rPr>
          <w:b/>
          <w:bCs/>
        </w:rPr>
        <w:t>Eric Zhuang</w:t>
      </w:r>
    </w:p>
    <w:p w14:paraId="421D84CA" w14:textId="77777777" w:rsidR="00D35566" w:rsidRDefault="00D35566"/>
    <w:p w14:paraId="017C060A" w14:textId="77777777" w:rsidR="00D35566" w:rsidRDefault="00000000">
      <w:pPr>
        <w:pStyle w:val="Heading1"/>
      </w:pPr>
      <w:r>
        <w:t>SUMMARY</w:t>
      </w:r>
    </w:p>
    <w:p w14:paraId="0E005A25" w14:textId="77777777" w:rsidR="00D35566" w:rsidRDefault="00000000">
      <w:pPr>
        <w:pStyle w:val="BodyTextIndent1"/>
      </w:pPr>
      <w:r>
        <w:t>Lychee (</w:t>
      </w:r>
      <w:r>
        <w:rPr>
          <w:i/>
        </w:rPr>
        <w:t>Litchi chinensis</w:t>
      </w:r>
      <w:r>
        <w:t xml:space="preserve"> Sonn.) is an economically important tropical fruit threatened by litchi downy blight, caused by the oomycete </w:t>
      </w:r>
      <w:proofErr w:type="spellStart"/>
      <w:r>
        <w:rPr>
          <w:i/>
        </w:rPr>
        <w:t>Peronophythora</w:t>
      </w:r>
      <w:proofErr w:type="spellEnd"/>
      <w:r>
        <w:rPr>
          <w:i/>
        </w:rPr>
        <w:t xml:space="preserve"> </w:t>
      </w:r>
      <w:proofErr w:type="spellStart"/>
      <w:r>
        <w:rPr>
          <w:i/>
        </w:rPr>
        <w:t>litchii</w:t>
      </w:r>
      <w:proofErr w:type="spellEnd"/>
      <w:r>
        <w:t xml:space="preserve">. To prioritize genes and regulatory features associated with early host responses, we reanalyzed public leaf RNA-seq data from </w:t>
      </w:r>
      <w:proofErr w:type="spellStart"/>
      <w:r>
        <w:t>Guiwei</w:t>
      </w:r>
      <w:proofErr w:type="spellEnd"/>
      <w:r>
        <w:t xml:space="preserve"> and Yurong cultivars (GSE201243; mock and inoculated samples, three biological replicates per group). Differential-expression analysis identified 17 significant DEGs in </w:t>
      </w:r>
      <w:proofErr w:type="spellStart"/>
      <w:r>
        <w:t>Guiwei</w:t>
      </w:r>
      <w:proofErr w:type="spellEnd"/>
      <w:r>
        <w:t xml:space="preserve"> and 117 in Yurong at adjusted P &lt; 0.05, suggesting a broader transcriptional response in Yurong. Eighteen highly responsive genes were selected for structural, motif, promoter, and candidate interaction analyses. These candidates included annotations associated with defense or stress responses, including jacalin-like lectin, pathogenesis-related protein, heat-shock protein, thaumatin/</w:t>
      </w:r>
      <w:proofErr w:type="spellStart"/>
      <w:r>
        <w:t>osmotin</w:t>
      </w:r>
      <w:proofErr w:type="spellEnd"/>
      <w:r>
        <w:t xml:space="preserve">-like proteins, cytochrome P450, lipid-transfer proteins, and calcium-binding proteins. A selected-gene interaction </w:t>
      </w:r>
      <w:proofErr w:type="gramStart"/>
      <w:r>
        <w:t>contrast</w:t>
      </w:r>
      <w:proofErr w:type="gramEnd"/>
      <w:r>
        <w:t xml:space="preserve"> prioritized LITCHI019519, LITCHI001510, LITCHI028401, LITCHI017676, LITCHI028104, and LITCHI019183 as potential cultivar-dependent response genes. Promoter analysis of 2-kb upstream regions detected stress- and hormone-associated cis-elements, and a random-promoter background test supported enrichment of ARE, </w:t>
      </w:r>
      <w:proofErr w:type="spellStart"/>
      <w:r>
        <w:t>MeJA</w:t>
      </w:r>
      <w:proofErr w:type="spellEnd"/>
      <w:r>
        <w:t xml:space="preserve">-responsive motifs, TCA-elements, and TC-rich repeats. These results provide testable candidates for future functional validation of lychee resistance to </w:t>
      </w:r>
      <w:r>
        <w:rPr>
          <w:i/>
        </w:rPr>
        <w:t xml:space="preserve">P. </w:t>
      </w:r>
      <w:proofErr w:type="spellStart"/>
      <w:r>
        <w:rPr>
          <w:i/>
        </w:rPr>
        <w:t>litchii</w:t>
      </w:r>
      <w:proofErr w:type="spellEnd"/>
      <w:r>
        <w:t>.</w:t>
      </w:r>
    </w:p>
    <w:p w14:paraId="3E8EECDF" w14:textId="77777777" w:rsidR="00D35566" w:rsidRDefault="00000000">
      <w:pPr>
        <w:pStyle w:val="BodyTextIndent1"/>
      </w:pPr>
      <w:r>
        <w:t xml:space="preserve">Keywords: lychee; Litchi chinensis; litchi downy blight; </w:t>
      </w:r>
      <w:proofErr w:type="spellStart"/>
      <w:r>
        <w:t>Peronophythora</w:t>
      </w:r>
      <w:proofErr w:type="spellEnd"/>
      <w:r>
        <w:t xml:space="preserve"> </w:t>
      </w:r>
      <w:proofErr w:type="spellStart"/>
      <w:r>
        <w:t>litchii</w:t>
      </w:r>
      <w:proofErr w:type="spellEnd"/>
      <w:r>
        <w:t>; RNA-seq; differential expression; promoter analysis; cis-regulatory elements; plant defense</w:t>
      </w:r>
    </w:p>
    <w:p w14:paraId="0C220B88" w14:textId="77777777" w:rsidR="00D35566" w:rsidRDefault="00D35566">
      <w:pPr>
        <w:spacing w:line="360" w:lineRule="auto"/>
      </w:pPr>
    </w:p>
    <w:p w14:paraId="11211A7B" w14:textId="77777777" w:rsidR="00D35566" w:rsidRDefault="00000000">
      <w:pPr>
        <w:pStyle w:val="Heading1"/>
      </w:pPr>
      <w:r>
        <w:t>INTRODUCTION</w:t>
      </w:r>
    </w:p>
    <w:p w14:paraId="3E018B65" w14:textId="77777777" w:rsidR="00D35566" w:rsidRDefault="00000000">
      <w:pPr>
        <w:pStyle w:val="BodyTextIndent1"/>
      </w:pPr>
      <w:r>
        <w:t>Lychee (</w:t>
      </w:r>
      <w:r>
        <w:rPr>
          <w:i/>
        </w:rPr>
        <w:t>Litchi chinensis</w:t>
      </w:r>
      <w:r>
        <w:t xml:space="preserve"> Sonn.) is a tropical fruit crop native to southern China and Southeast Asia and cultivated in subtropical and tropical production regions worldwide [1]. Litchi downy blight, caused by the oomycete </w:t>
      </w:r>
      <w:proofErr w:type="spellStart"/>
      <w:r>
        <w:rPr>
          <w:i/>
        </w:rPr>
        <w:t>Peronophythora</w:t>
      </w:r>
      <w:proofErr w:type="spellEnd"/>
      <w:r>
        <w:rPr>
          <w:i/>
        </w:rPr>
        <w:t xml:space="preserve"> </w:t>
      </w:r>
      <w:proofErr w:type="spellStart"/>
      <w:r>
        <w:rPr>
          <w:i/>
        </w:rPr>
        <w:t>litchii</w:t>
      </w:r>
      <w:proofErr w:type="spellEnd"/>
      <w:r>
        <w:t xml:space="preserve"> (</w:t>
      </w:r>
      <w:r>
        <w:rPr>
          <w:i/>
        </w:rPr>
        <w:t xml:space="preserve">P. </w:t>
      </w:r>
      <w:proofErr w:type="spellStart"/>
      <w:r>
        <w:rPr>
          <w:i/>
        </w:rPr>
        <w:t>litchii</w:t>
      </w:r>
      <w:proofErr w:type="spellEnd"/>
      <w:r>
        <w:t xml:space="preserve">), is among the most damaging diseases of this crop and can affect leaves, inflorescences, and fruit, producing water-soaked brown lesions and postharvest decay [2,3]. Understanding the host transcriptional </w:t>
      </w:r>
      <w:r>
        <w:lastRenderedPageBreak/>
        <w:t xml:space="preserve">response to </w:t>
      </w:r>
      <w:r>
        <w:rPr>
          <w:i/>
        </w:rPr>
        <w:t xml:space="preserve">P. </w:t>
      </w:r>
      <w:proofErr w:type="spellStart"/>
      <w:r>
        <w:rPr>
          <w:i/>
        </w:rPr>
        <w:t>litchii</w:t>
      </w:r>
      <w:proofErr w:type="spellEnd"/>
      <w:r>
        <w:t xml:space="preserve"> is therefore important for identifying molecular markers and candidate genes that may support disease-resistance breeding.</w:t>
      </w:r>
    </w:p>
    <w:p w14:paraId="5C4D69B2" w14:textId="77777777" w:rsidR="00D35566" w:rsidRDefault="00000000">
      <w:pPr>
        <w:pStyle w:val="BodyTextIndent1"/>
      </w:pPr>
      <w:r>
        <w:t xml:space="preserve">Recent genome-sequencing studies have improved genomic resources for lychee and enabled transcriptome-based analyses of disease response [4,5]. However, many lychee genes involved in the response to </w:t>
      </w:r>
      <w:r>
        <w:rPr>
          <w:i/>
        </w:rPr>
        <w:t xml:space="preserve">P. </w:t>
      </w:r>
      <w:proofErr w:type="spellStart"/>
      <w:r>
        <w:rPr>
          <w:i/>
        </w:rPr>
        <w:t>litchii</w:t>
      </w:r>
      <w:proofErr w:type="spellEnd"/>
      <w:r>
        <w:t xml:space="preserve"> remain poorly characterized. Liu et al. identified </w:t>
      </w:r>
      <w:proofErr w:type="spellStart"/>
      <w:r>
        <w:t>LcCDPK</w:t>
      </w:r>
      <w:proofErr w:type="spellEnd"/>
      <w:r>
        <w:t xml:space="preserve"> family members with altered expression after </w:t>
      </w:r>
      <w:r>
        <w:rPr>
          <w:i/>
        </w:rPr>
        <w:t xml:space="preserve">P. </w:t>
      </w:r>
      <w:proofErr w:type="spellStart"/>
      <w:r>
        <w:rPr>
          <w:i/>
        </w:rPr>
        <w:t>litchii</w:t>
      </w:r>
      <w:proofErr w:type="spellEnd"/>
      <w:r>
        <w:t xml:space="preserve"> inoculation [6], and Li et al. showed that the </w:t>
      </w:r>
      <w:r>
        <w:rPr>
          <w:i/>
        </w:rPr>
        <w:t xml:space="preserve">P. </w:t>
      </w:r>
      <w:proofErr w:type="spellStart"/>
      <w:r>
        <w:rPr>
          <w:i/>
        </w:rPr>
        <w:t>litchii</w:t>
      </w:r>
      <w:proofErr w:type="spellEnd"/>
      <w:r>
        <w:t xml:space="preserve"> RXLR effector PlAvh202 promotes virulence by destabilizing a host ethylene-biosynthesis enzyme [7].</w:t>
      </w:r>
    </w:p>
    <w:p w14:paraId="20DCC0DC" w14:textId="77777777" w:rsidR="00D35566" w:rsidRDefault="00000000">
      <w:pPr>
        <w:pStyle w:val="BodyTextIndent1"/>
      </w:pPr>
      <w:r>
        <w:t>Comparative studies of susceptible and resistant lychee cultivars have also emphasized the importance of rapid pathogen recognition and early defense responses [8]. Public RNA-seq dataset GSE201243 provides a balanced cultivar-by-treatment design that can be reused to identify infection-responsive candidate genes and to explore whether transcriptional responses differ between cultivars [9].</w:t>
      </w:r>
    </w:p>
    <w:p w14:paraId="4FDF80AD" w14:textId="77777777" w:rsidR="00D35566" w:rsidRDefault="00000000">
      <w:pPr>
        <w:pStyle w:val="BodyTextIndent1"/>
      </w:pPr>
      <w:r>
        <w:t xml:space="preserve">Here, we reanalyzed GSE201243 to identify differentially expressed genes associated with </w:t>
      </w:r>
      <w:r>
        <w:rPr>
          <w:i/>
        </w:rPr>
        <w:t xml:space="preserve">P. </w:t>
      </w:r>
      <w:proofErr w:type="spellStart"/>
      <w:r>
        <w:rPr>
          <w:i/>
        </w:rPr>
        <w:t>litchii</w:t>
      </w:r>
      <w:proofErr w:type="spellEnd"/>
      <w:r>
        <w:t xml:space="preserve"> inoculation and to characterize the potential functions and promoter features of selected candidates. Specifically, we performed cultivar-specific differential-expression analyses, calculated selected-gene cultivar-by-treatment contrasts, screened full DEG sets with an </w:t>
      </w:r>
      <w:proofErr w:type="spellStart"/>
      <w:r>
        <w:t>orthology</w:t>
      </w:r>
      <w:proofErr w:type="spellEnd"/>
      <w:r>
        <w:t xml:space="preserve">-guided Plant </w:t>
      </w:r>
      <w:proofErr w:type="spellStart"/>
      <w:r>
        <w:t>Reactome</w:t>
      </w:r>
      <w:proofErr w:type="spellEnd"/>
      <w:r>
        <w:t xml:space="preserve"> workflow, and examined chromosomal positions, gene structures, conserved protein motifs, and 2-kb upstream cis-regulatory elements. Because this study uses public transcriptomic data and computational annotation, the results are presented as hypothesis-generating candidates for experimental validation.</w:t>
      </w:r>
    </w:p>
    <w:p w14:paraId="4C5854FF" w14:textId="77777777" w:rsidR="00D35566" w:rsidRDefault="00000000">
      <w:pPr>
        <w:pStyle w:val="Heading1"/>
      </w:pPr>
      <w:r>
        <w:t>RESULTS</w:t>
      </w:r>
    </w:p>
    <w:p w14:paraId="73C1A6E8" w14:textId="77777777" w:rsidR="00D35566" w:rsidRDefault="00000000">
      <w:pPr>
        <w:pStyle w:val="BodyTextIndent1"/>
      </w:pPr>
      <w:r>
        <w:t xml:space="preserve">To evaluate transcriptional responses of lychee leaves to </w:t>
      </w:r>
      <w:r>
        <w:rPr>
          <w:i/>
        </w:rPr>
        <w:t xml:space="preserve">P. </w:t>
      </w:r>
      <w:proofErr w:type="spellStart"/>
      <w:r>
        <w:rPr>
          <w:i/>
        </w:rPr>
        <w:t>litchii</w:t>
      </w:r>
      <w:proofErr w:type="spellEnd"/>
      <w:r>
        <w:t xml:space="preserve">, we analyzed public RNA-seq data from GEO accession GSE201243. The dataset includes two cultivars, </w:t>
      </w:r>
      <w:proofErr w:type="spellStart"/>
      <w:r>
        <w:t>Guiwei</w:t>
      </w:r>
      <w:proofErr w:type="spellEnd"/>
      <w:r>
        <w:t xml:space="preserve"> and Yurong1 (hereafter Yurong), sterile-water mock and </w:t>
      </w:r>
      <w:r>
        <w:rPr>
          <w:i/>
        </w:rPr>
        <w:t xml:space="preserve">P. </w:t>
      </w:r>
      <w:proofErr w:type="spellStart"/>
      <w:r>
        <w:rPr>
          <w:i/>
        </w:rPr>
        <w:t>litchii</w:t>
      </w:r>
      <w:proofErr w:type="spellEnd"/>
      <w:r>
        <w:t>-inoculated samples, and three biological replicates per cultivar-treatment combination. We first summarized run-depth metadata to confirm sample balance and to screen for gross sequencing-depth outliers.</w:t>
      </w:r>
    </w:p>
    <w:p w14:paraId="672CFE2D" w14:textId="77777777" w:rsidR="00D35566" w:rsidRDefault="00000000">
      <w:pPr>
        <w:pStyle w:val="BodyTextIndent1"/>
        <w:ind w:firstLine="0"/>
        <w:rPr>
          <w:b/>
          <w:bCs/>
          <w:i/>
          <w:iCs/>
          <w:szCs w:val="22"/>
        </w:rPr>
      </w:pPr>
      <w:r>
        <w:rPr>
          <w:b/>
          <w:bCs/>
          <w:i/>
          <w:iCs/>
        </w:rPr>
        <w:t>Dataset overview and sequencing-depth quality control</w:t>
      </w:r>
    </w:p>
    <w:p w14:paraId="441FF3C4" w14:textId="77777777" w:rsidR="00D35566" w:rsidRDefault="00000000">
      <w:pPr>
        <w:pStyle w:val="BodyTextIndent1"/>
      </w:pPr>
      <w:r>
        <w:t>GSE201243 [9] contains 12 leaf RNA-seq libraries representing a balanced 2 x 2 design: two cultivars (</w:t>
      </w:r>
      <w:proofErr w:type="spellStart"/>
      <w:r>
        <w:t>Guiwei</w:t>
      </w:r>
      <w:proofErr w:type="spellEnd"/>
      <w:r>
        <w:t xml:space="preserve"> and Yurong1, hereafter Yurong), two treatments (sterile-water mock control and P. </w:t>
      </w:r>
      <w:proofErr w:type="spellStart"/>
      <w:r>
        <w:t>litchii</w:t>
      </w:r>
      <w:proofErr w:type="spellEnd"/>
      <w:r>
        <w:t xml:space="preserve"> inoculation), and three biological replicates per cultivar-treatment combination. According to the linked SRA records, all libraries were paired-end Illumina </w:t>
      </w:r>
      <w:proofErr w:type="spellStart"/>
      <w:r>
        <w:t>NovaSeq</w:t>
      </w:r>
      <w:proofErr w:type="spellEnd"/>
      <w:r>
        <w:t xml:space="preserve"> 6000 RNA-seq runs from leaves collected 24 h after treatment.</w:t>
      </w:r>
    </w:p>
    <w:tbl>
      <w:tblPr>
        <w:tblStyle w:val="TableGrid"/>
        <w:tblW w:w="5000" w:type="pct"/>
        <w:jc w:val="center"/>
        <w:tblLook w:val="04A0" w:firstRow="1" w:lastRow="0" w:firstColumn="1" w:lastColumn="0" w:noHBand="0" w:noVBand="1"/>
      </w:tblPr>
      <w:tblGrid>
        <w:gridCol w:w="1187"/>
        <w:gridCol w:w="1979"/>
        <w:gridCol w:w="1979"/>
        <w:gridCol w:w="1930"/>
        <w:gridCol w:w="1266"/>
        <w:gridCol w:w="1235"/>
      </w:tblGrid>
      <w:tr w:rsidR="00D35566" w14:paraId="7FC0C145" w14:textId="77777777">
        <w:trPr>
          <w:tblHeader/>
          <w:jc w:val="center"/>
        </w:trPr>
        <w:tc>
          <w:tcPr>
            <w:tcW w:w="1080" w:type="dxa"/>
            <w:vAlign w:val="center"/>
          </w:tcPr>
          <w:p w14:paraId="18D783DE" w14:textId="77777777" w:rsidR="00D35566" w:rsidRDefault="00000000">
            <w:pPr>
              <w:rPr>
                <w:rFonts w:ascii="Arial" w:hAnsi="Arial" w:cs="Arial"/>
                <w:sz w:val="20"/>
                <w:szCs w:val="20"/>
              </w:rPr>
            </w:pPr>
            <w:r>
              <w:rPr>
                <w:rFonts w:ascii="Arial" w:hAnsi="Arial" w:cs="Arial"/>
                <w:b/>
                <w:bCs/>
                <w:sz w:val="20"/>
                <w:szCs w:val="20"/>
              </w:rPr>
              <w:lastRenderedPageBreak/>
              <w:t>Sample</w:t>
            </w:r>
          </w:p>
        </w:tc>
        <w:tc>
          <w:tcPr>
            <w:tcW w:w="1800" w:type="dxa"/>
            <w:vAlign w:val="center"/>
          </w:tcPr>
          <w:p w14:paraId="1EEA9113" w14:textId="77777777" w:rsidR="00D35566" w:rsidRDefault="00000000">
            <w:pPr>
              <w:rPr>
                <w:rFonts w:ascii="Arial" w:hAnsi="Arial" w:cs="Arial"/>
                <w:sz w:val="20"/>
                <w:szCs w:val="20"/>
              </w:rPr>
            </w:pPr>
            <w:r>
              <w:rPr>
                <w:rFonts w:ascii="Arial" w:hAnsi="Arial" w:cs="Arial"/>
                <w:b/>
                <w:bCs/>
                <w:sz w:val="20"/>
                <w:szCs w:val="20"/>
              </w:rPr>
              <w:t>Group</w:t>
            </w:r>
          </w:p>
        </w:tc>
        <w:tc>
          <w:tcPr>
            <w:tcW w:w="1800" w:type="dxa"/>
            <w:vAlign w:val="center"/>
          </w:tcPr>
          <w:p w14:paraId="27CC4CF0" w14:textId="77777777" w:rsidR="00D35566" w:rsidRDefault="00000000">
            <w:pPr>
              <w:rPr>
                <w:rFonts w:ascii="Arial" w:hAnsi="Arial" w:cs="Arial"/>
                <w:sz w:val="20"/>
                <w:szCs w:val="20"/>
              </w:rPr>
            </w:pPr>
            <w:r>
              <w:rPr>
                <w:rFonts w:ascii="Arial" w:hAnsi="Arial" w:cs="Arial"/>
                <w:b/>
                <w:bCs/>
                <w:sz w:val="20"/>
                <w:szCs w:val="20"/>
              </w:rPr>
              <w:t>GEO accession</w:t>
            </w:r>
          </w:p>
        </w:tc>
        <w:tc>
          <w:tcPr>
            <w:tcW w:w="1756" w:type="dxa"/>
            <w:vAlign w:val="center"/>
          </w:tcPr>
          <w:p w14:paraId="63B04E27" w14:textId="77777777" w:rsidR="00D35566" w:rsidRDefault="00000000">
            <w:pPr>
              <w:rPr>
                <w:rFonts w:ascii="Arial" w:hAnsi="Arial" w:cs="Arial"/>
                <w:sz w:val="20"/>
                <w:szCs w:val="20"/>
              </w:rPr>
            </w:pPr>
            <w:r>
              <w:rPr>
                <w:rFonts w:ascii="Arial" w:hAnsi="Arial" w:cs="Arial"/>
                <w:b/>
                <w:bCs/>
                <w:sz w:val="20"/>
                <w:szCs w:val="20"/>
              </w:rPr>
              <w:t>SRA run</w:t>
            </w:r>
          </w:p>
        </w:tc>
        <w:tc>
          <w:tcPr>
            <w:tcW w:w="1152" w:type="dxa"/>
            <w:vAlign w:val="center"/>
          </w:tcPr>
          <w:p w14:paraId="7DB32C7E" w14:textId="77777777" w:rsidR="00D35566" w:rsidRDefault="00000000">
            <w:pPr>
              <w:rPr>
                <w:rFonts w:ascii="Arial" w:hAnsi="Arial" w:cs="Arial"/>
                <w:sz w:val="20"/>
                <w:szCs w:val="20"/>
              </w:rPr>
            </w:pPr>
            <w:r>
              <w:rPr>
                <w:rFonts w:ascii="Arial" w:hAnsi="Arial" w:cs="Arial"/>
                <w:b/>
                <w:bCs/>
                <w:sz w:val="20"/>
                <w:szCs w:val="20"/>
              </w:rPr>
              <w:t>Spots (M)</w:t>
            </w:r>
          </w:p>
        </w:tc>
        <w:tc>
          <w:tcPr>
            <w:tcW w:w="1123" w:type="dxa"/>
            <w:vAlign w:val="center"/>
          </w:tcPr>
          <w:p w14:paraId="5DBEE76A" w14:textId="77777777" w:rsidR="00D35566" w:rsidRDefault="00000000">
            <w:pPr>
              <w:rPr>
                <w:rFonts w:ascii="Arial" w:hAnsi="Arial" w:cs="Arial"/>
                <w:sz w:val="20"/>
                <w:szCs w:val="20"/>
              </w:rPr>
            </w:pPr>
            <w:r>
              <w:rPr>
                <w:rFonts w:ascii="Arial" w:hAnsi="Arial" w:cs="Arial"/>
                <w:b/>
                <w:bCs/>
                <w:sz w:val="20"/>
                <w:szCs w:val="20"/>
              </w:rPr>
              <w:t>Bases (Gb)</w:t>
            </w:r>
          </w:p>
        </w:tc>
      </w:tr>
      <w:tr w:rsidR="00D35566" w14:paraId="67831288" w14:textId="77777777">
        <w:trPr>
          <w:jc w:val="center"/>
        </w:trPr>
        <w:tc>
          <w:tcPr>
            <w:tcW w:w="1080" w:type="dxa"/>
            <w:vAlign w:val="center"/>
          </w:tcPr>
          <w:p w14:paraId="20C36642" w14:textId="77777777" w:rsidR="00D35566" w:rsidRDefault="00000000">
            <w:pPr>
              <w:rPr>
                <w:rFonts w:ascii="Arial" w:hAnsi="Arial" w:cs="Arial"/>
                <w:sz w:val="20"/>
                <w:szCs w:val="20"/>
              </w:rPr>
            </w:pPr>
            <w:r>
              <w:rPr>
                <w:rFonts w:ascii="Arial" w:hAnsi="Arial" w:cs="Arial"/>
                <w:sz w:val="20"/>
                <w:szCs w:val="20"/>
              </w:rPr>
              <w:t>GW_M1</w:t>
            </w:r>
          </w:p>
        </w:tc>
        <w:tc>
          <w:tcPr>
            <w:tcW w:w="1800" w:type="dxa"/>
            <w:vAlign w:val="center"/>
          </w:tcPr>
          <w:p w14:paraId="0336C4ED" w14:textId="77777777" w:rsidR="00D35566" w:rsidRDefault="00000000">
            <w:pPr>
              <w:rPr>
                <w:rFonts w:ascii="Arial" w:hAnsi="Arial" w:cs="Arial"/>
                <w:sz w:val="20"/>
                <w:szCs w:val="20"/>
              </w:rPr>
            </w:pPr>
            <w:proofErr w:type="spellStart"/>
            <w:r>
              <w:rPr>
                <w:rFonts w:ascii="Arial" w:hAnsi="Arial" w:cs="Arial"/>
                <w:sz w:val="20"/>
                <w:szCs w:val="20"/>
              </w:rPr>
              <w:t>Guiwei</w:t>
            </w:r>
            <w:proofErr w:type="spellEnd"/>
            <w:r>
              <w:rPr>
                <w:rFonts w:ascii="Arial" w:hAnsi="Arial" w:cs="Arial"/>
                <w:sz w:val="20"/>
                <w:szCs w:val="20"/>
              </w:rPr>
              <w:t xml:space="preserve"> mock</w:t>
            </w:r>
          </w:p>
        </w:tc>
        <w:tc>
          <w:tcPr>
            <w:tcW w:w="1800" w:type="dxa"/>
            <w:vAlign w:val="center"/>
          </w:tcPr>
          <w:p w14:paraId="672D6E7E" w14:textId="77777777" w:rsidR="00D35566" w:rsidRDefault="00000000">
            <w:pPr>
              <w:rPr>
                <w:rFonts w:ascii="Arial" w:hAnsi="Arial" w:cs="Arial"/>
                <w:sz w:val="20"/>
                <w:szCs w:val="20"/>
              </w:rPr>
            </w:pPr>
            <w:r>
              <w:rPr>
                <w:rFonts w:ascii="Arial" w:hAnsi="Arial" w:cs="Arial"/>
                <w:sz w:val="20"/>
                <w:szCs w:val="20"/>
              </w:rPr>
              <w:t>GSM6053458</w:t>
            </w:r>
          </w:p>
        </w:tc>
        <w:tc>
          <w:tcPr>
            <w:tcW w:w="1756" w:type="dxa"/>
            <w:vAlign w:val="center"/>
          </w:tcPr>
          <w:p w14:paraId="54F4D308" w14:textId="77777777" w:rsidR="00D35566" w:rsidRDefault="00000000">
            <w:pPr>
              <w:rPr>
                <w:rFonts w:ascii="Arial" w:hAnsi="Arial" w:cs="Arial"/>
                <w:sz w:val="20"/>
                <w:szCs w:val="20"/>
              </w:rPr>
            </w:pPr>
            <w:r>
              <w:rPr>
                <w:rFonts w:ascii="Arial" w:hAnsi="Arial" w:cs="Arial"/>
                <w:sz w:val="20"/>
                <w:szCs w:val="20"/>
              </w:rPr>
              <w:t>SRR18856600</w:t>
            </w:r>
          </w:p>
        </w:tc>
        <w:tc>
          <w:tcPr>
            <w:tcW w:w="1152" w:type="dxa"/>
            <w:vAlign w:val="center"/>
          </w:tcPr>
          <w:p w14:paraId="4F50C308" w14:textId="77777777" w:rsidR="00D35566" w:rsidRDefault="00000000">
            <w:pPr>
              <w:rPr>
                <w:rFonts w:ascii="Arial" w:hAnsi="Arial" w:cs="Arial"/>
                <w:sz w:val="20"/>
                <w:szCs w:val="20"/>
              </w:rPr>
            </w:pPr>
            <w:r>
              <w:rPr>
                <w:rFonts w:ascii="Arial" w:hAnsi="Arial" w:cs="Arial"/>
                <w:sz w:val="20"/>
                <w:szCs w:val="20"/>
              </w:rPr>
              <w:t>23.71</w:t>
            </w:r>
          </w:p>
        </w:tc>
        <w:tc>
          <w:tcPr>
            <w:tcW w:w="1123" w:type="dxa"/>
            <w:vAlign w:val="center"/>
          </w:tcPr>
          <w:p w14:paraId="6856DDAD" w14:textId="77777777" w:rsidR="00D35566" w:rsidRDefault="00000000">
            <w:pPr>
              <w:rPr>
                <w:rFonts w:ascii="Arial" w:hAnsi="Arial" w:cs="Arial"/>
                <w:sz w:val="20"/>
                <w:szCs w:val="20"/>
              </w:rPr>
            </w:pPr>
            <w:r>
              <w:rPr>
                <w:rFonts w:ascii="Arial" w:hAnsi="Arial" w:cs="Arial"/>
                <w:sz w:val="20"/>
                <w:szCs w:val="20"/>
              </w:rPr>
              <w:t>7.1</w:t>
            </w:r>
          </w:p>
        </w:tc>
      </w:tr>
      <w:tr w:rsidR="00D35566" w14:paraId="6421DBCF" w14:textId="77777777">
        <w:trPr>
          <w:jc w:val="center"/>
        </w:trPr>
        <w:tc>
          <w:tcPr>
            <w:tcW w:w="1080" w:type="dxa"/>
            <w:vAlign w:val="center"/>
          </w:tcPr>
          <w:p w14:paraId="2A6ADFB2" w14:textId="77777777" w:rsidR="00D35566" w:rsidRDefault="00000000">
            <w:pPr>
              <w:rPr>
                <w:rFonts w:ascii="Arial" w:hAnsi="Arial" w:cs="Arial"/>
                <w:sz w:val="20"/>
                <w:szCs w:val="20"/>
              </w:rPr>
            </w:pPr>
            <w:r>
              <w:rPr>
                <w:rFonts w:ascii="Arial" w:hAnsi="Arial" w:cs="Arial"/>
                <w:sz w:val="20"/>
                <w:szCs w:val="20"/>
              </w:rPr>
              <w:t>GW_M2</w:t>
            </w:r>
          </w:p>
        </w:tc>
        <w:tc>
          <w:tcPr>
            <w:tcW w:w="1800" w:type="dxa"/>
            <w:vAlign w:val="center"/>
          </w:tcPr>
          <w:p w14:paraId="611485E8" w14:textId="77777777" w:rsidR="00D35566" w:rsidRDefault="00000000">
            <w:pPr>
              <w:rPr>
                <w:rFonts w:ascii="Arial" w:hAnsi="Arial" w:cs="Arial"/>
                <w:sz w:val="20"/>
                <w:szCs w:val="20"/>
              </w:rPr>
            </w:pPr>
            <w:proofErr w:type="spellStart"/>
            <w:r>
              <w:rPr>
                <w:rFonts w:ascii="Arial" w:hAnsi="Arial" w:cs="Arial"/>
                <w:sz w:val="20"/>
                <w:szCs w:val="20"/>
              </w:rPr>
              <w:t>Guiwei</w:t>
            </w:r>
            <w:proofErr w:type="spellEnd"/>
            <w:r>
              <w:rPr>
                <w:rFonts w:ascii="Arial" w:hAnsi="Arial" w:cs="Arial"/>
                <w:sz w:val="20"/>
                <w:szCs w:val="20"/>
              </w:rPr>
              <w:t xml:space="preserve"> mock</w:t>
            </w:r>
          </w:p>
        </w:tc>
        <w:tc>
          <w:tcPr>
            <w:tcW w:w="1800" w:type="dxa"/>
            <w:vAlign w:val="center"/>
          </w:tcPr>
          <w:p w14:paraId="6B61F1BE" w14:textId="77777777" w:rsidR="00D35566" w:rsidRDefault="00000000">
            <w:pPr>
              <w:rPr>
                <w:rFonts w:ascii="Arial" w:hAnsi="Arial" w:cs="Arial"/>
                <w:sz w:val="20"/>
                <w:szCs w:val="20"/>
              </w:rPr>
            </w:pPr>
            <w:r>
              <w:rPr>
                <w:rFonts w:ascii="Arial" w:hAnsi="Arial" w:cs="Arial"/>
                <w:sz w:val="20"/>
                <w:szCs w:val="20"/>
              </w:rPr>
              <w:t>GSM6053459</w:t>
            </w:r>
          </w:p>
        </w:tc>
        <w:tc>
          <w:tcPr>
            <w:tcW w:w="1756" w:type="dxa"/>
            <w:vAlign w:val="center"/>
          </w:tcPr>
          <w:p w14:paraId="2783E569" w14:textId="77777777" w:rsidR="00D35566" w:rsidRDefault="00000000">
            <w:pPr>
              <w:rPr>
                <w:rFonts w:ascii="Arial" w:hAnsi="Arial" w:cs="Arial"/>
                <w:sz w:val="20"/>
                <w:szCs w:val="20"/>
              </w:rPr>
            </w:pPr>
            <w:r>
              <w:rPr>
                <w:rFonts w:ascii="Arial" w:hAnsi="Arial" w:cs="Arial"/>
                <w:sz w:val="20"/>
                <w:szCs w:val="20"/>
              </w:rPr>
              <w:t>SRR18856599</w:t>
            </w:r>
          </w:p>
        </w:tc>
        <w:tc>
          <w:tcPr>
            <w:tcW w:w="1152" w:type="dxa"/>
            <w:vAlign w:val="center"/>
          </w:tcPr>
          <w:p w14:paraId="0A04A977" w14:textId="77777777" w:rsidR="00D35566" w:rsidRDefault="00000000">
            <w:pPr>
              <w:rPr>
                <w:rFonts w:ascii="Arial" w:hAnsi="Arial" w:cs="Arial"/>
                <w:sz w:val="20"/>
                <w:szCs w:val="20"/>
              </w:rPr>
            </w:pPr>
            <w:r>
              <w:rPr>
                <w:rFonts w:ascii="Arial" w:hAnsi="Arial" w:cs="Arial"/>
                <w:sz w:val="20"/>
                <w:szCs w:val="20"/>
              </w:rPr>
              <w:t>27.08</w:t>
            </w:r>
          </w:p>
        </w:tc>
        <w:tc>
          <w:tcPr>
            <w:tcW w:w="1123" w:type="dxa"/>
            <w:vAlign w:val="center"/>
          </w:tcPr>
          <w:p w14:paraId="6FE5F62C" w14:textId="77777777" w:rsidR="00D35566" w:rsidRDefault="00000000">
            <w:pPr>
              <w:rPr>
                <w:rFonts w:ascii="Arial" w:hAnsi="Arial" w:cs="Arial"/>
                <w:sz w:val="20"/>
                <w:szCs w:val="20"/>
              </w:rPr>
            </w:pPr>
            <w:r>
              <w:rPr>
                <w:rFonts w:ascii="Arial" w:hAnsi="Arial" w:cs="Arial"/>
                <w:sz w:val="20"/>
                <w:szCs w:val="20"/>
              </w:rPr>
              <w:t>8.1</w:t>
            </w:r>
          </w:p>
        </w:tc>
      </w:tr>
      <w:tr w:rsidR="00D35566" w14:paraId="10DB5FF3" w14:textId="77777777">
        <w:trPr>
          <w:jc w:val="center"/>
        </w:trPr>
        <w:tc>
          <w:tcPr>
            <w:tcW w:w="1080" w:type="dxa"/>
            <w:vAlign w:val="center"/>
          </w:tcPr>
          <w:p w14:paraId="01FA8EB6" w14:textId="77777777" w:rsidR="00D35566" w:rsidRDefault="00000000">
            <w:pPr>
              <w:rPr>
                <w:rFonts w:ascii="Arial" w:hAnsi="Arial" w:cs="Arial"/>
                <w:sz w:val="20"/>
                <w:szCs w:val="20"/>
              </w:rPr>
            </w:pPr>
            <w:r>
              <w:rPr>
                <w:rFonts w:ascii="Arial" w:hAnsi="Arial" w:cs="Arial"/>
                <w:sz w:val="20"/>
                <w:szCs w:val="20"/>
              </w:rPr>
              <w:t>GW_M3</w:t>
            </w:r>
          </w:p>
        </w:tc>
        <w:tc>
          <w:tcPr>
            <w:tcW w:w="1800" w:type="dxa"/>
            <w:vAlign w:val="center"/>
          </w:tcPr>
          <w:p w14:paraId="04418EEC" w14:textId="77777777" w:rsidR="00D35566" w:rsidRDefault="00000000">
            <w:pPr>
              <w:rPr>
                <w:rFonts w:ascii="Arial" w:hAnsi="Arial" w:cs="Arial"/>
                <w:sz w:val="20"/>
                <w:szCs w:val="20"/>
              </w:rPr>
            </w:pPr>
            <w:proofErr w:type="spellStart"/>
            <w:r>
              <w:rPr>
                <w:rFonts w:ascii="Arial" w:hAnsi="Arial" w:cs="Arial"/>
                <w:sz w:val="20"/>
                <w:szCs w:val="20"/>
              </w:rPr>
              <w:t>Guiwei</w:t>
            </w:r>
            <w:proofErr w:type="spellEnd"/>
            <w:r>
              <w:rPr>
                <w:rFonts w:ascii="Arial" w:hAnsi="Arial" w:cs="Arial"/>
                <w:sz w:val="20"/>
                <w:szCs w:val="20"/>
              </w:rPr>
              <w:t xml:space="preserve"> mock</w:t>
            </w:r>
          </w:p>
        </w:tc>
        <w:tc>
          <w:tcPr>
            <w:tcW w:w="1800" w:type="dxa"/>
            <w:vAlign w:val="center"/>
          </w:tcPr>
          <w:p w14:paraId="6214AD0E" w14:textId="77777777" w:rsidR="00D35566" w:rsidRDefault="00000000">
            <w:pPr>
              <w:rPr>
                <w:rFonts w:ascii="Arial" w:hAnsi="Arial" w:cs="Arial"/>
                <w:sz w:val="20"/>
                <w:szCs w:val="20"/>
              </w:rPr>
            </w:pPr>
            <w:r>
              <w:rPr>
                <w:rFonts w:ascii="Arial" w:hAnsi="Arial" w:cs="Arial"/>
                <w:sz w:val="20"/>
                <w:szCs w:val="20"/>
              </w:rPr>
              <w:t>GSM6053460</w:t>
            </w:r>
          </w:p>
        </w:tc>
        <w:tc>
          <w:tcPr>
            <w:tcW w:w="1756" w:type="dxa"/>
            <w:vAlign w:val="center"/>
          </w:tcPr>
          <w:p w14:paraId="4E3FE133" w14:textId="77777777" w:rsidR="00D35566" w:rsidRDefault="00000000">
            <w:pPr>
              <w:rPr>
                <w:rFonts w:ascii="Arial" w:hAnsi="Arial" w:cs="Arial"/>
                <w:sz w:val="20"/>
                <w:szCs w:val="20"/>
              </w:rPr>
            </w:pPr>
            <w:r>
              <w:rPr>
                <w:rFonts w:ascii="Arial" w:hAnsi="Arial" w:cs="Arial"/>
                <w:sz w:val="20"/>
                <w:szCs w:val="20"/>
              </w:rPr>
              <w:t>SRR18856598</w:t>
            </w:r>
          </w:p>
        </w:tc>
        <w:tc>
          <w:tcPr>
            <w:tcW w:w="1152" w:type="dxa"/>
            <w:vAlign w:val="center"/>
          </w:tcPr>
          <w:p w14:paraId="03AF420A" w14:textId="77777777" w:rsidR="00D35566" w:rsidRDefault="00000000">
            <w:pPr>
              <w:rPr>
                <w:rFonts w:ascii="Arial" w:hAnsi="Arial" w:cs="Arial"/>
                <w:sz w:val="20"/>
                <w:szCs w:val="20"/>
              </w:rPr>
            </w:pPr>
            <w:r>
              <w:rPr>
                <w:rFonts w:ascii="Arial" w:hAnsi="Arial" w:cs="Arial"/>
                <w:sz w:val="20"/>
                <w:szCs w:val="20"/>
              </w:rPr>
              <w:t>27.02</w:t>
            </w:r>
          </w:p>
        </w:tc>
        <w:tc>
          <w:tcPr>
            <w:tcW w:w="1123" w:type="dxa"/>
            <w:vAlign w:val="center"/>
          </w:tcPr>
          <w:p w14:paraId="75852B4F" w14:textId="77777777" w:rsidR="00D35566" w:rsidRDefault="00000000">
            <w:pPr>
              <w:rPr>
                <w:rFonts w:ascii="Arial" w:hAnsi="Arial" w:cs="Arial"/>
                <w:sz w:val="20"/>
                <w:szCs w:val="20"/>
              </w:rPr>
            </w:pPr>
            <w:r>
              <w:rPr>
                <w:rFonts w:ascii="Arial" w:hAnsi="Arial" w:cs="Arial"/>
                <w:sz w:val="20"/>
                <w:szCs w:val="20"/>
              </w:rPr>
              <w:t>8.1</w:t>
            </w:r>
          </w:p>
        </w:tc>
      </w:tr>
      <w:tr w:rsidR="00D35566" w14:paraId="7EE517C1" w14:textId="77777777">
        <w:trPr>
          <w:jc w:val="center"/>
        </w:trPr>
        <w:tc>
          <w:tcPr>
            <w:tcW w:w="1080" w:type="dxa"/>
            <w:vAlign w:val="center"/>
          </w:tcPr>
          <w:p w14:paraId="4AFCB67B" w14:textId="77777777" w:rsidR="00D35566" w:rsidRDefault="00000000">
            <w:pPr>
              <w:rPr>
                <w:rFonts w:ascii="Arial" w:hAnsi="Arial" w:cs="Arial"/>
                <w:sz w:val="20"/>
                <w:szCs w:val="20"/>
              </w:rPr>
            </w:pPr>
            <w:r>
              <w:rPr>
                <w:rFonts w:ascii="Arial" w:hAnsi="Arial" w:cs="Arial"/>
                <w:sz w:val="20"/>
                <w:szCs w:val="20"/>
              </w:rPr>
              <w:t>GW_P1</w:t>
            </w:r>
          </w:p>
        </w:tc>
        <w:tc>
          <w:tcPr>
            <w:tcW w:w="1800" w:type="dxa"/>
            <w:vAlign w:val="center"/>
          </w:tcPr>
          <w:p w14:paraId="5BF17847" w14:textId="77777777" w:rsidR="00D35566" w:rsidRDefault="00000000">
            <w:pPr>
              <w:rPr>
                <w:rFonts w:ascii="Arial" w:hAnsi="Arial" w:cs="Arial"/>
                <w:sz w:val="20"/>
                <w:szCs w:val="20"/>
              </w:rPr>
            </w:pPr>
            <w:proofErr w:type="spellStart"/>
            <w:r>
              <w:rPr>
                <w:rFonts w:ascii="Arial" w:hAnsi="Arial" w:cs="Arial"/>
                <w:sz w:val="20"/>
                <w:szCs w:val="20"/>
              </w:rPr>
              <w:t>Guiwei</w:t>
            </w:r>
            <w:proofErr w:type="spellEnd"/>
            <w:r>
              <w:rPr>
                <w:rFonts w:ascii="Arial" w:hAnsi="Arial" w:cs="Arial"/>
                <w:sz w:val="20"/>
                <w:szCs w:val="20"/>
              </w:rPr>
              <w:t xml:space="preserve"> P. </w:t>
            </w:r>
            <w:proofErr w:type="spellStart"/>
            <w:r>
              <w:rPr>
                <w:rFonts w:ascii="Arial" w:hAnsi="Arial" w:cs="Arial"/>
                <w:sz w:val="20"/>
                <w:szCs w:val="20"/>
              </w:rPr>
              <w:t>litchii</w:t>
            </w:r>
            <w:proofErr w:type="spellEnd"/>
          </w:p>
        </w:tc>
        <w:tc>
          <w:tcPr>
            <w:tcW w:w="1800" w:type="dxa"/>
            <w:vAlign w:val="center"/>
          </w:tcPr>
          <w:p w14:paraId="59A035B3" w14:textId="77777777" w:rsidR="00D35566" w:rsidRDefault="00000000">
            <w:pPr>
              <w:rPr>
                <w:rFonts w:ascii="Arial" w:hAnsi="Arial" w:cs="Arial"/>
                <w:sz w:val="20"/>
                <w:szCs w:val="20"/>
              </w:rPr>
            </w:pPr>
            <w:r>
              <w:rPr>
                <w:rFonts w:ascii="Arial" w:hAnsi="Arial" w:cs="Arial"/>
                <w:sz w:val="20"/>
                <w:szCs w:val="20"/>
              </w:rPr>
              <w:t>GSM6053461</w:t>
            </w:r>
          </w:p>
        </w:tc>
        <w:tc>
          <w:tcPr>
            <w:tcW w:w="1756" w:type="dxa"/>
            <w:vAlign w:val="center"/>
          </w:tcPr>
          <w:p w14:paraId="7239022B" w14:textId="77777777" w:rsidR="00D35566" w:rsidRDefault="00000000">
            <w:pPr>
              <w:rPr>
                <w:rFonts w:ascii="Arial" w:hAnsi="Arial" w:cs="Arial"/>
                <w:sz w:val="20"/>
                <w:szCs w:val="20"/>
              </w:rPr>
            </w:pPr>
            <w:r>
              <w:rPr>
                <w:rFonts w:ascii="Arial" w:hAnsi="Arial" w:cs="Arial"/>
                <w:sz w:val="20"/>
                <w:szCs w:val="20"/>
              </w:rPr>
              <w:t>SRR18856609</w:t>
            </w:r>
          </w:p>
        </w:tc>
        <w:tc>
          <w:tcPr>
            <w:tcW w:w="1152" w:type="dxa"/>
            <w:vAlign w:val="center"/>
          </w:tcPr>
          <w:p w14:paraId="10152C47" w14:textId="77777777" w:rsidR="00D35566" w:rsidRDefault="00000000">
            <w:pPr>
              <w:rPr>
                <w:rFonts w:ascii="Arial" w:hAnsi="Arial" w:cs="Arial"/>
                <w:sz w:val="20"/>
                <w:szCs w:val="20"/>
              </w:rPr>
            </w:pPr>
            <w:r>
              <w:rPr>
                <w:rFonts w:ascii="Arial" w:hAnsi="Arial" w:cs="Arial"/>
                <w:sz w:val="20"/>
                <w:szCs w:val="20"/>
              </w:rPr>
              <w:t>27.59</w:t>
            </w:r>
          </w:p>
        </w:tc>
        <w:tc>
          <w:tcPr>
            <w:tcW w:w="1123" w:type="dxa"/>
            <w:vAlign w:val="center"/>
          </w:tcPr>
          <w:p w14:paraId="17504EA0" w14:textId="77777777" w:rsidR="00D35566" w:rsidRDefault="00000000">
            <w:pPr>
              <w:rPr>
                <w:rFonts w:ascii="Arial" w:hAnsi="Arial" w:cs="Arial"/>
                <w:sz w:val="20"/>
                <w:szCs w:val="20"/>
              </w:rPr>
            </w:pPr>
            <w:r>
              <w:rPr>
                <w:rFonts w:ascii="Arial" w:hAnsi="Arial" w:cs="Arial"/>
                <w:sz w:val="20"/>
                <w:szCs w:val="20"/>
              </w:rPr>
              <w:t>8.3</w:t>
            </w:r>
          </w:p>
        </w:tc>
      </w:tr>
      <w:tr w:rsidR="00D35566" w14:paraId="0DB4F643" w14:textId="77777777">
        <w:trPr>
          <w:jc w:val="center"/>
        </w:trPr>
        <w:tc>
          <w:tcPr>
            <w:tcW w:w="1080" w:type="dxa"/>
            <w:vAlign w:val="center"/>
          </w:tcPr>
          <w:p w14:paraId="35CD39D4" w14:textId="77777777" w:rsidR="00D35566" w:rsidRDefault="00000000">
            <w:pPr>
              <w:rPr>
                <w:rFonts w:ascii="Arial" w:hAnsi="Arial" w:cs="Arial"/>
                <w:sz w:val="20"/>
                <w:szCs w:val="20"/>
              </w:rPr>
            </w:pPr>
            <w:r>
              <w:rPr>
                <w:rFonts w:ascii="Arial" w:hAnsi="Arial" w:cs="Arial"/>
                <w:sz w:val="20"/>
                <w:szCs w:val="20"/>
              </w:rPr>
              <w:t>GW_P2</w:t>
            </w:r>
          </w:p>
        </w:tc>
        <w:tc>
          <w:tcPr>
            <w:tcW w:w="1800" w:type="dxa"/>
            <w:vAlign w:val="center"/>
          </w:tcPr>
          <w:p w14:paraId="1D305774" w14:textId="77777777" w:rsidR="00D35566" w:rsidRDefault="00000000">
            <w:pPr>
              <w:rPr>
                <w:rFonts w:ascii="Arial" w:hAnsi="Arial" w:cs="Arial"/>
                <w:sz w:val="20"/>
                <w:szCs w:val="20"/>
              </w:rPr>
            </w:pPr>
            <w:proofErr w:type="spellStart"/>
            <w:r>
              <w:rPr>
                <w:rFonts w:ascii="Arial" w:hAnsi="Arial" w:cs="Arial"/>
                <w:sz w:val="20"/>
                <w:szCs w:val="20"/>
              </w:rPr>
              <w:t>Guiwei</w:t>
            </w:r>
            <w:proofErr w:type="spellEnd"/>
            <w:r>
              <w:rPr>
                <w:rFonts w:ascii="Arial" w:hAnsi="Arial" w:cs="Arial"/>
                <w:sz w:val="20"/>
                <w:szCs w:val="20"/>
              </w:rPr>
              <w:t xml:space="preserve"> P. </w:t>
            </w:r>
            <w:proofErr w:type="spellStart"/>
            <w:r>
              <w:rPr>
                <w:rFonts w:ascii="Arial" w:hAnsi="Arial" w:cs="Arial"/>
                <w:sz w:val="20"/>
                <w:szCs w:val="20"/>
              </w:rPr>
              <w:t>litchii</w:t>
            </w:r>
            <w:proofErr w:type="spellEnd"/>
          </w:p>
        </w:tc>
        <w:tc>
          <w:tcPr>
            <w:tcW w:w="1800" w:type="dxa"/>
            <w:vAlign w:val="center"/>
          </w:tcPr>
          <w:p w14:paraId="6297C405" w14:textId="77777777" w:rsidR="00D35566" w:rsidRDefault="00000000">
            <w:pPr>
              <w:rPr>
                <w:rFonts w:ascii="Arial" w:hAnsi="Arial" w:cs="Arial"/>
                <w:sz w:val="20"/>
                <w:szCs w:val="20"/>
              </w:rPr>
            </w:pPr>
            <w:r>
              <w:rPr>
                <w:rFonts w:ascii="Arial" w:hAnsi="Arial" w:cs="Arial"/>
                <w:sz w:val="20"/>
                <w:szCs w:val="20"/>
              </w:rPr>
              <w:t>GSM6053462</w:t>
            </w:r>
          </w:p>
        </w:tc>
        <w:tc>
          <w:tcPr>
            <w:tcW w:w="1756" w:type="dxa"/>
            <w:vAlign w:val="center"/>
          </w:tcPr>
          <w:p w14:paraId="7347ED92" w14:textId="77777777" w:rsidR="00D35566" w:rsidRDefault="00000000">
            <w:pPr>
              <w:rPr>
                <w:rFonts w:ascii="Arial" w:hAnsi="Arial" w:cs="Arial"/>
                <w:sz w:val="20"/>
                <w:szCs w:val="20"/>
              </w:rPr>
            </w:pPr>
            <w:r>
              <w:rPr>
                <w:rFonts w:ascii="Arial" w:hAnsi="Arial" w:cs="Arial"/>
                <w:sz w:val="20"/>
                <w:szCs w:val="20"/>
              </w:rPr>
              <w:t>SRR18856608</w:t>
            </w:r>
          </w:p>
        </w:tc>
        <w:tc>
          <w:tcPr>
            <w:tcW w:w="1152" w:type="dxa"/>
            <w:vAlign w:val="center"/>
          </w:tcPr>
          <w:p w14:paraId="2972009D" w14:textId="77777777" w:rsidR="00D35566" w:rsidRDefault="00000000">
            <w:pPr>
              <w:rPr>
                <w:rFonts w:ascii="Arial" w:hAnsi="Arial" w:cs="Arial"/>
                <w:sz w:val="20"/>
                <w:szCs w:val="20"/>
              </w:rPr>
            </w:pPr>
            <w:r>
              <w:rPr>
                <w:rFonts w:ascii="Arial" w:hAnsi="Arial" w:cs="Arial"/>
                <w:sz w:val="20"/>
                <w:szCs w:val="20"/>
              </w:rPr>
              <w:t>24.71</w:t>
            </w:r>
          </w:p>
        </w:tc>
        <w:tc>
          <w:tcPr>
            <w:tcW w:w="1123" w:type="dxa"/>
            <w:vAlign w:val="center"/>
          </w:tcPr>
          <w:p w14:paraId="158E4335" w14:textId="77777777" w:rsidR="00D35566" w:rsidRDefault="00000000">
            <w:pPr>
              <w:rPr>
                <w:rFonts w:ascii="Arial" w:hAnsi="Arial" w:cs="Arial"/>
                <w:sz w:val="20"/>
                <w:szCs w:val="20"/>
              </w:rPr>
            </w:pPr>
            <w:r>
              <w:rPr>
                <w:rFonts w:ascii="Arial" w:hAnsi="Arial" w:cs="Arial"/>
                <w:sz w:val="20"/>
                <w:szCs w:val="20"/>
              </w:rPr>
              <w:t>7.4</w:t>
            </w:r>
          </w:p>
        </w:tc>
      </w:tr>
      <w:tr w:rsidR="00D35566" w14:paraId="3C7F395C" w14:textId="77777777">
        <w:trPr>
          <w:jc w:val="center"/>
        </w:trPr>
        <w:tc>
          <w:tcPr>
            <w:tcW w:w="1080" w:type="dxa"/>
            <w:vAlign w:val="center"/>
          </w:tcPr>
          <w:p w14:paraId="7258300B" w14:textId="77777777" w:rsidR="00D35566" w:rsidRDefault="00000000">
            <w:pPr>
              <w:rPr>
                <w:rFonts w:ascii="Arial" w:hAnsi="Arial" w:cs="Arial"/>
                <w:sz w:val="20"/>
                <w:szCs w:val="20"/>
              </w:rPr>
            </w:pPr>
            <w:r>
              <w:rPr>
                <w:rFonts w:ascii="Arial" w:hAnsi="Arial" w:cs="Arial"/>
                <w:sz w:val="20"/>
                <w:szCs w:val="20"/>
              </w:rPr>
              <w:t>GW_P3</w:t>
            </w:r>
          </w:p>
        </w:tc>
        <w:tc>
          <w:tcPr>
            <w:tcW w:w="1800" w:type="dxa"/>
            <w:vAlign w:val="center"/>
          </w:tcPr>
          <w:p w14:paraId="3C380FAE" w14:textId="77777777" w:rsidR="00D35566" w:rsidRDefault="00000000">
            <w:pPr>
              <w:rPr>
                <w:rFonts w:ascii="Arial" w:hAnsi="Arial" w:cs="Arial"/>
                <w:sz w:val="20"/>
                <w:szCs w:val="20"/>
              </w:rPr>
            </w:pPr>
            <w:proofErr w:type="spellStart"/>
            <w:r>
              <w:rPr>
                <w:rFonts w:ascii="Arial" w:hAnsi="Arial" w:cs="Arial"/>
                <w:sz w:val="20"/>
                <w:szCs w:val="20"/>
              </w:rPr>
              <w:t>Guiwei</w:t>
            </w:r>
            <w:proofErr w:type="spellEnd"/>
            <w:r>
              <w:rPr>
                <w:rFonts w:ascii="Arial" w:hAnsi="Arial" w:cs="Arial"/>
                <w:sz w:val="20"/>
                <w:szCs w:val="20"/>
              </w:rPr>
              <w:t xml:space="preserve"> P. </w:t>
            </w:r>
            <w:proofErr w:type="spellStart"/>
            <w:r>
              <w:rPr>
                <w:rFonts w:ascii="Arial" w:hAnsi="Arial" w:cs="Arial"/>
                <w:sz w:val="20"/>
                <w:szCs w:val="20"/>
              </w:rPr>
              <w:t>litchii</w:t>
            </w:r>
            <w:proofErr w:type="spellEnd"/>
          </w:p>
        </w:tc>
        <w:tc>
          <w:tcPr>
            <w:tcW w:w="1800" w:type="dxa"/>
            <w:vAlign w:val="center"/>
          </w:tcPr>
          <w:p w14:paraId="4DBE5F73" w14:textId="77777777" w:rsidR="00D35566" w:rsidRDefault="00000000">
            <w:pPr>
              <w:rPr>
                <w:rFonts w:ascii="Arial" w:hAnsi="Arial" w:cs="Arial"/>
                <w:sz w:val="20"/>
                <w:szCs w:val="20"/>
              </w:rPr>
            </w:pPr>
            <w:r>
              <w:rPr>
                <w:rFonts w:ascii="Arial" w:hAnsi="Arial" w:cs="Arial"/>
                <w:sz w:val="20"/>
                <w:szCs w:val="20"/>
              </w:rPr>
              <w:t>GSM6053463</w:t>
            </w:r>
          </w:p>
        </w:tc>
        <w:tc>
          <w:tcPr>
            <w:tcW w:w="1756" w:type="dxa"/>
            <w:vAlign w:val="center"/>
          </w:tcPr>
          <w:p w14:paraId="1B60A56F" w14:textId="77777777" w:rsidR="00D35566" w:rsidRDefault="00000000">
            <w:pPr>
              <w:rPr>
                <w:rFonts w:ascii="Arial" w:hAnsi="Arial" w:cs="Arial"/>
                <w:sz w:val="20"/>
                <w:szCs w:val="20"/>
              </w:rPr>
            </w:pPr>
            <w:r>
              <w:rPr>
                <w:rFonts w:ascii="Arial" w:hAnsi="Arial" w:cs="Arial"/>
                <w:sz w:val="20"/>
                <w:szCs w:val="20"/>
              </w:rPr>
              <w:t>SRR18856607</w:t>
            </w:r>
          </w:p>
        </w:tc>
        <w:tc>
          <w:tcPr>
            <w:tcW w:w="1152" w:type="dxa"/>
            <w:vAlign w:val="center"/>
          </w:tcPr>
          <w:p w14:paraId="65B740F4" w14:textId="77777777" w:rsidR="00D35566" w:rsidRDefault="00000000">
            <w:pPr>
              <w:rPr>
                <w:rFonts w:ascii="Arial" w:hAnsi="Arial" w:cs="Arial"/>
                <w:sz w:val="20"/>
                <w:szCs w:val="20"/>
              </w:rPr>
            </w:pPr>
            <w:r>
              <w:rPr>
                <w:rFonts w:ascii="Arial" w:hAnsi="Arial" w:cs="Arial"/>
                <w:sz w:val="20"/>
                <w:szCs w:val="20"/>
              </w:rPr>
              <w:t>23.46</w:t>
            </w:r>
          </w:p>
        </w:tc>
        <w:tc>
          <w:tcPr>
            <w:tcW w:w="1123" w:type="dxa"/>
            <w:vAlign w:val="center"/>
          </w:tcPr>
          <w:p w14:paraId="4243C23B" w14:textId="77777777" w:rsidR="00D35566" w:rsidRDefault="00000000">
            <w:pPr>
              <w:rPr>
                <w:rFonts w:ascii="Arial" w:hAnsi="Arial" w:cs="Arial"/>
                <w:sz w:val="20"/>
                <w:szCs w:val="20"/>
              </w:rPr>
            </w:pPr>
            <w:r>
              <w:rPr>
                <w:rFonts w:ascii="Arial" w:hAnsi="Arial" w:cs="Arial"/>
                <w:sz w:val="20"/>
                <w:szCs w:val="20"/>
              </w:rPr>
              <w:t>7.0</w:t>
            </w:r>
          </w:p>
        </w:tc>
      </w:tr>
      <w:tr w:rsidR="00D35566" w14:paraId="0DDD2910" w14:textId="77777777">
        <w:trPr>
          <w:jc w:val="center"/>
        </w:trPr>
        <w:tc>
          <w:tcPr>
            <w:tcW w:w="1080" w:type="dxa"/>
            <w:vAlign w:val="center"/>
          </w:tcPr>
          <w:p w14:paraId="77C855C9" w14:textId="77777777" w:rsidR="00D35566" w:rsidRDefault="00000000">
            <w:pPr>
              <w:rPr>
                <w:rFonts w:ascii="Arial" w:hAnsi="Arial" w:cs="Arial"/>
                <w:sz w:val="20"/>
                <w:szCs w:val="20"/>
              </w:rPr>
            </w:pPr>
            <w:r>
              <w:rPr>
                <w:rFonts w:ascii="Arial" w:hAnsi="Arial" w:cs="Arial"/>
                <w:sz w:val="20"/>
                <w:szCs w:val="20"/>
              </w:rPr>
              <w:t>YR_M1</w:t>
            </w:r>
          </w:p>
        </w:tc>
        <w:tc>
          <w:tcPr>
            <w:tcW w:w="1800" w:type="dxa"/>
            <w:vAlign w:val="center"/>
          </w:tcPr>
          <w:p w14:paraId="5B8FF847" w14:textId="77777777" w:rsidR="00D35566" w:rsidRDefault="00000000">
            <w:pPr>
              <w:rPr>
                <w:rFonts w:ascii="Arial" w:hAnsi="Arial" w:cs="Arial"/>
                <w:sz w:val="20"/>
                <w:szCs w:val="20"/>
              </w:rPr>
            </w:pPr>
            <w:r>
              <w:rPr>
                <w:rFonts w:ascii="Arial" w:hAnsi="Arial" w:cs="Arial"/>
                <w:sz w:val="20"/>
                <w:szCs w:val="20"/>
              </w:rPr>
              <w:t>Yurong mock</w:t>
            </w:r>
          </w:p>
        </w:tc>
        <w:tc>
          <w:tcPr>
            <w:tcW w:w="1800" w:type="dxa"/>
            <w:vAlign w:val="center"/>
          </w:tcPr>
          <w:p w14:paraId="3D34AA2A" w14:textId="77777777" w:rsidR="00D35566" w:rsidRDefault="00000000">
            <w:pPr>
              <w:rPr>
                <w:rFonts w:ascii="Arial" w:hAnsi="Arial" w:cs="Arial"/>
                <w:sz w:val="20"/>
                <w:szCs w:val="20"/>
              </w:rPr>
            </w:pPr>
            <w:r>
              <w:rPr>
                <w:rFonts w:ascii="Arial" w:hAnsi="Arial" w:cs="Arial"/>
                <w:sz w:val="20"/>
                <w:szCs w:val="20"/>
              </w:rPr>
              <w:t>GSM6053464</w:t>
            </w:r>
          </w:p>
        </w:tc>
        <w:tc>
          <w:tcPr>
            <w:tcW w:w="1756" w:type="dxa"/>
            <w:vAlign w:val="center"/>
          </w:tcPr>
          <w:p w14:paraId="2870D617" w14:textId="77777777" w:rsidR="00D35566" w:rsidRDefault="00000000">
            <w:pPr>
              <w:rPr>
                <w:rFonts w:ascii="Arial" w:hAnsi="Arial" w:cs="Arial"/>
                <w:sz w:val="20"/>
                <w:szCs w:val="20"/>
              </w:rPr>
            </w:pPr>
            <w:r>
              <w:rPr>
                <w:rFonts w:ascii="Arial" w:hAnsi="Arial" w:cs="Arial"/>
                <w:sz w:val="20"/>
                <w:szCs w:val="20"/>
              </w:rPr>
              <w:t>SRR18856606</w:t>
            </w:r>
          </w:p>
        </w:tc>
        <w:tc>
          <w:tcPr>
            <w:tcW w:w="1152" w:type="dxa"/>
            <w:vAlign w:val="center"/>
          </w:tcPr>
          <w:p w14:paraId="0BD1F91D" w14:textId="77777777" w:rsidR="00D35566" w:rsidRDefault="00000000">
            <w:pPr>
              <w:rPr>
                <w:rFonts w:ascii="Arial" w:hAnsi="Arial" w:cs="Arial"/>
                <w:sz w:val="20"/>
                <w:szCs w:val="20"/>
              </w:rPr>
            </w:pPr>
            <w:r>
              <w:rPr>
                <w:rFonts w:ascii="Arial" w:hAnsi="Arial" w:cs="Arial"/>
                <w:sz w:val="20"/>
                <w:szCs w:val="20"/>
              </w:rPr>
              <w:t>22.91</w:t>
            </w:r>
          </w:p>
        </w:tc>
        <w:tc>
          <w:tcPr>
            <w:tcW w:w="1123" w:type="dxa"/>
            <w:vAlign w:val="center"/>
          </w:tcPr>
          <w:p w14:paraId="114E8F53" w14:textId="77777777" w:rsidR="00D35566" w:rsidRDefault="00000000">
            <w:pPr>
              <w:rPr>
                <w:rFonts w:ascii="Arial" w:hAnsi="Arial" w:cs="Arial"/>
                <w:sz w:val="20"/>
                <w:szCs w:val="20"/>
              </w:rPr>
            </w:pPr>
            <w:r>
              <w:rPr>
                <w:rFonts w:ascii="Arial" w:hAnsi="Arial" w:cs="Arial"/>
                <w:sz w:val="20"/>
                <w:szCs w:val="20"/>
              </w:rPr>
              <w:t>6.9</w:t>
            </w:r>
          </w:p>
        </w:tc>
      </w:tr>
      <w:tr w:rsidR="00D35566" w14:paraId="7B8C15BB" w14:textId="77777777">
        <w:trPr>
          <w:jc w:val="center"/>
        </w:trPr>
        <w:tc>
          <w:tcPr>
            <w:tcW w:w="1080" w:type="dxa"/>
            <w:vAlign w:val="center"/>
          </w:tcPr>
          <w:p w14:paraId="787D1058" w14:textId="77777777" w:rsidR="00D35566" w:rsidRDefault="00000000">
            <w:pPr>
              <w:rPr>
                <w:rFonts w:ascii="Arial" w:hAnsi="Arial" w:cs="Arial"/>
                <w:sz w:val="20"/>
                <w:szCs w:val="20"/>
              </w:rPr>
            </w:pPr>
            <w:r>
              <w:rPr>
                <w:rFonts w:ascii="Arial" w:hAnsi="Arial" w:cs="Arial"/>
                <w:sz w:val="20"/>
                <w:szCs w:val="20"/>
              </w:rPr>
              <w:t>YR_M2</w:t>
            </w:r>
          </w:p>
        </w:tc>
        <w:tc>
          <w:tcPr>
            <w:tcW w:w="1800" w:type="dxa"/>
            <w:vAlign w:val="center"/>
          </w:tcPr>
          <w:p w14:paraId="70E8EF62" w14:textId="77777777" w:rsidR="00D35566" w:rsidRDefault="00000000">
            <w:pPr>
              <w:rPr>
                <w:rFonts w:ascii="Arial" w:hAnsi="Arial" w:cs="Arial"/>
                <w:sz w:val="20"/>
                <w:szCs w:val="20"/>
              </w:rPr>
            </w:pPr>
            <w:r>
              <w:rPr>
                <w:rFonts w:ascii="Arial" w:hAnsi="Arial" w:cs="Arial"/>
                <w:sz w:val="20"/>
                <w:szCs w:val="20"/>
              </w:rPr>
              <w:t>Yurong mock</w:t>
            </w:r>
          </w:p>
        </w:tc>
        <w:tc>
          <w:tcPr>
            <w:tcW w:w="1800" w:type="dxa"/>
            <w:vAlign w:val="center"/>
          </w:tcPr>
          <w:p w14:paraId="333486B4" w14:textId="77777777" w:rsidR="00D35566" w:rsidRDefault="00000000">
            <w:pPr>
              <w:rPr>
                <w:rFonts w:ascii="Arial" w:hAnsi="Arial" w:cs="Arial"/>
                <w:sz w:val="20"/>
                <w:szCs w:val="20"/>
              </w:rPr>
            </w:pPr>
            <w:r>
              <w:rPr>
                <w:rFonts w:ascii="Arial" w:hAnsi="Arial" w:cs="Arial"/>
                <w:sz w:val="20"/>
                <w:szCs w:val="20"/>
              </w:rPr>
              <w:t>GSM6053465</w:t>
            </w:r>
          </w:p>
        </w:tc>
        <w:tc>
          <w:tcPr>
            <w:tcW w:w="1756" w:type="dxa"/>
            <w:vAlign w:val="center"/>
          </w:tcPr>
          <w:p w14:paraId="012063DD" w14:textId="77777777" w:rsidR="00D35566" w:rsidRDefault="00000000">
            <w:pPr>
              <w:rPr>
                <w:rFonts w:ascii="Arial" w:hAnsi="Arial" w:cs="Arial"/>
                <w:sz w:val="20"/>
                <w:szCs w:val="20"/>
              </w:rPr>
            </w:pPr>
            <w:r>
              <w:rPr>
                <w:rFonts w:ascii="Arial" w:hAnsi="Arial" w:cs="Arial"/>
                <w:sz w:val="20"/>
                <w:szCs w:val="20"/>
              </w:rPr>
              <w:t>SRR18856605</w:t>
            </w:r>
          </w:p>
        </w:tc>
        <w:tc>
          <w:tcPr>
            <w:tcW w:w="1152" w:type="dxa"/>
            <w:vAlign w:val="center"/>
          </w:tcPr>
          <w:p w14:paraId="52A3B8CD" w14:textId="77777777" w:rsidR="00D35566" w:rsidRDefault="00000000">
            <w:pPr>
              <w:rPr>
                <w:rFonts w:ascii="Arial" w:hAnsi="Arial" w:cs="Arial"/>
                <w:sz w:val="20"/>
                <w:szCs w:val="20"/>
              </w:rPr>
            </w:pPr>
            <w:r>
              <w:rPr>
                <w:rFonts w:ascii="Arial" w:hAnsi="Arial" w:cs="Arial"/>
                <w:sz w:val="20"/>
                <w:szCs w:val="20"/>
              </w:rPr>
              <w:t>23.50</w:t>
            </w:r>
          </w:p>
        </w:tc>
        <w:tc>
          <w:tcPr>
            <w:tcW w:w="1123" w:type="dxa"/>
            <w:vAlign w:val="center"/>
          </w:tcPr>
          <w:p w14:paraId="6DF56E0F" w14:textId="77777777" w:rsidR="00D35566" w:rsidRDefault="00000000">
            <w:pPr>
              <w:rPr>
                <w:rFonts w:ascii="Arial" w:hAnsi="Arial" w:cs="Arial"/>
                <w:sz w:val="20"/>
                <w:szCs w:val="20"/>
              </w:rPr>
            </w:pPr>
            <w:r>
              <w:rPr>
                <w:rFonts w:ascii="Arial" w:hAnsi="Arial" w:cs="Arial"/>
                <w:sz w:val="20"/>
                <w:szCs w:val="20"/>
              </w:rPr>
              <w:t>7.1</w:t>
            </w:r>
          </w:p>
        </w:tc>
      </w:tr>
      <w:tr w:rsidR="00D35566" w14:paraId="2EE475EE" w14:textId="77777777">
        <w:trPr>
          <w:jc w:val="center"/>
        </w:trPr>
        <w:tc>
          <w:tcPr>
            <w:tcW w:w="1080" w:type="dxa"/>
            <w:vAlign w:val="center"/>
          </w:tcPr>
          <w:p w14:paraId="482A9082" w14:textId="77777777" w:rsidR="00D35566" w:rsidRDefault="00000000">
            <w:pPr>
              <w:rPr>
                <w:rFonts w:ascii="Arial" w:hAnsi="Arial" w:cs="Arial"/>
                <w:sz w:val="20"/>
                <w:szCs w:val="20"/>
              </w:rPr>
            </w:pPr>
            <w:r>
              <w:rPr>
                <w:rFonts w:ascii="Arial" w:hAnsi="Arial" w:cs="Arial"/>
                <w:sz w:val="20"/>
                <w:szCs w:val="20"/>
              </w:rPr>
              <w:t>YR_M3</w:t>
            </w:r>
          </w:p>
        </w:tc>
        <w:tc>
          <w:tcPr>
            <w:tcW w:w="1800" w:type="dxa"/>
            <w:vAlign w:val="center"/>
          </w:tcPr>
          <w:p w14:paraId="23F6A285" w14:textId="77777777" w:rsidR="00D35566" w:rsidRDefault="00000000">
            <w:pPr>
              <w:rPr>
                <w:rFonts w:ascii="Arial" w:hAnsi="Arial" w:cs="Arial"/>
                <w:sz w:val="20"/>
                <w:szCs w:val="20"/>
              </w:rPr>
            </w:pPr>
            <w:r>
              <w:rPr>
                <w:rFonts w:ascii="Arial" w:hAnsi="Arial" w:cs="Arial"/>
                <w:sz w:val="20"/>
                <w:szCs w:val="20"/>
              </w:rPr>
              <w:t>Yurong mock</w:t>
            </w:r>
          </w:p>
        </w:tc>
        <w:tc>
          <w:tcPr>
            <w:tcW w:w="1800" w:type="dxa"/>
            <w:vAlign w:val="center"/>
          </w:tcPr>
          <w:p w14:paraId="47C5933F" w14:textId="77777777" w:rsidR="00D35566" w:rsidRDefault="00000000">
            <w:pPr>
              <w:rPr>
                <w:rFonts w:ascii="Arial" w:hAnsi="Arial" w:cs="Arial"/>
                <w:sz w:val="20"/>
                <w:szCs w:val="20"/>
              </w:rPr>
            </w:pPr>
            <w:r>
              <w:rPr>
                <w:rFonts w:ascii="Arial" w:hAnsi="Arial" w:cs="Arial"/>
                <w:sz w:val="20"/>
                <w:szCs w:val="20"/>
              </w:rPr>
              <w:t>GSM6053466</w:t>
            </w:r>
          </w:p>
        </w:tc>
        <w:tc>
          <w:tcPr>
            <w:tcW w:w="1756" w:type="dxa"/>
            <w:vAlign w:val="center"/>
          </w:tcPr>
          <w:p w14:paraId="01AEA3F1" w14:textId="77777777" w:rsidR="00D35566" w:rsidRDefault="00000000">
            <w:pPr>
              <w:rPr>
                <w:rFonts w:ascii="Arial" w:hAnsi="Arial" w:cs="Arial"/>
                <w:sz w:val="20"/>
                <w:szCs w:val="20"/>
              </w:rPr>
            </w:pPr>
            <w:r>
              <w:rPr>
                <w:rFonts w:ascii="Arial" w:hAnsi="Arial" w:cs="Arial"/>
                <w:sz w:val="20"/>
                <w:szCs w:val="20"/>
              </w:rPr>
              <w:t>SRR18856604</w:t>
            </w:r>
          </w:p>
        </w:tc>
        <w:tc>
          <w:tcPr>
            <w:tcW w:w="1152" w:type="dxa"/>
            <w:vAlign w:val="center"/>
          </w:tcPr>
          <w:p w14:paraId="23D4160A" w14:textId="77777777" w:rsidR="00D35566" w:rsidRDefault="00000000">
            <w:pPr>
              <w:rPr>
                <w:rFonts w:ascii="Arial" w:hAnsi="Arial" w:cs="Arial"/>
                <w:sz w:val="20"/>
                <w:szCs w:val="20"/>
              </w:rPr>
            </w:pPr>
            <w:r>
              <w:rPr>
                <w:rFonts w:ascii="Arial" w:hAnsi="Arial" w:cs="Arial"/>
                <w:sz w:val="20"/>
                <w:szCs w:val="20"/>
              </w:rPr>
              <w:t>23.55</w:t>
            </w:r>
          </w:p>
        </w:tc>
        <w:tc>
          <w:tcPr>
            <w:tcW w:w="1123" w:type="dxa"/>
            <w:vAlign w:val="center"/>
          </w:tcPr>
          <w:p w14:paraId="1A5E4E09" w14:textId="77777777" w:rsidR="00D35566" w:rsidRDefault="00000000">
            <w:pPr>
              <w:rPr>
                <w:rFonts w:ascii="Arial" w:hAnsi="Arial" w:cs="Arial"/>
                <w:sz w:val="20"/>
                <w:szCs w:val="20"/>
              </w:rPr>
            </w:pPr>
            <w:r>
              <w:rPr>
                <w:rFonts w:ascii="Arial" w:hAnsi="Arial" w:cs="Arial"/>
                <w:sz w:val="20"/>
                <w:szCs w:val="20"/>
              </w:rPr>
              <w:t>7.1</w:t>
            </w:r>
          </w:p>
        </w:tc>
      </w:tr>
      <w:tr w:rsidR="00D35566" w14:paraId="33522464" w14:textId="77777777">
        <w:trPr>
          <w:jc w:val="center"/>
        </w:trPr>
        <w:tc>
          <w:tcPr>
            <w:tcW w:w="1080" w:type="dxa"/>
            <w:vAlign w:val="center"/>
          </w:tcPr>
          <w:p w14:paraId="0D8CE9F4" w14:textId="77777777" w:rsidR="00D35566" w:rsidRDefault="00000000">
            <w:pPr>
              <w:rPr>
                <w:rFonts w:ascii="Arial" w:hAnsi="Arial" w:cs="Arial"/>
                <w:sz w:val="20"/>
                <w:szCs w:val="20"/>
              </w:rPr>
            </w:pPr>
            <w:r>
              <w:rPr>
                <w:rFonts w:ascii="Arial" w:hAnsi="Arial" w:cs="Arial"/>
                <w:sz w:val="20"/>
                <w:szCs w:val="20"/>
              </w:rPr>
              <w:t>YR_P1</w:t>
            </w:r>
          </w:p>
        </w:tc>
        <w:tc>
          <w:tcPr>
            <w:tcW w:w="1800" w:type="dxa"/>
            <w:vAlign w:val="center"/>
          </w:tcPr>
          <w:p w14:paraId="71F7FBD9" w14:textId="77777777" w:rsidR="00D35566" w:rsidRDefault="00000000">
            <w:pPr>
              <w:rPr>
                <w:rFonts w:ascii="Arial" w:hAnsi="Arial" w:cs="Arial"/>
                <w:sz w:val="20"/>
                <w:szCs w:val="20"/>
              </w:rPr>
            </w:pPr>
            <w:r>
              <w:rPr>
                <w:rFonts w:ascii="Arial" w:hAnsi="Arial" w:cs="Arial"/>
                <w:sz w:val="20"/>
                <w:szCs w:val="20"/>
              </w:rPr>
              <w:t xml:space="preserve">Yurong P. </w:t>
            </w:r>
            <w:proofErr w:type="spellStart"/>
            <w:r>
              <w:rPr>
                <w:rFonts w:ascii="Arial" w:hAnsi="Arial" w:cs="Arial"/>
                <w:sz w:val="20"/>
                <w:szCs w:val="20"/>
              </w:rPr>
              <w:t>litchii</w:t>
            </w:r>
            <w:proofErr w:type="spellEnd"/>
          </w:p>
        </w:tc>
        <w:tc>
          <w:tcPr>
            <w:tcW w:w="1800" w:type="dxa"/>
            <w:vAlign w:val="center"/>
          </w:tcPr>
          <w:p w14:paraId="5185953D" w14:textId="77777777" w:rsidR="00D35566" w:rsidRDefault="00000000">
            <w:pPr>
              <w:rPr>
                <w:rFonts w:ascii="Arial" w:hAnsi="Arial" w:cs="Arial"/>
                <w:sz w:val="20"/>
                <w:szCs w:val="20"/>
              </w:rPr>
            </w:pPr>
            <w:r>
              <w:rPr>
                <w:rFonts w:ascii="Arial" w:hAnsi="Arial" w:cs="Arial"/>
                <w:sz w:val="20"/>
                <w:szCs w:val="20"/>
              </w:rPr>
              <w:t>GSM6053467</w:t>
            </w:r>
          </w:p>
        </w:tc>
        <w:tc>
          <w:tcPr>
            <w:tcW w:w="1756" w:type="dxa"/>
            <w:vAlign w:val="center"/>
          </w:tcPr>
          <w:p w14:paraId="0CBB2419" w14:textId="77777777" w:rsidR="00D35566" w:rsidRDefault="00000000">
            <w:pPr>
              <w:rPr>
                <w:rFonts w:ascii="Arial" w:hAnsi="Arial" w:cs="Arial"/>
                <w:sz w:val="20"/>
                <w:szCs w:val="20"/>
              </w:rPr>
            </w:pPr>
            <w:r>
              <w:rPr>
                <w:rFonts w:ascii="Arial" w:hAnsi="Arial" w:cs="Arial"/>
                <w:sz w:val="20"/>
                <w:szCs w:val="20"/>
              </w:rPr>
              <w:t>SRR18856603</w:t>
            </w:r>
          </w:p>
        </w:tc>
        <w:tc>
          <w:tcPr>
            <w:tcW w:w="1152" w:type="dxa"/>
            <w:vAlign w:val="center"/>
          </w:tcPr>
          <w:p w14:paraId="02648BE2" w14:textId="77777777" w:rsidR="00D35566" w:rsidRDefault="00000000">
            <w:pPr>
              <w:rPr>
                <w:rFonts w:ascii="Arial" w:hAnsi="Arial" w:cs="Arial"/>
                <w:sz w:val="20"/>
                <w:szCs w:val="20"/>
              </w:rPr>
            </w:pPr>
            <w:r>
              <w:rPr>
                <w:rFonts w:ascii="Arial" w:hAnsi="Arial" w:cs="Arial"/>
                <w:sz w:val="20"/>
                <w:szCs w:val="20"/>
              </w:rPr>
              <w:t>22.56</w:t>
            </w:r>
          </w:p>
        </w:tc>
        <w:tc>
          <w:tcPr>
            <w:tcW w:w="1123" w:type="dxa"/>
            <w:vAlign w:val="center"/>
          </w:tcPr>
          <w:p w14:paraId="66570470" w14:textId="77777777" w:rsidR="00D35566" w:rsidRDefault="00000000">
            <w:pPr>
              <w:rPr>
                <w:rFonts w:ascii="Arial" w:hAnsi="Arial" w:cs="Arial"/>
                <w:sz w:val="20"/>
                <w:szCs w:val="20"/>
              </w:rPr>
            </w:pPr>
            <w:r>
              <w:rPr>
                <w:rFonts w:ascii="Arial" w:hAnsi="Arial" w:cs="Arial"/>
                <w:sz w:val="20"/>
                <w:szCs w:val="20"/>
              </w:rPr>
              <w:t>6.8</w:t>
            </w:r>
          </w:p>
        </w:tc>
      </w:tr>
      <w:tr w:rsidR="00D35566" w14:paraId="25F6ED0B" w14:textId="77777777">
        <w:trPr>
          <w:jc w:val="center"/>
        </w:trPr>
        <w:tc>
          <w:tcPr>
            <w:tcW w:w="1080" w:type="dxa"/>
            <w:vAlign w:val="center"/>
          </w:tcPr>
          <w:p w14:paraId="714AE9CA" w14:textId="77777777" w:rsidR="00D35566" w:rsidRDefault="00000000">
            <w:pPr>
              <w:rPr>
                <w:rFonts w:ascii="Arial" w:hAnsi="Arial" w:cs="Arial"/>
                <w:sz w:val="20"/>
                <w:szCs w:val="20"/>
              </w:rPr>
            </w:pPr>
            <w:r>
              <w:rPr>
                <w:rFonts w:ascii="Arial" w:hAnsi="Arial" w:cs="Arial"/>
                <w:sz w:val="20"/>
                <w:szCs w:val="20"/>
              </w:rPr>
              <w:t>YR_P2</w:t>
            </w:r>
          </w:p>
        </w:tc>
        <w:tc>
          <w:tcPr>
            <w:tcW w:w="1800" w:type="dxa"/>
            <w:vAlign w:val="center"/>
          </w:tcPr>
          <w:p w14:paraId="61F7E5F0" w14:textId="77777777" w:rsidR="00D35566" w:rsidRDefault="00000000">
            <w:pPr>
              <w:rPr>
                <w:rFonts w:ascii="Arial" w:hAnsi="Arial" w:cs="Arial"/>
                <w:sz w:val="20"/>
                <w:szCs w:val="20"/>
              </w:rPr>
            </w:pPr>
            <w:r>
              <w:rPr>
                <w:rFonts w:ascii="Arial" w:hAnsi="Arial" w:cs="Arial"/>
                <w:sz w:val="20"/>
                <w:szCs w:val="20"/>
              </w:rPr>
              <w:t xml:space="preserve">Yurong P. </w:t>
            </w:r>
            <w:proofErr w:type="spellStart"/>
            <w:r>
              <w:rPr>
                <w:rFonts w:ascii="Arial" w:hAnsi="Arial" w:cs="Arial"/>
                <w:sz w:val="20"/>
                <w:szCs w:val="20"/>
              </w:rPr>
              <w:t>litchii</w:t>
            </w:r>
            <w:proofErr w:type="spellEnd"/>
          </w:p>
        </w:tc>
        <w:tc>
          <w:tcPr>
            <w:tcW w:w="1800" w:type="dxa"/>
            <w:vAlign w:val="center"/>
          </w:tcPr>
          <w:p w14:paraId="7E3D1641" w14:textId="77777777" w:rsidR="00D35566" w:rsidRDefault="00000000">
            <w:pPr>
              <w:rPr>
                <w:rFonts w:ascii="Arial" w:hAnsi="Arial" w:cs="Arial"/>
                <w:sz w:val="20"/>
                <w:szCs w:val="20"/>
              </w:rPr>
            </w:pPr>
            <w:r>
              <w:rPr>
                <w:rFonts w:ascii="Arial" w:hAnsi="Arial" w:cs="Arial"/>
                <w:sz w:val="20"/>
                <w:szCs w:val="20"/>
              </w:rPr>
              <w:t>GSM6053468</w:t>
            </w:r>
          </w:p>
        </w:tc>
        <w:tc>
          <w:tcPr>
            <w:tcW w:w="1756" w:type="dxa"/>
            <w:vAlign w:val="center"/>
          </w:tcPr>
          <w:p w14:paraId="088BB54D" w14:textId="77777777" w:rsidR="00D35566" w:rsidRDefault="00000000">
            <w:pPr>
              <w:rPr>
                <w:rFonts w:ascii="Arial" w:hAnsi="Arial" w:cs="Arial"/>
                <w:sz w:val="20"/>
                <w:szCs w:val="20"/>
              </w:rPr>
            </w:pPr>
            <w:r>
              <w:rPr>
                <w:rFonts w:ascii="Arial" w:hAnsi="Arial" w:cs="Arial"/>
                <w:sz w:val="20"/>
                <w:szCs w:val="20"/>
              </w:rPr>
              <w:t>SRR18856602</w:t>
            </w:r>
          </w:p>
        </w:tc>
        <w:tc>
          <w:tcPr>
            <w:tcW w:w="1152" w:type="dxa"/>
            <w:vAlign w:val="center"/>
          </w:tcPr>
          <w:p w14:paraId="72B6FDD9" w14:textId="77777777" w:rsidR="00D35566" w:rsidRDefault="00000000">
            <w:pPr>
              <w:rPr>
                <w:rFonts w:ascii="Arial" w:hAnsi="Arial" w:cs="Arial"/>
                <w:sz w:val="20"/>
                <w:szCs w:val="20"/>
              </w:rPr>
            </w:pPr>
            <w:r>
              <w:rPr>
                <w:rFonts w:ascii="Arial" w:hAnsi="Arial" w:cs="Arial"/>
                <w:sz w:val="20"/>
                <w:szCs w:val="20"/>
              </w:rPr>
              <w:t>23.19</w:t>
            </w:r>
          </w:p>
        </w:tc>
        <w:tc>
          <w:tcPr>
            <w:tcW w:w="1123" w:type="dxa"/>
            <w:vAlign w:val="center"/>
          </w:tcPr>
          <w:p w14:paraId="7135547B" w14:textId="77777777" w:rsidR="00D35566" w:rsidRDefault="00000000">
            <w:pPr>
              <w:rPr>
                <w:rFonts w:ascii="Arial" w:hAnsi="Arial" w:cs="Arial"/>
                <w:sz w:val="20"/>
                <w:szCs w:val="20"/>
              </w:rPr>
            </w:pPr>
            <w:r>
              <w:rPr>
                <w:rFonts w:ascii="Arial" w:hAnsi="Arial" w:cs="Arial"/>
                <w:sz w:val="20"/>
                <w:szCs w:val="20"/>
              </w:rPr>
              <w:t>7.0</w:t>
            </w:r>
          </w:p>
        </w:tc>
      </w:tr>
      <w:tr w:rsidR="00D35566" w14:paraId="5365339D" w14:textId="77777777">
        <w:trPr>
          <w:jc w:val="center"/>
        </w:trPr>
        <w:tc>
          <w:tcPr>
            <w:tcW w:w="1080" w:type="dxa"/>
            <w:vAlign w:val="center"/>
          </w:tcPr>
          <w:p w14:paraId="0CF08A4D" w14:textId="77777777" w:rsidR="00D35566" w:rsidRDefault="00000000">
            <w:pPr>
              <w:rPr>
                <w:rFonts w:ascii="Arial" w:hAnsi="Arial" w:cs="Arial"/>
                <w:sz w:val="20"/>
                <w:szCs w:val="20"/>
              </w:rPr>
            </w:pPr>
            <w:r>
              <w:rPr>
                <w:rFonts w:ascii="Arial" w:hAnsi="Arial" w:cs="Arial"/>
                <w:sz w:val="20"/>
                <w:szCs w:val="20"/>
              </w:rPr>
              <w:t>YR_P3</w:t>
            </w:r>
          </w:p>
        </w:tc>
        <w:tc>
          <w:tcPr>
            <w:tcW w:w="1800" w:type="dxa"/>
            <w:vAlign w:val="center"/>
          </w:tcPr>
          <w:p w14:paraId="02F67482" w14:textId="77777777" w:rsidR="00D35566" w:rsidRDefault="00000000">
            <w:pPr>
              <w:rPr>
                <w:rFonts w:ascii="Arial" w:hAnsi="Arial" w:cs="Arial"/>
                <w:sz w:val="20"/>
                <w:szCs w:val="20"/>
              </w:rPr>
            </w:pPr>
            <w:r>
              <w:rPr>
                <w:rFonts w:ascii="Arial" w:hAnsi="Arial" w:cs="Arial"/>
                <w:sz w:val="20"/>
                <w:szCs w:val="20"/>
              </w:rPr>
              <w:t xml:space="preserve">Yurong P. </w:t>
            </w:r>
            <w:proofErr w:type="spellStart"/>
            <w:r>
              <w:rPr>
                <w:rFonts w:ascii="Arial" w:hAnsi="Arial" w:cs="Arial"/>
                <w:sz w:val="20"/>
                <w:szCs w:val="20"/>
              </w:rPr>
              <w:t>litchii</w:t>
            </w:r>
            <w:proofErr w:type="spellEnd"/>
          </w:p>
        </w:tc>
        <w:tc>
          <w:tcPr>
            <w:tcW w:w="1800" w:type="dxa"/>
            <w:vAlign w:val="center"/>
          </w:tcPr>
          <w:p w14:paraId="43E04C1C" w14:textId="77777777" w:rsidR="00D35566" w:rsidRDefault="00000000">
            <w:pPr>
              <w:rPr>
                <w:rFonts w:ascii="Arial" w:hAnsi="Arial" w:cs="Arial"/>
                <w:sz w:val="20"/>
                <w:szCs w:val="20"/>
              </w:rPr>
            </w:pPr>
            <w:r>
              <w:rPr>
                <w:rFonts w:ascii="Arial" w:hAnsi="Arial" w:cs="Arial"/>
                <w:sz w:val="20"/>
                <w:szCs w:val="20"/>
              </w:rPr>
              <w:t>GSM6053469</w:t>
            </w:r>
          </w:p>
        </w:tc>
        <w:tc>
          <w:tcPr>
            <w:tcW w:w="1756" w:type="dxa"/>
            <w:vAlign w:val="center"/>
          </w:tcPr>
          <w:p w14:paraId="0ED4A073" w14:textId="77777777" w:rsidR="00D35566" w:rsidRDefault="00000000">
            <w:pPr>
              <w:rPr>
                <w:rFonts w:ascii="Arial" w:hAnsi="Arial" w:cs="Arial"/>
                <w:sz w:val="20"/>
                <w:szCs w:val="20"/>
              </w:rPr>
            </w:pPr>
            <w:r>
              <w:rPr>
                <w:rFonts w:ascii="Arial" w:hAnsi="Arial" w:cs="Arial"/>
                <w:sz w:val="20"/>
                <w:szCs w:val="20"/>
              </w:rPr>
              <w:t>SRR18856601</w:t>
            </w:r>
          </w:p>
        </w:tc>
        <w:tc>
          <w:tcPr>
            <w:tcW w:w="1152" w:type="dxa"/>
            <w:vAlign w:val="center"/>
          </w:tcPr>
          <w:p w14:paraId="0E1C10D4" w14:textId="77777777" w:rsidR="00D35566" w:rsidRDefault="00000000">
            <w:pPr>
              <w:rPr>
                <w:rFonts w:ascii="Arial" w:hAnsi="Arial" w:cs="Arial"/>
                <w:sz w:val="20"/>
                <w:szCs w:val="20"/>
              </w:rPr>
            </w:pPr>
            <w:r>
              <w:rPr>
                <w:rFonts w:ascii="Arial" w:hAnsi="Arial" w:cs="Arial"/>
                <w:sz w:val="20"/>
                <w:szCs w:val="20"/>
              </w:rPr>
              <w:t>21.33</w:t>
            </w:r>
          </w:p>
        </w:tc>
        <w:tc>
          <w:tcPr>
            <w:tcW w:w="1123" w:type="dxa"/>
            <w:vAlign w:val="center"/>
          </w:tcPr>
          <w:p w14:paraId="65BE5F91" w14:textId="77777777" w:rsidR="00D35566" w:rsidRDefault="00000000">
            <w:pPr>
              <w:rPr>
                <w:rFonts w:ascii="Arial" w:hAnsi="Arial" w:cs="Arial"/>
                <w:sz w:val="20"/>
                <w:szCs w:val="20"/>
              </w:rPr>
            </w:pPr>
            <w:r>
              <w:rPr>
                <w:rFonts w:ascii="Arial" w:hAnsi="Arial" w:cs="Arial"/>
                <w:sz w:val="20"/>
                <w:szCs w:val="20"/>
              </w:rPr>
              <w:t>6.4</w:t>
            </w:r>
          </w:p>
        </w:tc>
      </w:tr>
    </w:tbl>
    <w:p w14:paraId="6C79E420" w14:textId="77777777" w:rsidR="00D35566" w:rsidRDefault="00000000">
      <w:pPr>
        <w:pStyle w:val="Caption"/>
        <w:spacing w:after="0"/>
        <w:rPr>
          <w:rFonts w:ascii="Arial" w:hAnsi="Arial" w:cs="Arial"/>
          <w:b/>
          <w:bCs/>
          <w:sz w:val="22"/>
          <w:szCs w:val="22"/>
        </w:rPr>
      </w:pPr>
      <w:r>
        <w:rPr>
          <w:rFonts w:ascii="Arial" w:hAnsi="Arial" w:cs="Arial"/>
          <w:b/>
          <w:bCs/>
          <w:sz w:val="22"/>
          <w:szCs w:val="22"/>
        </w:rPr>
        <w:t>Table 1. Sample groups and SRA run-depth summary for GSE201243.</w:t>
      </w:r>
    </w:p>
    <w:p w14:paraId="1B319484" w14:textId="77777777" w:rsidR="00D35566" w:rsidRDefault="00000000">
      <w:pPr>
        <w:pStyle w:val="BodyTextIndent1"/>
        <w:ind w:firstLine="0"/>
        <w:rPr>
          <w:szCs w:val="22"/>
        </w:rPr>
      </w:pPr>
      <w:r>
        <w:t xml:space="preserve">Note: M = million; Gb = </w:t>
      </w:r>
      <w:proofErr w:type="spellStart"/>
      <w:r>
        <w:t>gigabases</w:t>
      </w:r>
      <w:proofErr w:type="spellEnd"/>
      <w:r>
        <w:t>. SRA spots are the run-level sequencing spots reported by NCBI SRA for the paired-end RNA-seq libraries.</w:t>
      </w:r>
    </w:p>
    <w:p w14:paraId="581B4D37" w14:textId="77777777" w:rsidR="00D35566" w:rsidRDefault="00000000">
      <w:pPr>
        <w:pStyle w:val="BodyTextIndent1"/>
      </w:pPr>
      <w:proofErr w:type="gramStart"/>
      <w:r>
        <w:t>Run-depth</w:t>
      </w:r>
      <w:proofErr w:type="gramEnd"/>
      <w:r>
        <w:t xml:space="preserve"> across the 12 libraries ranged from 21.33 million spots (YR_P3) to 27.59 million spots (GW_P1), with a median of 23.53 million spots and an interquartile range of 23.12-25.29 million spots. The maximum/minimum ratio was 1.29, indicating moderate but not extreme sequencing-depth variation. Therefore, no sample was excluded based on SRA run-depth metadata.</w:t>
      </w:r>
    </w:p>
    <w:p w14:paraId="2A6E18D7" w14:textId="77777777" w:rsidR="00D35566" w:rsidRDefault="00000000">
      <w:pPr>
        <w:pStyle w:val="BodyTextIndent1"/>
      </w:pPr>
      <w:r>
        <w:t>PCA and hierarchical clustering were then performed as a metadata-level QC screen using standardized SRA run metrics (spot count, total bases, and downloaded file size). The resulting PCA and dendrogram separated libraries mainly by sequencing depth rather than by cultivar or treatment (Figure 1). No single run was isolated from all others in this metric space. This QC screen cannot substitute for transcriptome-level PCA based on variance-stabilized raw counts, but it documents the sample groups and did not reveal an obvious run-depth outlier.</w:t>
      </w:r>
    </w:p>
    <w:p w14:paraId="5CBBAC1F" w14:textId="77777777" w:rsidR="00D35566" w:rsidRDefault="00000000">
      <w:pPr>
        <w:jc w:val="center"/>
      </w:pPr>
      <w:r>
        <w:rPr>
          <w:noProof/>
        </w:rPr>
        <w:lastRenderedPageBreak/>
        <w:drawing>
          <wp:inline distT="0" distB="0" distL="0" distR="0" wp14:anchorId="2EC1835E" wp14:editId="50D96964">
            <wp:extent cx="5806440" cy="3888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06440" cy="3888327"/>
                    </a:xfrm>
                    <a:prstGeom prst="rect">
                      <a:avLst/>
                    </a:prstGeom>
                  </pic:spPr>
                </pic:pic>
              </a:graphicData>
            </a:graphic>
          </wp:inline>
        </w:drawing>
      </w:r>
    </w:p>
    <w:p w14:paraId="26C70E0F" w14:textId="77777777" w:rsidR="00D35566" w:rsidRDefault="00000000">
      <w:pPr>
        <w:pStyle w:val="Caption"/>
        <w:spacing w:after="0"/>
        <w:rPr>
          <w:rFonts w:ascii="Arial" w:hAnsi="Arial" w:cs="Arial"/>
          <w:b/>
          <w:bCs/>
          <w:sz w:val="22"/>
          <w:szCs w:val="22"/>
        </w:rPr>
      </w:pPr>
      <w:r>
        <w:rPr>
          <w:rFonts w:ascii="Arial" w:hAnsi="Arial" w:cs="Arial"/>
          <w:b/>
          <w:bCs/>
          <w:sz w:val="22"/>
          <w:szCs w:val="22"/>
        </w:rPr>
        <w:t>Figure 1. Metadata-level sequencing quality-control summary for GSE201243. (A) SRA run spots for each library; the dashed line indicates the median. (B) PCA based on standardized run-level metrics (spot count, total bases, and downloaded file size). (C) Hierarchical clustering based on the same standardized run-level metrics. The analysis did not identify an obvious sequencing-depth outlier.</w:t>
      </w:r>
    </w:p>
    <w:p w14:paraId="3D732566" w14:textId="77777777" w:rsidR="00D35566" w:rsidRDefault="00000000">
      <w:pPr>
        <w:pStyle w:val="BodyTextIndent1"/>
        <w:ind w:firstLine="0"/>
        <w:rPr>
          <w:b/>
          <w:bCs/>
          <w:i/>
          <w:iCs/>
          <w:szCs w:val="22"/>
        </w:rPr>
      </w:pPr>
      <w:r>
        <w:rPr>
          <w:b/>
          <w:bCs/>
          <w:i/>
          <w:iCs/>
        </w:rPr>
        <w:t>Pairwise differential-expression overview</w:t>
      </w:r>
    </w:p>
    <w:p w14:paraId="056E8CA1" w14:textId="77777777" w:rsidR="00D35566" w:rsidRDefault="00000000">
      <w:pPr>
        <w:pStyle w:val="BodyTextIndent1"/>
      </w:pPr>
      <w:r>
        <w:t xml:space="preserve">Volcano plots were generated using log2 fold change and -log10(P value) (Figure 2). Genes with adjusted P values below 0.05 were considered significantly differentially expressed. Under this threshold, </w:t>
      </w:r>
      <w:proofErr w:type="spellStart"/>
      <w:r>
        <w:t>Guiwei</w:t>
      </w:r>
      <w:proofErr w:type="spellEnd"/>
      <w:r>
        <w:t xml:space="preserve"> had 15 upregulated and 2 downregulated genes, whereas Yurong had 39 upregulated and 78 downregulated genes. The larger number of differentially expressed genes in Yurong suggests a stronger or broader transcriptional response to </w:t>
      </w:r>
      <w:r>
        <w:rPr>
          <w:i/>
        </w:rPr>
        <w:t xml:space="preserve">P. </w:t>
      </w:r>
      <w:proofErr w:type="spellStart"/>
      <w:r>
        <w:rPr>
          <w:i/>
        </w:rPr>
        <w:t>litchii</w:t>
      </w:r>
      <w:proofErr w:type="spellEnd"/>
      <w:r>
        <w:t xml:space="preserve"> inoculation.</w:t>
      </w:r>
    </w:p>
    <w:p w14:paraId="7D15B668" w14:textId="77777777" w:rsidR="00D35566" w:rsidRDefault="00000000">
      <w:pPr>
        <w:jc w:val="center"/>
      </w:pPr>
      <w:r>
        <w:rPr>
          <w:noProof/>
        </w:rPr>
        <w:lastRenderedPageBreak/>
        <w:drawing>
          <wp:inline distT="0" distB="0" distL="0" distR="0" wp14:anchorId="3FACFCAB" wp14:editId="6A65EFB4">
            <wp:extent cx="4100945" cy="29768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100945" cy="2976828"/>
                    </a:xfrm>
                    <a:prstGeom prst="rect">
                      <a:avLst/>
                    </a:prstGeom>
                  </pic:spPr>
                </pic:pic>
              </a:graphicData>
            </a:graphic>
          </wp:inline>
        </w:drawing>
      </w:r>
      <w:r>
        <w:br/>
      </w:r>
      <w:r>
        <w:rPr>
          <w:noProof/>
        </w:rPr>
        <w:drawing>
          <wp:inline distT="0" distB="0" distL="0" distR="0" wp14:anchorId="63A9C672" wp14:editId="032EFF80">
            <wp:extent cx="4067695" cy="3273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067695" cy="3273131"/>
                    </a:xfrm>
                    <a:prstGeom prst="rect">
                      <a:avLst/>
                    </a:prstGeom>
                  </pic:spPr>
                </pic:pic>
              </a:graphicData>
            </a:graphic>
          </wp:inline>
        </w:drawing>
      </w:r>
    </w:p>
    <w:p w14:paraId="45039D48" w14:textId="77777777" w:rsidR="00D35566" w:rsidRDefault="00000000">
      <w:pPr>
        <w:pStyle w:val="Caption"/>
        <w:spacing w:after="0"/>
        <w:rPr>
          <w:rFonts w:ascii="Arial" w:hAnsi="Arial" w:cs="Arial"/>
          <w:b/>
          <w:bCs/>
          <w:sz w:val="22"/>
          <w:szCs w:val="22"/>
        </w:rPr>
      </w:pPr>
      <w:r>
        <w:rPr>
          <w:rFonts w:ascii="Arial" w:hAnsi="Arial" w:cs="Arial"/>
          <w:b/>
          <w:bCs/>
          <w:sz w:val="22"/>
          <w:szCs w:val="22"/>
        </w:rPr>
        <w:t xml:space="preserve">Figure 2. Volcano plots of differentially expressed genes in GSE201243. Top: </w:t>
      </w:r>
      <w:proofErr w:type="spellStart"/>
      <w:r>
        <w:rPr>
          <w:rFonts w:ascii="Arial" w:hAnsi="Arial" w:cs="Arial"/>
          <w:b/>
          <w:bCs/>
          <w:sz w:val="22"/>
          <w:szCs w:val="22"/>
        </w:rPr>
        <w:t>Guiwei</w:t>
      </w:r>
      <w:proofErr w:type="spellEnd"/>
      <w:r>
        <w:rPr>
          <w:rFonts w:ascii="Arial" w:hAnsi="Arial" w:cs="Arial"/>
          <w:b/>
          <w:bCs/>
          <w:sz w:val="22"/>
          <w:szCs w:val="22"/>
        </w:rPr>
        <w:t>; bottom: Yurong. Red indicates upregulated genes and blue indicates downregulated genes.</w:t>
      </w:r>
    </w:p>
    <w:p w14:paraId="36B5A368" w14:textId="77777777" w:rsidR="00D35566" w:rsidRDefault="00000000">
      <w:pPr>
        <w:pStyle w:val="BodyTextIndent1"/>
      </w:pPr>
      <w:r>
        <w:t xml:space="preserve">The complete significant DEG sets (17 genes in </w:t>
      </w:r>
      <w:proofErr w:type="spellStart"/>
      <w:r>
        <w:t>Guiwei</w:t>
      </w:r>
      <w:proofErr w:type="spellEnd"/>
      <w:r>
        <w:t xml:space="preserve"> and 117 genes in Yurong) were retained for pathway-level screening. From these significant pairwise DEG lists, 18 genes were prioritized for downstream structural, motif, promoter, and candidate-gene interaction analyses by combining statistical and biological criteria: significance in at least one cultivar-specific contrast (adjusted P &lt; 0.05), large infection-associated log2 fold-change values in </w:t>
      </w:r>
      <w:proofErr w:type="spellStart"/>
      <w:r>
        <w:t>Guiwei</w:t>
      </w:r>
      <w:proofErr w:type="spellEnd"/>
      <w:r>
        <w:t xml:space="preserve"> and/or Yurong, and predicted annotations or domains plausibly related to defense, stress </w:t>
      </w:r>
      <w:r>
        <w:lastRenderedPageBreak/>
        <w:t>signaling, calcium binding, lipid or membrane biology, protein remodeling, or defense-associated metabolism. This selection was therefore not based only on heatmap appearance. Supplementary Table S1 summarizes the rounded log2FC evidence, adjusted-P threshold status, predicted annotation, representative homolog/domain, known defense relevance, and reason for retaining each selected gene.</w:t>
      </w:r>
    </w:p>
    <w:p w14:paraId="714A94DC" w14:textId="77777777" w:rsidR="00D35566" w:rsidRDefault="00000000">
      <w:pPr>
        <w:jc w:val="center"/>
      </w:pPr>
      <w:r>
        <w:rPr>
          <w:noProof/>
        </w:rPr>
        <w:drawing>
          <wp:inline distT="0" distB="0" distL="0" distR="0" wp14:anchorId="3D0C7D2F" wp14:editId="232B49F2">
            <wp:extent cx="4008120" cy="3165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008120" cy="3165010"/>
                    </a:xfrm>
                    <a:prstGeom prst="rect">
                      <a:avLst/>
                    </a:prstGeom>
                  </pic:spPr>
                </pic:pic>
              </a:graphicData>
            </a:graphic>
          </wp:inline>
        </w:drawing>
      </w:r>
    </w:p>
    <w:p w14:paraId="553DB215" w14:textId="77777777" w:rsidR="00D35566" w:rsidRDefault="00000000">
      <w:pPr>
        <w:pStyle w:val="Caption"/>
        <w:spacing w:after="0"/>
        <w:rPr>
          <w:rFonts w:ascii="Arial" w:hAnsi="Arial" w:cs="Arial"/>
          <w:b/>
          <w:bCs/>
          <w:sz w:val="22"/>
          <w:szCs w:val="22"/>
        </w:rPr>
      </w:pPr>
      <w:r>
        <w:rPr>
          <w:rFonts w:ascii="Arial" w:hAnsi="Arial" w:cs="Arial"/>
          <w:b/>
          <w:bCs/>
          <w:sz w:val="22"/>
          <w:szCs w:val="22"/>
        </w:rPr>
        <w:t xml:space="preserve">Figure 3. Heatmap comparing selected differentially expressed genes in </w:t>
      </w:r>
      <w:proofErr w:type="spellStart"/>
      <w:r>
        <w:rPr>
          <w:rFonts w:ascii="Arial" w:hAnsi="Arial" w:cs="Arial"/>
          <w:b/>
          <w:bCs/>
          <w:sz w:val="22"/>
          <w:szCs w:val="22"/>
        </w:rPr>
        <w:t>Guiwei</w:t>
      </w:r>
      <w:proofErr w:type="spellEnd"/>
      <w:r>
        <w:rPr>
          <w:rFonts w:ascii="Arial" w:hAnsi="Arial" w:cs="Arial"/>
          <w:b/>
          <w:bCs/>
          <w:sz w:val="22"/>
          <w:szCs w:val="22"/>
        </w:rPr>
        <w:t xml:space="preserve"> and Yurong. Color indicates log2 fold change.</w:t>
      </w:r>
    </w:p>
    <w:p w14:paraId="3AE5BAB4" w14:textId="77777777" w:rsidR="00D35566" w:rsidRDefault="00000000">
      <w:pPr>
        <w:pStyle w:val="BodyTextIndent1"/>
        <w:ind w:firstLine="0"/>
        <w:rPr>
          <w:b/>
          <w:bCs/>
          <w:i/>
          <w:iCs/>
          <w:szCs w:val="22"/>
        </w:rPr>
      </w:pPr>
      <w:r>
        <w:rPr>
          <w:b/>
          <w:bCs/>
          <w:i/>
          <w:iCs/>
        </w:rPr>
        <w:t>Cultivar-by-treatment interaction analysis</w:t>
      </w:r>
    </w:p>
    <w:p w14:paraId="1A385486" w14:textId="77777777" w:rsidR="00D35566" w:rsidRDefault="00000000">
      <w:pPr>
        <w:pStyle w:val="BodyTextIndent1"/>
      </w:pPr>
      <w:r>
        <w:t xml:space="preserve">To evaluate whether the infection response differed between </w:t>
      </w:r>
      <w:proofErr w:type="spellStart"/>
      <w:r>
        <w:t>Guiwei</w:t>
      </w:r>
      <w:proofErr w:type="spellEnd"/>
      <w:r>
        <w:t xml:space="preserve"> and Yurong, we next represented the experiment as a 2 x 2 factorial design with cultivar, treatment, and cultivar-by-treatment terms. In this model, the cultivar-by-treatment coefficient is equivalent to the difference between the infection-induced log2 fold change in Yurong and the infection-induced log2 fold change in </w:t>
      </w:r>
      <w:proofErr w:type="spellStart"/>
      <w:r>
        <w:t>Guiwei</w:t>
      </w:r>
      <w:proofErr w:type="spellEnd"/>
      <w:r>
        <w:t>: interaction contrast = log2</w:t>
      </w:r>
      <w:proofErr w:type="gramStart"/>
      <w:r>
        <w:t>FC(</w:t>
      </w:r>
      <w:proofErr w:type="gramEnd"/>
      <w:r>
        <w:t xml:space="preserve">Yurong, P. </w:t>
      </w:r>
      <w:proofErr w:type="spellStart"/>
      <w:r>
        <w:t>litchii</w:t>
      </w:r>
      <w:proofErr w:type="spellEnd"/>
      <w:r>
        <w:t xml:space="preserve"> versus mock) - log2</w:t>
      </w:r>
      <w:proofErr w:type="gramStart"/>
      <w:r>
        <w:t>FC(</w:t>
      </w:r>
      <w:proofErr w:type="spellStart"/>
      <w:proofErr w:type="gramEnd"/>
      <w:r>
        <w:t>Guiwei</w:t>
      </w:r>
      <w:proofErr w:type="spellEnd"/>
      <w:r>
        <w:t xml:space="preserve">, P. </w:t>
      </w:r>
      <w:proofErr w:type="spellStart"/>
      <w:r>
        <w:t>litchii</w:t>
      </w:r>
      <w:proofErr w:type="spellEnd"/>
      <w:r>
        <w:t xml:space="preserve"> versus mock). Positive values indicate a stronger response in Yurong, whereas negative values indicate a stronger response in </w:t>
      </w:r>
      <w:proofErr w:type="spellStart"/>
      <w:r>
        <w:t>Guiwei</w:t>
      </w:r>
      <w:proofErr w:type="spellEnd"/>
      <w:r>
        <w:t>.</w:t>
      </w:r>
    </w:p>
    <w:p w14:paraId="7E0F56F1" w14:textId="77777777" w:rsidR="00D35566" w:rsidRDefault="00000000">
      <w:pPr>
        <w:pStyle w:val="BodyTextIndent1"/>
      </w:pPr>
      <w:r>
        <w:t xml:space="preserve">Applying this interaction contrast to the selected candidate genes refined the interpretation of the separate differential-expression comparisons. The strongest </w:t>
      </w:r>
      <w:proofErr w:type="spellStart"/>
      <w:r>
        <w:t>Guiwei</w:t>
      </w:r>
      <w:proofErr w:type="spellEnd"/>
      <w:r>
        <w:t xml:space="preserve">-skewed contrasts were observed for LITCHI019519, LITCHI001510, LITCHI028401, and LITCHI017676, whereas LITCHI028104 and LITCHI019183 showed Yurong-skewed responses (Figure 4; Table 2). These genes therefore represent candidate cultivar-dependent response genes for future expression validation and functional testing. Because the current contrast was calculated from </w:t>
      </w:r>
      <w:r>
        <w:lastRenderedPageBreak/>
        <w:t>selected-gene log2 fold-change summaries, it should be interpreted as a candidate-prioritization effect size rather than a genome-wide list of statistically significant interaction DEGs.</w:t>
      </w:r>
    </w:p>
    <w:p w14:paraId="2D875995" w14:textId="77777777" w:rsidR="00D35566" w:rsidRDefault="00000000">
      <w:pPr>
        <w:jc w:val="center"/>
      </w:pPr>
      <w:r>
        <w:rPr>
          <w:noProof/>
        </w:rPr>
        <w:drawing>
          <wp:inline distT="0" distB="0" distL="0" distR="0" wp14:anchorId="4EC09989" wp14:editId="4DCF07B1">
            <wp:extent cx="5440680" cy="377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40680" cy="3778250"/>
                    </a:xfrm>
                    <a:prstGeom prst="rect">
                      <a:avLst/>
                    </a:prstGeom>
                  </pic:spPr>
                </pic:pic>
              </a:graphicData>
            </a:graphic>
          </wp:inline>
        </w:drawing>
      </w:r>
    </w:p>
    <w:p w14:paraId="3C847089" w14:textId="77777777" w:rsidR="00D35566" w:rsidRDefault="00000000">
      <w:pPr>
        <w:pStyle w:val="Caption"/>
        <w:spacing w:after="0"/>
        <w:rPr>
          <w:rFonts w:ascii="Arial" w:hAnsi="Arial" w:cs="Arial"/>
          <w:b/>
          <w:bCs/>
          <w:sz w:val="22"/>
          <w:szCs w:val="22"/>
        </w:rPr>
      </w:pPr>
      <w:r>
        <w:rPr>
          <w:rFonts w:ascii="Arial" w:hAnsi="Arial" w:cs="Arial"/>
          <w:b/>
          <w:bCs/>
          <w:sz w:val="22"/>
          <w:szCs w:val="22"/>
        </w:rPr>
        <w:t>Figure 4. Candidate cultivar-by-treatment interaction contrasts among selected differentially expressed genes. The interaction contrast was calculated as log2FC(Yurong) - log2FC(</w:t>
      </w:r>
      <w:proofErr w:type="spellStart"/>
      <w:r>
        <w:rPr>
          <w:rFonts w:ascii="Arial" w:hAnsi="Arial" w:cs="Arial"/>
          <w:b/>
          <w:bCs/>
          <w:sz w:val="22"/>
          <w:szCs w:val="22"/>
        </w:rPr>
        <w:t>Guiwei</w:t>
      </w:r>
      <w:proofErr w:type="spellEnd"/>
      <w:r>
        <w:rPr>
          <w:rFonts w:ascii="Arial" w:hAnsi="Arial" w:cs="Arial"/>
          <w:b/>
          <w:bCs/>
          <w:sz w:val="22"/>
          <w:szCs w:val="22"/>
        </w:rPr>
        <w:t xml:space="preserve">). Negative values indicate a stronger infection-associated response in </w:t>
      </w:r>
      <w:proofErr w:type="spellStart"/>
      <w:r>
        <w:rPr>
          <w:rFonts w:ascii="Arial" w:hAnsi="Arial" w:cs="Arial"/>
          <w:b/>
          <w:bCs/>
          <w:sz w:val="22"/>
          <w:szCs w:val="22"/>
        </w:rPr>
        <w:t>Guiwei</w:t>
      </w:r>
      <w:proofErr w:type="spellEnd"/>
      <w:r>
        <w:rPr>
          <w:rFonts w:ascii="Arial" w:hAnsi="Arial" w:cs="Arial"/>
          <w:b/>
          <w:bCs/>
          <w:sz w:val="22"/>
          <w:szCs w:val="22"/>
        </w:rPr>
        <w:t>, and positive values indicate a stronger response in Yurong.</w:t>
      </w:r>
    </w:p>
    <w:tbl>
      <w:tblPr>
        <w:tblStyle w:val="TableGrid"/>
        <w:tblW w:w="5000" w:type="pct"/>
        <w:jc w:val="center"/>
        <w:tblLook w:val="04A0" w:firstRow="1" w:lastRow="0" w:firstColumn="1" w:lastColumn="0" w:noHBand="0" w:noVBand="1"/>
      </w:tblPr>
      <w:tblGrid>
        <w:gridCol w:w="1915"/>
        <w:gridCol w:w="1416"/>
        <w:gridCol w:w="1416"/>
        <w:gridCol w:w="1915"/>
        <w:gridCol w:w="2914"/>
      </w:tblGrid>
      <w:tr w:rsidR="00D35566" w14:paraId="24178C57" w14:textId="77777777">
        <w:trPr>
          <w:cantSplit/>
          <w:tblHeader/>
          <w:jc w:val="center"/>
        </w:trPr>
        <w:tc>
          <w:tcPr>
            <w:tcW w:w="1656" w:type="dxa"/>
            <w:vAlign w:val="center"/>
          </w:tcPr>
          <w:p w14:paraId="3FDE1595" w14:textId="77777777" w:rsidR="00D35566" w:rsidRDefault="00000000">
            <w:pPr>
              <w:rPr>
                <w:rFonts w:ascii="Arial" w:hAnsi="Arial" w:cs="Arial"/>
                <w:sz w:val="20"/>
                <w:szCs w:val="20"/>
              </w:rPr>
            </w:pPr>
            <w:r>
              <w:rPr>
                <w:rFonts w:ascii="Arial" w:hAnsi="Arial" w:cs="Arial"/>
                <w:b/>
                <w:bCs/>
                <w:sz w:val="20"/>
                <w:szCs w:val="20"/>
              </w:rPr>
              <w:t>Gene</w:t>
            </w:r>
          </w:p>
        </w:tc>
        <w:tc>
          <w:tcPr>
            <w:tcW w:w="1224" w:type="dxa"/>
            <w:vAlign w:val="center"/>
          </w:tcPr>
          <w:p w14:paraId="45EEB87D" w14:textId="77777777" w:rsidR="00D35566" w:rsidRDefault="00000000">
            <w:pPr>
              <w:rPr>
                <w:rFonts w:ascii="Arial" w:hAnsi="Arial" w:cs="Arial"/>
                <w:sz w:val="20"/>
                <w:szCs w:val="20"/>
              </w:rPr>
            </w:pPr>
            <w:proofErr w:type="spellStart"/>
            <w:r>
              <w:rPr>
                <w:rFonts w:ascii="Arial" w:hAnsi="Arial" w:cs="Arial"/>
                <w:b/>
                <w:bCs/>
                <w:sz w:val="20"/>
                <w:szCs w:val="20"/>
              </w:rPr>
              <w:t>Guiwei</w:t>
            </w:r>
            <w:proofErr w:type="spellEnd"/>
            <w:r>
              <w:rPr>
                <w:rFonts w:ascii="Arial" w:hAnsi="Arial" w:cs="Arial"/>
                <w:b/>
                <w:bCs/>
                <w:sz w:val="20"/>
                <w:szCs w:val="20"/>
              </w:rPr>
              <w:t xml:space="preserve"> log2FC</w:t>
            </w:r>
          </w:p>
        </w:tc>
        <w:tc>
          <w:tcPr>
            <w:tcW w:w="1224" w:type="dxa"/>
            <w:vAlign w:val="center"/>
          </w:tcPr>
          <w:p w14:paraId="72287890" w14:textId="77777777" w:rsidR="00D35566" w:rsidRDefault="00000000">
            <w:pPr>
              <w:rPr>
                <w:rFonts w:ascii="Arial" w:hAnsi="Arial" w:cs="Arial"/>
                <w:sz w:val="20"/>
                <w:szCs w:val="20"/>
              </w:rPr>
            </w:pPr>
            <w:r>
              <w:rPr>
                <w:rFonts w:ascii="Arial" w:hAnsi="Arial" w:cs="Arial"/>
                <w:b/>
                <w:bCs/>
                <w:sz w:val="20"/>
                <w:szCs w:val="20"/>
              </w:rPr>
              <w:t>Yurong log2FC</w:t>
            </w:r>
          </w:p>
        </w:tc>
        <w:tc>
          <w:tcPr>
            <w:tcW w:w="1656" w:type="dxa"/>
            <w:vAlign w:val="center"/>
          </w:tcPr>
          <w:p w14:paraId="15A60E66" w14:textId="77777777" w:rsidR="00D35566" w:rsidRDefault="00000000">
            <w:pPr>
              <w:rPr>
                <w:rFonts w:ascii="Arial" w:hAnsi="Arial" w:cs="Arial"/>
                <w:sz w:val="20"/>
                <w:szCs w:val="20"/>
              </w:rPr>
            </w:pPr>
            <w:r>
              <w:rPr>
                <w:rFonts w:ascii="Arial" w:hAnsi="Arial" w:cs="Arial"/>
                <w:b/>
                <w:bCs/>
                <w:sz w:val="20"/>
                <w:szCs w:val="20"/>
              </w:rPr>
              <w:t>Interaction contrast</w:t>
            </w:r>
          </w:p>
        </w:tc>
        <w:tc>
          <w:tcPr>
            <w:tcW w:w="2520" w:type="dxa"/>
            <w:vAlign w:val="center"/>
          </w:tcPr>
          <w:p w14:paraId="1E8309B1" w14:textId="77777777" w:rsidR="00D35566" w:rsidRDefault="00000000">
            <w:pPr>
              <w:rPr>
                <w:rFonts w:ascii="Arial" w:hAnsi="Arial" w:cs="Arial"/>
                <w:sz w:val="20"/>
                <w:szCs w:val="20"/>
              </w:rPr>
            </w:pPr>
            <w:r>
              <w:rPr>
                <w:rFonts w:ascii="Arial" w:hAnsi="Arial" w:cs="Arial"/>
                <w:b/>
                <w:bCs/>
                <w:sz w:val="20"/>
                <w:szCs w:val="20"/>
              </w:rPr>
              <w:t>Direction</w:t>
            </w:r>
          </w:p>
        </w:tc>
      </w:tr>
      <w:tr w:rsidR="00D35566" w14:paraId="2E755F87" w14:textId="77777777">
        <w:trPr>
          <w:cantSplit/>
          <w:jc w:val="center"/>
        </w:trPr>
        <w:tc>
          <w:tcPr>
            <w:tcW w:w="1656" w:type="dxa"/>
            <w:vAlign w:val="center"/>
          </w:tcPr>
          <w:p w14:paraId="366FB28F" w14:textId="77777777" w:rsidR="00D35566" w:rsidRDefault="00000000">
            <w:pPr>
              <w:rPr>
                <w:rFonts w:ascii="Arial" w:hAnsi="Arial" w:cs="Arial"/>
                <w:sz w:val="20"/>
                <w:szCs w:val="20"/>
              </w:rPr>
            </w:pPr>
            <w:r>
              <w:rPr>
                <w:rFonts w:ascii="Arial" w:hAnsi="Arial" w:cs="Arial"/>
                <w:sz w:val="20"/>
                <w:szCs w:val="20"/>
              </w:rPr>
              <w:t>LITCHI019519</w:t>
            </w:r>
          </w:p>
        </w:tc>
        <w:tc>
          <w:tcPr>
            <w:tcW w:w="1224" w:type="dxa"/>
            <w:vAlign w:val="center"/>
          </w:tcPr>
          <w:p w14:paraId="7621E054" w14:textId="77777777" w:rsidR="00D35566" w:rsidRDefault="00000000">
            <w:pPr>
              <w:rPr>
                <w:rFonts w:ascii="Arial" w:hAnsi="Arial" w:cs="Arial"/>
                <w:sz w:val="20"/>
                <w:szCs w:val="20"/>
              </w:rPr>
            </w:pPr>
            <w:r>
              <w:rPr>
                <w:rFonts w:ascii="Arial" w:hAnsi="Arial" w:cs="Arial"/>
                <w:sz w:val="20"/>
                <w:szCs w:val="20"/>
              </w:rPr>
              <w:t>3.8</w:t>
            </w:r>
          </w:p>
        </w:tc>
        <w:tc>
          <w:tcPr>
            <w:tcW w:w="1224" w:type="dxa"/>
            <w:vAlign w:val="center"/>
          </w:tcPr>
          <w:p w14:paraId="0CA7E231" w14:textId="77777777" w:rsidR="00D35566" w:rsidRDefault="00000000">
            <w:pPr>
              <w:rPr>
                <w:rFonts w:ascii="Arial" w:hAnsi="Arial" w:cs="Arial"/>
                <w:sz w:val="20"/>
                <w:szCs w:val="20"/>
              </w:rPr>
            </w:pPr>
            <w:r>
              <w:rPr>
                <w:rFonts w:ascii="Arial" w:hAnsi="Arial" w:cs="Arial"/>
                <w:sz w:val="20"/>
                <w:szCs w:val="20"/>
              </w:rPr>
              <w:t>0.4</w:t>
            </w:r>
          </w:p>
        </w:tc>
        <w:tc>
          <w:tcPr>
            <w:tcW w:w="1656" w:type="dxa"/>
            <w:vAlign w:val="center"/>
          </w:tcPr>
          <w:p w14:paraId="1F9D2607" w14:textId="77777777" w:rsidR="00D35566" w:rsidRDefault="00000000">
            <w:pPr>
              <w:rPr>
                <w:rFonts w:ascii="Arial" w:hAnsi="Arial" w:cs="Arial"/>
                <w:sz w:val="20"/>
                <w:szCs w:val="20"/>
              </w:rPr>
            </w:pPr>
            <w:r>
              <w:rPr>
                <w:rFonts w:ascii="Arial" w:hAnsi="Arial" w:cs="Arial"/>
                <w:sz w:val="20"/>
                <w:szCs w:val="20"/>
              </w:rPr>
              <w:t>-3.4</w:t>
            </w:r>
          </w:p>
        </w:tc>
        <w:tc>
          <w:tcPr>
            <w:tcW w:w="2520" w:type="dxa"/>
            <w:vAlign w:val="center"/>
          </w:tcPr>
          <w:p w14:paraId="6AC8A52B" w14:textId="77777777" w:rsidR="00D35566" w:rsidRDefault="00000000">
            <w:pPr>
              <w:rPr>
                <w:rFonts w:ascii="Arial" w:hAnsi="Arial" w:cs="Arial"/>
                <w:sz w:val="20"/>
                <w:szCs w:val="20"/>
              </w:rPr>
            </w:pPr>
            <w:r>
              <w:rPr>
                <w:rFonts w:ascii="Arial" w:hAnsi="Arial" w:cs="Arial"/>
                <w:sz w:val="20"/>
                <w:szCs w:val="20"/>
              </w:rPr>
              <w:t xml:space="preserve">Stronger </w:t>
            </w:r>
            <w:proofErr w:type="spellStart"/>
            <w:r>
              <w:rPr>
                <w:rFonts w:ascii="Arial" w:hAnsi="Arial" w:cs="Arial"/>
                <w:sz w:val="20"/>
                <w:szCs w:val="20"/>
              </w:rPr>
              <w:t>Guiwei</w:t>
            </w:r>
            <w:proofErr w:type="spellEnd"/>
            <w:r>
              <w:rPr>
                <w:rFonts w:ascii="Arial" w:hAnsi="Arial" w:cs="Arial"/>
                <w:sz w:val="20"/>
                <w:szCs w:val="20"/>
              </w:rPr>
              <w:t xml:space="preserve"> response</w:t>
            </w:r>
          </w:p>
        </w:tc>
      </w:tr>
      <w:tr w:rsidR="00D35566" w14:paraId="32095AF6" w14:textId="77777777">
        <w:trPr>
          <w:cantSplit/>
          <w:jc w:val="center"/>
        </w:trPr>
        <w:tc>
          <w:tcPr>
            <w:tcW w:w="1656" w:type="dxa"/>
            <w:vAlign w:val="center"/>
          </w:tcPr>
          <w:p w14:paraId="67DE9016" w14:textId="77777777" w:rsidR="00D35566" w:rsidRDefault="00000000">
            <w:pPr>
              <w:rPr>
                <w:rFonts w:ascii="Arial" w:hAnsi="Arial" w:cs="Arial"/>
                <w:sz w:val="20"/>
                <w:szCs w:val="20"/>
              </w:rPr>
            </w:pPr>
            <w:r>
              <w:rPr>
                <w:rFonts w:ascii="Arial" w:hAnsi="Arial" w:cs="Arial"/>
                <w:sz w:val="20"/>
                <w:szCs w:val="20"/>
              </w:rPr>
              <w:t>LITCHI001510</w:t>
            </w:r>
          </w:p>
        </w:tc>
        <w:tc>
          <w:tcPr>
            <w:tcW w:w="1224" w:type="dxa"/>
            <w:vAlign w:val="center"/>
          </w:tcPr>
          <w:p w14:paraId="604A9839" w14:textId="77777777" w:rsidR="00D35566" w:rsidRDefault="00000000">
            <w:pPr>
              <w:rPr>
                <w:rFonts w:ascii="Arial" w:hAnsi="Arial" w:cs="Arial"/>
                <w:sz w:val="20"/>
                <w:szCs w:val="20"/>
              </w:rPr>
            </w:pPr>
            <w:r>
              <w:rPr>
                <w:rFonts w:ascii="Arial" w:hAnsi="Arial" w:cs="Arial"/>
                <w:sz w:val="20"/>
                <w:szCs w:val="20"/>
              </w:rPr>
              <w:t>4.0</w:t>
            </w:r>
          </w:p>
        </w:tc>
        <w:tc>
          <w:tcPr>
            <w:tcW w:w="1224" w:type="dxa"/>
            <w:vAlign w:val="center"/>
          </w:tcPr>
          <w:p w14:paraId="28BEA2B1" w14:textId="77777777" w:rsidR="00D35566" w:rsidRDefault="00000000">
            <w:pPr>
              <w:rPr>
                <w:rFonts w:ascii="Arial" w:hAnsi="Arial" w:cs="Arial"/>
                <w:sz w:val="20"/>
                <w:szCs w:val="20"/>
              </w:rPr>
            </w:pPr>
            <w:r>
              <w:rPr>
                <w:rFonts w:ascii="Arial" w:hAnsi="Arial" w:cs="Arial"/>
                <w:sz w:val="20"/>
                <w:szCs w:val="20"/>
              </w:rPr>
              <w:t>1.3</w:t>
            </w:r>
          </w:p>
        </w:tc>
        <w:tc>
          <w:tcPr>
            <w:tcW w:w="1656" w:type="dxa"/>
            <w:vAlign w:val="center"/>
          </w:tcPr>
          <w:p w14:paraId="34742DED" w14:textId="77777777" w:rsidR="00D35566" w:rsidRDefault="00000000">
            <w:pPr>
              <w:rPr>
                <w:rFonts w:ascii="Arial" w:hAnsi="Arial" w:cs="Arial"/>
                <w:sz w:val="20"/>
                <w:szCs w:val="20"/>
              </w:rPr>
            </w:pPr>
            <w:r>
              <w:rPr>
                <w:rFonts w:ascii="Arial" w:hAnsi="Arial" w:cs="Arial"/>
                <w:sz w:val="20"/>
                <w:szCs w:val="20"/>
              </w:rPr>
              <w:t>-2.7</w:t>
            </w:r>
          </w:p>
        </w:tc>
        <w:tc>
          <w:tcPr>
            <w:tcW w:w="2520" w:type="dxa"/>
            <w:vAlign w:val="center"/>
          </w:tcPr>
          <w:p w14:paraId="6812BDD4" w14:textId="77777777" w:rsidR="00D35566" w:rsidRDefault="00000000">
            <w:pPr>
              <w:rPr>
                <w:rFonts w:ascii="Arial" w:hAnsi="Arial" w:cs="Arial"/>
                <w:sz w:val="20"/>
                <w:szCs w:val="20"/>
              </w:rPr>
            </w:pPr>
            <w:r>
              <w:rPr>
                <w:rFonts w:ascii="Arial" w:hAnsi="Arial" w:cs="Arial"/>
                <w:sz w:val="20"/>
                <w:szCs w:val="20"/>
              </w:rPr>
              <w:t xml:space="preserve">Stronger </w:t>
            </w:r>
            <w:proofErr w:type="spellStart"/>
            <w:r>
              <w:rPr>
                <w:rFonts w:ascii="Arial" w:hAnsi="Arial" w:cs="Arial"/>
                <w:sz w:val="20"/>
                <w:szCs w:val="20"/>
              </w:rPr>
              <w:t>Guiwei</w:t>
            </w:r>
            <w:proofErr w:type="spellEnd"/>
            <w:r>
              <w:rPr>
                <w:rFonts w:ascii="Arial" w:hAnsi="Arial" w:cs="Arial"/>
                <w:sz w:val="20"/>
                <w:szCs w:val="20"/>
              </w:rPr>
              <w:t xml:space="preserve"> response</w:t>
            </w:r>
          </w:p>
        </w:tc>
      </w:tr>
      <w:tr w:rsidR="00D35566" w14:paraId="0B8F6406" w14:textId="77777777">
        <w:trPr>
          <w:cantSplit/>
          <w:jc w:val="center"/>
        </w:trPr>
        <w:tc>
          <w:tcPr>
            <w:tcW w:w="1656" w:type="dxa"/>
            <w:vAlign w:val="center"/>
          </w:tcPr>
          <w:p w14:paraId="2BF36D41" w14:textId="77777777" w:rsidR="00D35566" w:rsidRDefault="00000000">
            <w:pPr>
              <w:rPr>
                <w:rFonts w:ascii="Arial" w:hAnsi="Arial" w:cs="Arial"/>
                <w:sz w:val="20"/>
                <w:szCs w:val="20"/>
              </w:rPr>
            </w:pPr>
            <w:r>
              <w:rPr>
                <w:rFonts w:ascii="Arial" w:hAnsi="Arial" w:cs="Arial"/>
                <w:sz w:val="20"/>
                <w:szCs w:val="20"/>
              </w:rPr>
              <w:t>LITCHI028401</w:t>
            </w:r>
          </w:p>
        </w:tc>
        <w:tc>
          <w:tcPr>
            <w:tcW w:w="1224" w:type="dxa"/>
            <w:vAlign w:val="center"/>
          </w:tcPr>
          <w:p w14:paraId="34B320F1" w14:textId="77777777" w:rsidR="00D35566" w:rsidRDefault="00000000">
            <w:pPr>
              <w:rPr>
                <w:rFonts w:ascii="Arial" w:hAnsi="Arial" w:cs="Arial"/>
                <w:sz w:val="20"/>
                <w:szCs w:val="20"/>
              </w:rPr>
            </w:pPr>
            <w:r>
              <w:rPr>
                <w:rFonts w:ascii="Arial" w:hAnsi="Arial" w:cs="Arial"/>
                <w:sz w:val="20"/>
                <w:szCs w:val="20"/>
              </w:rPr>
              <w:t>4.9</w:t>
            </w:r>
          </w:p>
        </w:tc>
        <w:tc>
          <w:tcPr>
            <w:tcW w:w="1224" w:type="dxa"/>
            <w:vAlign w:val="center"/>
          </w:tcPr>
          <w:p w14:paraId="57039E95" w14:textId="77777777" w:rsidR="00D35566" w:rsidRDefault="00000000">
            <w:pPr>
              <w:rPr>
                <w:rFonts w:ascii="Arial" w:hAnsi="Arial" w:cs="Arial"/>
                <w:sz w:val="20"/>
                <w:szCs w:val="20"/>
              </w:rPr>
            </w:pPr>
            <w:r>
              <w:rPr>
                <w:rFonts w:ascii="Arial" w:hAnsi="Arial" w:cs="Arial"/>
                <w:sz w:val="20"/>
                <w:szCs w:val="20"/>
              </w:rPr>
              <w:t>2.4</w:t>
            </w:r>
          </w:p>
        </w:tc>
        <w:tc>
          <w:tcPr>
            <w:tcW w:w="1656" w:type="dxa"/>
            <w:vAlign w:val="center"/>
          </w:tcPr>
          <w:p w14:paraId="40E79C96" w14:textId="77777777" w:rsidR="00D35566" w:rsidRDefault="00000000">
            <w:pPr>
              <w:rPr>
                <w:rFonts w:ascii="Arial" w:hAnsi="Arial" w:cs="Arial"/>
                <w:sz w:val="20"/>
                <w:szCs w:val="20"/>
              </w:rPr>
            </w:pPr>
            <w:r>
              <w:rPr>
                <w:rFonts w:ascii="Arial" w:hAnsi="Arial" w:cs="Arial"/>
                <w:sz w:val="20"/>
                <w:szCs w:val="20"/>
              </w:rPr>
              <w:t>-2.5</w:t>
            </w:r>
          </w:p>
        </w:tc>
        <w:tc>
          <w:tcPr>
            <w:tcW w:w="2520" w:type="dxa"/>
            <w:vAlign w:val="center"/>
          </w:tcPr>
          <w:p w14:paraId="106EF3E5" w14:textId="77777777" w:rsidR="00D35566" w:rsidRDefault="00000000">
            <w:pPr>
              <w:rPr>
                <w:rFonts w:ascii="Arial" w:hAnsi="Arial" w:cs="Arial"/>
                <w:sz w:val="20"/>
                <w:szCs w:val="20"/>
              </w:rPr>
            </w:pPr>
            <w:r>
              <w:rPr>
                <w:rFonts w:ascii="Arial" w:hAnsi="Arial" w:cs="Arial"/>
                <w:sz w:val="20"/>
                <w:szCs w:val="20"/>
              </w:rPr>
              <w:t xml:space="preserve">Stronger </w:t>
            </w:r>
            <w:proofErr w:type="spellStart"/>
            <w:r>
              <w:rPr>
                <w:rFonts w:ascii="Arial" w:hAnsi="Arial" w:cs="Arial"/>
                <w:sz w:val="20"/>
                <w:szCs w:val="20"/>
              </w:rPr>
              <w:t>Guiwei</w:t>
            </w:r>
            <w:proofErr w:type="spellEnd"/>
            <w:r>
              <w:rPr>
                <w:rFonts w:ascii="Arial" w:hAnsi="Arial" w:cs="Arial"/>
                <w:sz w:val="20"/>
                <w:szCs w:val="20"/>
              </w:rPr>
              <w:t xml:space="preserve"> response</w:t>
            </w:r>
          </w:p>
        </w:tc>
      </w:tr>
      <w:tr w:rsidR="00D35566" w14:paraId="7DC1B808" w14:textId="77777777">
        <w:trPr>
          <w:cantSplit/>
          <w:jc w:val="center"/>
        </w:trPr>
        <w:tc>
          <w:tcPr>
            <w:tcW w:w="1656" w:type="dxa"/>
            <w:vAlign w:val="center"/>
          </w:tcPr>
          <w:p w14:paraId="16FCE6C4" w14:textId="77777777" w:rsidR="00D35566" w:rsidRDefault="00000000">
            <w:pPr>
              <w:rPr>
                <w:rFonts w:ascii="Arial" w:hAnsi="Arial" w:cs="Arial"/>
                <w:sz w:val="20"/>
                <w:szCs w:val="20"/>
              </w:rPr>
            </w:pPr>
            <w:r>
              <w:rPr>
                <w:rFonts w:ascii="Arial" w:hAnsi="Arial" w:cs="Arial"/>
                <w:sz w:val="20"/>
                <w:szCs w:val="20"/>
              </w:rPr>
              <w:t>LITCHI017676</w:t>
            </w:r>
          </w:p>
        </w:tc>
        <w:tc>
          <w:tcPr>
            <w:tcW w:w="1224" w:type="dxa"/>
            <w:vAlign w:val="center"/>
          </w:tcPr>
          <w:p w14:paraId="7F2DA399" w14:textId="77777777" w:rsidR="00D35566" w:rsidRDefault="00000000">
            <w:pPr>
              <w:rPr>
                <w:rFonts w:ascii="Arial" w:hAnsi="Arial" w:cs="Arial"/>
                <w:sz w:val="20"/>
                <w:szCs w:val="20"/>
              </w:rPr>
            </w:pPr>
            <w:r>
              <w:rPr>
                <w:rFonts w:ascii="Arial" w:hAnsi="Arial" w:cs="Arial"/>
                <w:sz w:val="20"/>
                <w:szCs w:val="20"/>
              </w:rPr>
              <w:t>4.0</w:t>
            </w:r>
          </w:p>
        </w:tc>
        <w:tc>
          <w:tcPr>
            <w:tcW w:w="1224" w:type="dxa"/>
            <w:vAlign w:val="center"/>
          </w:tcPr>
          <w:p w14:paraId="14EA1FD8" w14:textId="77777777" w:rsidR="00D35566" w:rsidRDefault="00000000">
            <w:pPr>
              <w:rPr>
                <w:rFonts w:ascii="Arial" w:hAnsi="Arial" w:cs="Arial"/>
                <w:sz w:val="20"/>
                <w:szCs w:val="20"/>
              </w:rPr>
            </w:pPr>
            <w:r>
              <w:rPr>
                <w:rFonts w:ascii="Arial" w:hAnsi="Arial" w:cs="Arial"/>
                <w:sz w:val="20"/>
                <w:szCs w:val="20"/>
              </w:rPr>
              <w:t>1.8</w:t>
            </w:r>
          </w:p>
        </w:tc>
        <w:tc>
          <w:tcPr>
            <w:tcW w:w="1656" w:type="dxa"/>
            <w:vAlign w:val="center"/>
          </w:tcPr>
          <w:p w14:paraId="74D44D4D" w14:textId="77777777" w:rsidR="00D35566" w:rsidRDefault="00000000">
            <w:pPr>
              <w:rPr>
                <w:rFonts w:ascii="Arial" w:hAnsi="Arial" w:cs="Arial"/>
                <w:sz w:val="20"/>
                <w:szCs w:val="20"/>
              </w:rPr>
            </w:pPr>
            <w:r>
              <w:rPr>
                <w:rFonts w:ascii="Arial" w:hAnsi="Arial" w:cs="Arial"/>
                <w:sz w:val="20"/>
                <w:szCs w:val="20"/>
              </w:rPr>
              <w:t>-2.2</w:t>
            </w:r>
          </w:p>
        </w:tc>
        <w:tc>
          <w:tcPr>
            <w:tcW w:w="2520" w:type="dxa"/>
            <w:vAlign w:val="center"/>
          </w:tcPr>
          <w:p w14:paraId="0FA666C8" w14:textId="77777777" w:rsidR="00D35566" w:rsidRDefault="00000000">
            <w:pPr>
              <w:rPr>
                <w:rFonts w:ascii="Arial" w:hAnsi="Arial" w:cs="Arial"/>
                <w:sz w:val="20"/>
                <w:szCs w:val="20"/>
              </w:rPr>
            </w:pPr>
            <w:r>
              <w:rPr>
                <w:rFonts w:ascii="Arial" w:hAnsi="Arial" w:cs="Arial"/>
                <w:sz w:val="20"/>
                <w:szCs w:val="20"/>
              </w:rPr>
              <w:t xml:space="preserve">Stronger </w:t>
            </w:r>
            <w:proofErr w:type="spellStart"/>
            <w:r>
              <w:rPr>
                <w:rFonts w:ascii="Arial" w:hAnsi="Arial" w:cs="Arial"/>
                <w:sz w:val="20"/>
                <w:szCs w:val="20"/>
              </w:rPr>
              <w:t>Guiwei</w:t>
            </w:r>
            <w:proofErr w:type="spellEnd"/>
            <w:r>
              <w:rPr>
                <w:rFonts w:ascii="Arial" w:hAnsi="Arial" w:cs="Arial"/>
                <w:sz w:val="20"/>
                <w:szCs w:val="20"/>
              </w:rPr>
              <w:t xml:space="preserve"> response</w:t>
            </w:r>
          </w:p>
        </w:tc>
      </w:tr>
      <w:tr w:rsidR="00D35566" w14:paraId="305ED13E" w14:textId="77777777">
        <w:trPr>
          <w:cantSplit/>
          <w:jc w:val="center"/>
        </w:trPr>
        <w:tc>
          <w:tcPr>
            <w:tcW w:w="1656" w:type="dxa"/>
            <w:vAlign w:val="center"/>
          </w:tcPr>
          <w:p w14:paraId="0BBDFFA6" w14:textId="77777777" w:rsidR="00D35566" w:rsidRDefault="00000000">
            <w:pPr>
              <w:rPr>
                <w:rFonts w:ascii="Arial" w:hAnsi="Arial" w:cs="Arial"/>
                <w:sz w:val="20"/>
                <w:szCs w:val="20"/>
              </w:rPr>
            </w:pPr>
            <w:r>
              <w:rPr>
                <w:rFonts w:ascii="Arial" w:hAnsi="Arial" w:cs="Arial"/>
                <w:sz w:val="20"/>
                <w:szCs w:val="20"/>
              </w:rPr>
              <w:t>LITCHI028104</w:t>
            </w:r>
          </w:p>
        </w:tc>
        <w:tc>
          <w:tcPr>
            <w:tcW w:w="1224" w:type="dxa"/>
            <w:vAlign w:val="center"/>
          </w:tcPr>
          <w:p w14:paraId="130536A2" w14:textId="77777777" w:rsidR="00D35566" w:rsidRDefault="00000000">
            <w:pPr>
              <w:rPr>
                <w:rFonts w:ascii="Arial" w:hAnsi="Arial" w:cs="Arial"/>
                <w:sz w:val="20"/>
                <w:szCs w:val="20"/>
              </w:rPr>
            </w:pPr>
            <w:r>
              <w:rPr>
                <w:rFonts w:ascii="Arial" w:hAnsi="Arial" w:cs="Arial"/>
                <w:sz w:val="20"/>
                <w:szCs w:val="20"/>
              </w:rPr>
              <w:t>2.6</w:t>
            </w:r>
          </w:p>
        </w:tc>
        <w:tc>
          <w:tcPr>
            <w:tcW w:w="1224" w:type="dxa"/>
            <w:vAlign w:val="center"/>
          </w:tcPr>
          <w:p w14:paraId="4A0DA896" w14:textId="77777777" w:rsidR="00D35566" w:rsidRDefault="00000000">
            <w:pPr>
              <w:rPr>
                <w:rFonts w:ascii="Arial" w:hAnsi="Arial" w:cs="Arial"/>
                <w:sz w:val="20"/>
                <w:szCs w:val="20"/>
              </w:rPr>
            </w:pPr>
            <w:r>
              <w:rPr>
                <w:rFonts w:ascii="Arial" w:hAnsi="Arial" w:cs="Arial"/>
                <w:sz w:val="20"/>
                <w:szCs w:val="20"/>
              </w:rPr>
              <w:t>4.0</w:t>
            </w:r>
          </w:p>
        </w:tc>
        <w:tc>
          <w:tcPr>
            <w:tcW w:w="1656" w:type="dxa"/>
            <w:vAlign w:val="center"/>
          </w:tcPr>
          <w:p w14:paraId="09096421" w14:textId="77777777" w:rsidR="00D35566" w:rsidRDefault="00000000">
            <w:pPr>
              <w:rPr>
                <w:rFonts w:ascii="Arial" w:hAnsi="Arial" w:cs="Arial"/>
                <w:sz w:val="20"/>
                <w:szCs w:val="20"/>
              </w:rPr>
            </w:pPr>
            <w:r>
              <w:rPr>
                <w:rFonts w:ascii="Arial" w:hAnsi="Arial" w:cs="Arial"/>
                <w:sz w:val="20"/>
                <w:szCs w:val="20"/>
              </w:rPr>
              <w:t>+1.4</w:t>
            </w:r>
          </w:p>
        </w:tc>
        <w:tc>
          <w:tcPr>
            <w:tcW w:w="2520" w:type="dxa"/>
            <w:vAlign w:val="center"/>
          </w:tcPr>
          <w:p w14:paraId="4852ED1A" w14:textId="77777777" w:rsidR="00D35566" w:rsidRDefault="00000000">
            <w:pPr>
              <w:rPr>
                <w:rFonts w:ascii="Arial" w:hAnsi="Arial" w:cs="Arial"/>
                <w:sz w:val="20"/>
                <w:szCs w:val="20"/>
              </w:rPr>
            </w:pPr>
            <w:r>
              <w:rPr>
                <w:rFonts w:ascii="Arial" w:hAnsi="Arial" w:cs="Arial"/>
                <w:sz w:val="20"/>
                <w:szCs w:val="20"/>
              </w:rPr>
              <w:t>Stronger Yurong response</w:t>
            </w:r>
          </w:p>
        </w:tc>
      </w:tr>
      <w:tr w:rsidR="00D35566" w14:paraId="4D1FE8DB" w14:textId="77777777">
        <w:trPr>
          <w:cantSplit/>
          <w:jc w:val="center"/>
        </w:trPr>
        <w:tc>
          <w:tcPr>
            <w:tcW w:w="1656" w:type="dxa"/>
            <w:vAlign w:val="center"/>
          </w:tcPr>
          <w:p w14:paraId="408E0659" w14:textId="77777777" w:rsidR="00D35566" w:rsidRDefault="00000000">
            <w:pPr>
              <w:rPr>
                <w:rFonts w:ascii="Arial" w:hAnsi="Arial" w:cs="Arial"/>
                <w:sz w:val="20"/>
                <w:szCs w:val="20"/>
              </w:rPr>
            </w:pPr>
            <w:r>
              <w:rPr>
                <w:rFonts w:ascii="Arial" w:hAnsi="Arial" w:cs="Arial"/>
                <w:sz w:val="20"/>
                <w:szCs w:val="20"/>
              </w:rPr>
              <w:t>LITCHI019299</w:t>
            </w:r>
          </w:p>
        </w:tc>
        <w:tc>
          <w:tcPr>
            <w:tcW w:w="1224" w:type="dxa"/>
            <w:vAlign w:val="center"/>
          </w:tcPr>
          <w:p w14:paraId="23966178" w14:textId="77777777" w:rsidR="00D35566" w:rsidRDefault="00000000">
            <w:pPr>
              <w:rPr>
                <w:rFonts w:ascii="Arial" w:hAnsi="Arial" w:cs="Arial"/>
                <w:sz w:val="20"/>
                <w:szCs w:val="20"/>
              </w:rPr>
            </w:pPr>
            <w:r>
              <w:rPr>
                <w:rFonts w:ascii="Arial" w:hAnsi="Arial" w:cs="Arial"/>
                <w:sz w:val="20"/>
                <w:szCs w:val="20"/>
              </w:rPr>
              <w:t>1.7</w:t>
            </w:r>
          </w:p>
        </w:tc>
        <w:tc>
          <w:tcPr>
            <w:tcW w:w="1224" w:type="dxa"/>
            <w:vAlign w:val="center"/>
          </w:tcPr>
          <w:p w14:paraId="5B2609F7" w14:textId="77777777" w:rsidR="00D35566" w:rsidRDefault="00000000">
            <w:pPr>
              <w:rPr>
                <w:rFonts w:ascii="Arial" w:hAnsi="Arial" w:cs="Arial"/>
                <w:sz w:val="20"/>
                <w:szCs w:val="20"/>
              </w:rPr>
            </w:pPr>
            <w:r>
              <w:rPr>
                <w:rFonts w:ascii="Arial" w:hAnsi="Arial" w:cs="Arial"/>
                <w:sz w:val="20"/>
                <w:szCs w:val="20"/>
              </w:rPr>
              <w:t>0.5</w:t>
            </w:r>
          </w:p>
        </w:tc>
        <w:tc>
          <w:tcPr>
            <w:tcW w:w="1656" w:type="dxa"/>
            <w:vAlign w:val="center"/>
          </w:tcPr>
          <w:p w14:paraId="5D592C9C" w14:textId="77777777" w:rsidR="00D35566" w:rsidRDefault="00000000">
            <w:pPr>
              <w:rPr>
                <w:rFonts w:ascii="Arial" w:hAnsi="Arial" w:cs="Arial"/>
                <w:sz w:val="20"/>
                <w:szCs w:val="20"/>
              </w:rPr>
            </w:pPr>
            <w:r>
              <w:rPr>
                <w:rFonts w:ascii="Arial" w:hAnsi="Arial" w:cs="Arial"/>
                <w:sz w:val="20"/>
                <w:szCs w:val="20"/>
              </w:rPr>
              <w:t>-1.3</w:t>
            </w:r>
          </w:p>
        </w:tc>
        <w:tc>
          <w:tcPr>
            <w:tcW w:w="2520" w:type="dxa"/>
            <w:vAlign w:val="center"/>
          </w:tcPr>
          <w:p w14:paraId="41113B62" w14:textId="77777777" w:rsidR="00D35566" w:rsidRDefault="00000000">
            <w:pPr>
              <w:rPr>
                <w:rFonts w:ascii="Arial" w:hAnsi="Arial" w:cs="Arial"/>
                <w:sz w:val="20"/>
                <w:szCs w:val="20"/>
              </w:rPr>
            </w:pPr>
            <w:r>
              <w:rPr>
                <w:rFonts w:ascii="Arial" w:hAnsi="Arial" w:cs="Arial"/>
                <w:sz w:val="20"/>
                <w:szCs w:val="20"/>
              </w:rPr>
              <w:t xml:space="preserve">Stronger </w:t>
            </w:r>
            <w:proofErr w:type="spellStart"/>
            <w:r>
              <w:rPr>
                <w:rFonts w:ascii="Arial" w:hAnsi="Arial" w:cs="Arial"/>
                <w:sz w:val="20"/>
                <w:szCs w:val="20"/>
              </w:rPr>
              <w:t>Guiwei</w:t>
            </w:r>
            <w:proofErr w:type="spellEnd"/>
            <w:r>
              <w:rPr>
                <w:rFonts w:ascii="Arial" w:hAnsi="Arial" w:cs="Arial"/>
                <w:sz w:val="20"/>
                <w:szCs w:val="20"/>
              </w:rPr>
              <w:t xml:space="preserve"> response</w:t>
            </w:r>
          </w:p>
        </w:tc>
      </w:tr>
      <w:tr w:rsidR="00D35566" w14:paraId="4BA6FB27" w14:textId="77777777">
        <w:trPr>
          <w:cantSplit/>
          <w:jc w:val="center"/>
        </w:trPr>
        <w:tc>
          <w:tcPr>
            <w:tcW w:w="1656" w:type="dxa"/>
            <w:vAlign w:val="center"/>
          </w:tcPr>
          <w:p w14:paraId="5C34F39F" w14:textId="77777777" w:rsidR="00D35566" w:rsidRDefault="00000000">
            <w:pPr>
              <w:rPr>
                <w:rFonts w:ascii="Arial" w:hAnsi="Arial" w:cs="Arial"/>
                <w:sz w:val="20"/>
                <w:szCs w:val="20"/>
              </w:rPr>
            </w:pPr>
            <w:r>
              <w:rPr>
                <w:rFonts w:ascii="Arial" w:hAnsi="Arial" w:cs="Arial"/>
                <w:sz w:val="20"/>
                <w:szCs w:val="20"/>
              </w:rPr>
              <w:t>LITCHI001512</w:t>
            </w:r>
          </w:p>
        </w:tc>
        <w:tc>
          <w:tcPr>
            <w:tcW w:w="1224" w:type="dxa"/>
            <w:vAlign w:val="center"/>
          </w:tcPr>
          <w:p w14:paraId="76730156" w14:textId="77777777" w:rsidR="00D35566" w:rsidRDefault="00000000">
            <w:pPr>
              <w:rPr>
                <w:rFonts w:ascii="Arial" w:hAnsi="Arial" w:cs="Arial"/>
                <w:sz w:val="20"/>
                <w:szCs w:val="20"/>
              </w:rPr>
            </w:pPr>
            <w:r>
              <w:rPr>
                <w:rFonts w:ascii="Arial" w:hAnsi="Arial" w:cs="Arial"/>
                <w:sz w:val="20"/>
                <w:szCs w:val="20"/>
              </w:rPr>
              <w:t>4.0</w:t>
            </w:r>
          </w:p>
        </w:tc>
        <w:tc>
          <w:tcPr>
            <w:tcW w:w="1224" w:type="dxa"/>
            <w:vAlign w:val="center"/>
          </w:tcPr>
          <w:p w14:paraId="350733A2" w14:textId="77777777" w:rsidR="00D35566" w:rsidRDefault="00000000">
            <w:pPr>
              <w:rPr>
                <w:rFonts w:ascii="Arial" w:hAnsi="Arial" w:cs="Arial"/>
                <w:sz w:val="20"/>
                <w:szCs w:val="20"/>
              </w:rPr>
            </w:pPr>
            <w:r>
              <w:rPr>
                <w:rFonts w:ascii="Arial" w:hAnsi="Arial" w:cs="Arial"/>
                <w:sz w:val="20"/>
                <w:szCs w:val="20"/>
              </w:rPr>
              <w:t>3.0</w:t>
            </w:r>
          </w:p>
        </w:tc>
        <w:tc>
          <w:tcPr>
            <w:tcW w:w="1656" w:type="dxa"/>
            <w:vAlign w:val="center"/>
          </w:tcPr>
          <w:p w14:paraId="70549D33" w14:textId="77777777" w:rsidR="00D35566" w:rsidRDefault="00000000">
            <w:pPr>
              <w:rPr>
                <w:rFonts w:ascii="Arial" w:hAnsi="Arial" w:cs="Arial"/>
                <w:sz w:val="20"/>
                <w:szCs w:val="20"/>
              </w:rPr>
            </w:pPr>
            <w:r>
              <w:rPr>
                <w:rFonts w:ascii="Arial" w:hAnsi="Arial" w:cs="Arial"/>
                <w:sz w:val="20"/>
                <w:szCs w:val="20"/>
              </w:rPr>
              <w:t>-1.0</w:t>
            </w:r>
          </w:p>
        </w:tc>
        <w:tc>
          <w:tcPr>
            <w:tcW w:w="2520" w:type="dxa"/>
            <w:vAlign w:val="center"/>
          </w:tcPr>
          <w:p w14:paraId="791F9513" w14:textId="77777777" w:rsidR="00D35566" w:rsidRDefault="00000000">
            <w:pPr>
              <w:rPr>
                <w:rFonts w:ascii="Arial" w:hAnsi="Arial" w:cs="Arial"/>
                <w:sz w:val="20"/>
                <w:szCs w:val="20"/>
              </w:rPr>
            </w:pPr>
            <w:r>
              <w:rPr>
                <w:rFonts w:ascii="Arial" w:hAnsi="Arial" w:cs="Arial"/>
                <w:sz w:val="20"/>
                <w:szCs w:val="20"/>
              </w:rPr>
              <w:t xml:space="preserve">Stronger </w:t>
            </w:r>
            <w:proofErr w:type="spellStart"/>
            <w:r>
              <w:rPr>
                <w:rFonts w:ascii="Arial" w:hAnsi="Arial" w:cs="Arial"/>
                <w:sz w:val="20"/>
                <w:szCs w:val="20"/>
              </w:rPr>
              <w:t>Guiwei</w:t>
            </w:r>
            <w:proofErr w:type="spellEnd"/>
            <w:r>
              <w:rPr>
                <w:rFonts w:ascii="Arial" w:hAnsi="Arial" w:cs="Arial"/>
                <w:sz w:val="20"/>
                <w:szCs w:val="20"/>
              </w:rPr>
              <w:t xml:space="preserve"> response</w:t>
            </w:r>
          </w:p>
        </w:tc>
      </w:tr>
      <w:tr w:rsidR="00D35566" w14:paraId="31E729F4" w14:textId="77777777">
        <w:trPr>
          <w:cantSplit/>
          <w:jc w:val="center"/>
        </w:trPr>
        <w:tc>
          <w:tcPr>
            <w:tcW w:w="1656" w:type="dxa"/>
            <w:vAlign w:val="center"/>
          </w:tcPr>
          <w:p w14:paraId="5FFDEDBE" w14:textId="77777777" w:rsidR="00D35566" w:rsidRDefault="00000000">
            <w:pPr>
              <w:rPr>
                <w:rFonts w:ascii="Arial" w:hAnsi="Arial" w:cs="Arial"/>
                <w:sz w:val="20"/>
                <w:szCs w:val="20"/>
              </w:rPr>
            </w:pPr>
            <w:r>
              <w:rPr>
                <w:rFonts w:ascii="Arial" w:hAnsi="Arial" w:cs="Arial"/>
                <w:sz w:val="20"/>
                <w:szCs w:val="20"/>
              </w:rPr>
              <w:t>LITCHI019183</w:t>
            </w:r>
          </w:p>
        </w:tc>
        <w:tc>
          <w:tcPr>
            <w:tcW w:w="1224" w:type="dxa"/>
            <w:vAlign w:val="center"/>
          </w:tcPr>
          <w:p w14:paraId="2B96856A" w14:textId="77777777" w:rsidR="00D35566" w:rsidRDefault="00000000">
            <w:pPr>
              <w:rPr>
                <w:rFonts w:ascii="Arial" w:hAnsi="Arial" w:cs="Arial"/>
                <w:sz w:val="20"/>
                <w:szCs w:val="20"/>
              </w:rPr>
            </w:pPr>
            <w:r>
              <w:rPr>
                <w:rFonts w:ascii="Arial" w:hAnsi="Arial" w:cs="Arial"/>
                <w:sz w:val="20"/>
                <w:szCs w:val="20"/>
              </w:rPr>
              <w:t>0.6</w:t>
            </w:r>
          </w:p>
        </w:tc>
        <w:tc>
          <w:tcPr>
            <w:tcW w:w="1224" w:type="dxa"/>
            <w:vAlign w:val="center"/>
          </w:tcPr>
          <w:p w14:paraId="488902DB" w14:textId="77777777" w:rsidR="00D35566" w:rsidRDefault="00000000">
            <w:pPr>
              <w:rPr>
                <w:rFonts w:ascii="Arial" w:hAnsi="Arial" w:cs="Arial"/>
                <w:sz w:val="20"/>
                <w:szCs w:val="20"/>
              </w:rPr>
            </w:pPr>
            <w:r>
              <w:rPr>
                <w:rFonts w:ascii="Arial" w:hAnsi="Arial" w:cs="Arial"/>
                <w:sz w:val="20"/>
                <w:szCs w:val="20"/>
              </w:rPr>
              <w:t>1.5</w:t>
            </w:r>
          </w:p>
        </w:tc>
        <w:tc>
          <w:tcPr>
            <w:tcW w:w="1656" w:type="dxa"/>
            <w:vAlign w:val="center"/>
          </w:tcPr>
          <w:p w14:paraId="4B3F731C" w14:textId="77777777" w:rsidR="00D35566" w:rsidRDefault="00000000">
            <w:pPr>
              <w:rPr>
                <w:rFonts w:ascii="Arial" w:hAnsi="Arial" w:cs="Arial"/>
                <w:sz w:val="20"/>
                <w:szCs w:val="20"/>
              </w:rPr>
            </w:pPr>
            <w:r>
              <w:rPr>
                <w:rFonts w:ascii="Arial" w:hAnsi="Arial" w:cs="Arial"/>
                <w:sz w:val="20"/>
                <w:szCs w:val="20"/>
              </w:rPr>
              <w:t>+1.0</w:t>
            </w:r>
          </w:p>
        </w:tc>
        <w:tc>
          <w:tcPr>
            <w:tcW w:w="2520" w:type="dxa"/>
            <w:vAlign w:val="center"/>
          </w:tcPr>
          <w:p w14:paraId="5C2FD40F" w14:textId="77777777" w:rsidR="00D35566" w:rsidRDefault="00000000">
            <w:pPr>
              <w:rPr>
                <w:rFonts w:ascii="Arial" w:hAnsi="Arial" w:cs="Arial"/>
                <w:sz w:val="20"/>
                <w:szCs w:val="20"/>
              </w:rPr>
            </w:pPr>
            <w:r>
              <w:rPr>
                <w:rFonts w:ascii="Arial" w:hAnsi="Arial" w:cs="Arial"/>
                <w:sz w:val="20"/>
                <w:szCs w:val="20"/>
              </w:rPr>
              <w:t>Stronger Yurong response</w:t>
            </w:r>
          </w:p>
        </w:tc>
      </w:tr>
    </w:tbl>
    <w:p w14:paraId="0C413BB4" w14:textId="77777777" w:rsidR="00D35566" w:rsidRDefault="00000000">
      <w:pPr>
        <w:pStyle w:val="Caption"/>
        <w:spacing w:after="0"/>
        <w:rPr>
          <w:rFonts w:ascii="Arial" w:hAnsi="Arial" w:cs="Arial"/>
          <w:b/>
          <w:bCs/>
          <w:sz w:val="22"/>
          <w:szCs w:val="22"/>
        </w:rPr>
      </w:pPr>
      <w:r>
        <w:rPr>
          <w:rFonts w:ascii="Arial" w:hAnsi="Arial" w:cs="Arial"/>
          <w:b/>
          <w:bCs/>
          <w:sz w:val="22"/>
          <w:szCs w:val="22"/>
        </w:rPr>
        <w:t>Table 2. Top candidate cultivar-by-treatment interaction genes among the selected differentially expressed genes.</w:t>
      </w:r>
    </w:p>
    <w:p w14:paraId="3D9C157F" w14:textId="77777777" w:rsidR="00D35566" w:rsidRDefault="00000000">
      <w:pPr>
        <w:pStyle w:val="BodyTextIndent1"/>
        <w:ind w:firstLine="0"/>
        <w:rPr>
          <w:szCs w:val="22"/>
        </w:rPr>
      </w:pPr>
      <w:r>
        <w:t>Note: The interaction contrast is log2FC(Yurong) - log2FC(</w:t>
      </w:r>
      <w:proofErr w:type="spellStart"/>
      <w:r>
        <w:t>Guiwei</w:t>
      </w:r>
      <w:proofErr w:type="spellEnd"/>
      <w:r>
        <w:t>). Values are rounded to one decimal place and are used for candidate prioritization. Because the contrast shown here was calculated for selected genes, it should not be interpreted as a genome-wide interaction-DEG test.</w:t>
      </w:r>
    </w:p>
    <w:p w14:paraId="27F19051" w14:textId="77777777" w:rsidR="00D35566" w:rsidRDefault="00000000">
      <w:pPr>
        <w:pStyle w:val="BodyTextIndent1"/>
        <w:ind w:firstLine="0"/>
        <w:rPr>
          <w:b/>
          <w:bCs/>
          <w:i/>
          <w:iCs/>
          <w:szCs w:val="22"/>
        </w:rPr>
      </w:pPr>
      <w:proofErr w:type="spellStart"/>
      <w:r>
        <w:rPr>
          <w:b/>
          <w:bCs/>
          <w:i/>
          <w:iCs/>
        </w:rPr>
        <w:t>Orthology</w:t>
      </w:r>
      <w:proofErr w:type="spellEnd"/>
      <w:r>
        <w:rPr>
          <w:b/>
          <w:bCs/>
          <w:i/>
          <w:iCs/>
        </w:rPr>
        <w:t xml:space="preserve">-guided Plant </w:t>
      </w:r>
      <w:proofErr w:type="spellStart"/>
      <w:r>
        <w:rPr>
          <w:b/>
          <w:bCs/>
          <w:i/>
          <w:iCs/>
        </w:rPr>
        <w:t>Reactome</w:t>
      </w:r>
      <w:proofErr w:type="spellEnd"/>
      <w:r>
        <w:rPr>
          <w:b/>
          <w:bCs/>
          <w:i/>
          <w:iCs/>
        </w:rPr>
        <w:t xml:space="preserve"> pathway analysis of all DEGs</w:t>
      </w:r>
    </w:p>
    <w:p w14:paraId="793A2B78" w14:textId="77777777" w:rsidR="00D35566" w:rsidRDefault="00000000">
      <w:pPr>
        <w:pStyle w:val="BodyTextIndent1"/>
      </w:pPr>
      <w:r>
        <w:lastRenderedPageBreak/>
        <w:t xml:space="preserve">To broaden pathway-level interpretation beyond the 18 selected candidate genes, we evaluated the full pairwise DEG lists from Section 2.2 using a Plant </w:t>
      </w:r>
      <w:proofErr w:type="spellStart"/>
      <w:r>
        <w:t>Reactome</w:t>
      </w:r>
      <w:proofErr w:type="spellEnd"/>
      <w:r>
        <w:t xml:space="preserve">-oriented workflow. The inputs were the complete significant DEG sets identified in the pairwise comparisons: 17 significant DEGs in </w:t>
      </w:r>
      <w:proofErr w:type="spellStart"/>
      <w:r>
        <w:t>Guiwei</w:t>
      </w:r>
      <w:proofErr w:type="spellEnd"/>
      <w:r>
        <w:t xml:space="preserve"> and 117 significant DEGs in Yurong. Plant </w:t>
      </w:r>
      <w:proofErr w:type="spellStart"/>
      <w:r>
        <w:t>Reactome</w:t>
      </w:r>
      <w:proofErr w:type="spellEnd"/>
      <w:r>
        <w:t xml:space="preserve"> provides curated rice reference pathways and </w:t>
      </w:r>
      <w:proofErr w:type="spellStart"/>
      <w:r>
        <w:t>orthology</w:t>
      </w:r>
      <w:proofErr w:type="spellEnd"/>
      <w:r>
        <w:t xml:space="preserve">-based pathway projections for other plant </w:t>
      </w:r>
      <w:proofErr w:type="gramStart"/>
      <w:r>
        <w:t>species, and</w:t>
      </w:r>
      <w:proofErr w:type="gramEnd"/>
      <w:r>
        <w:t xml:space="preserve"> supports omics-data analysis in the context of plant pathway networks [10]. However, the LITCHI gene identifiers used in the lychee genome annotation were not directly represented in the Plant </w:t>
      </w:r>
      <w:proofErr w:type="spellStart"/>
      <w:r>
        <w:t>Reactome</w:t>
      </w:r>
      <w:proofErr w:type="spellEnd"/>
      <w:r>
        <w:t xml:space="preserve"> gene-products export examined for this revision. Therefore, the analysis was treated as an </w:t>
      </w:r>
      <w:proofErr w:type="spellStart"/>
      <w:r>
        <w:t>orthology</w:t>
      </w:r>
      <w:proofErr w:type="spellEnd"/>
      <w:r>
        <w:t xml:space="preserve">-guided pathway-annotation screen rather than a formal over-representation test with FDR-corrected Plant </w:t>
      </w:r>
      <w:proofErr w:type="spellStart"/>
      <w:r>
        <w:t>Reactome</w:t>
      </w:r>
      <w:proofErr w:type="spellEnd"/>
      <w:r>
        <w:t xml:space="preserve"> P values.</w:t>
      </w:r>
    </w:p>
    <w:p w14:paraId="47A295B3" w14:textId="77777777" w:rsidR="00D35566" w:rsidRDefault="00000000">
      <w:pPr>
        <w:pStyle w:val="BodyTextIndent1"/>
      </w:pPr>
      <w:r>
        <w:t xml:space="preserve">The all-DEG screen showed that the larger Yurong DEG set provided broader pathway coverage than the smaller </w:t>
      </w:r>
      <w:proofErr w:type="spellStart"/>
      <w:r>
        <w:t>Guiwei</w:t>
      </w:r>
      <w:proofErr w:type="spellEnd"/>
      <w:r>
        <w:t xml:space="preserve"> DEG set (Table 3). Across the full DEG lists, the most interpretable pathway themes were stress and hormone signaling, plant defense and transcriptional regulation, protein folding and turnover, carbohydrate and cell-wall-related metabolism, and membrane or receptor-associated transport. These pathway themes are consistent with the pairwise DEG results and support the view that early infection responses involve both defense-associated signaling and broader cellular reprogramming. Because lychee is not directly represented in the mapping file used here, Table 3 should be interpreted as pathway-level prioritization of all DEGs, not as definitive statistical enrichment evidence.</w:t>
      </w:r>
    </w:p>
    <w:tbl>
      <w:tblPr>
        <w:tblStyle w:val="TableGrid"/>
        <w:tblW w:w="5000" w:type="pct"/>
        <w:jc w:val="center"/>
        <w:tblLook w:val="04A0" w:firstRow="1" w:lastRow="0" w:firstColumn="1" w:lastColumn="0" w:noHBand="0" w:noVBand="1"/>
      </w:tblPr>
      <w:tblGrid>
        <w:gridCol w:w="2380"/>
        <w:gridCol w:w="2014"/>
        <w:gridCol w:w="2014"/>
        <w:gridCol w:w="3112"/>
      </w:tblGrid>
      <w:tr w:rsidR="00D35566" w14:paraId="66B22598" w14:textId="77777777">
        <w:trPr>
          <w:jc w:val="center"/>
        </w:trPr>
        <w:tc>
          <w:tcPr>
            <w:tcW w:w="2340" w:type="dxa"/>
            <w:tcMar>
              <w:top w:w="80" w:type="dxa"/>
              <w:left w:w="80" w:type="dxa"/>
              <w:bottom w:w="80" w:type="dxa"/>
              <w:right w:w="80" w:type="dxa"/>
            </w:tcMar>
          </w:tcPr>
          <w:p w14:paraId="4355DEA7" w14:textId="77777777" w:rsidR="00D35566" w:rsidRDefault="00000000">
            <w:pPr>
              <w:rPr>
                <w:rFonts w:ascii="Arial" w:hAnsi="Arial" w:cs="Arial"/>
                <w:sz w:val="20"/>
                <w:szCs w:val="20"/>
              </w:rPr>
            </w:pPr>
            <w:r>
              <w:rPr>
                <w:rFonts w:ascii="Arial" w:hAnsi="Arial" w:cs="Arial"/>
                <w:b/>
                <w:bCs/>
                <w:sz w:val="20"/>
                <w:szCs w:val="20"/>
              </w:rPr>
              <w:t xml:space="preserve">Plant </w:t>
            </w:r>
            <w:proofErr w:type="spellStart"/>
            <w:r>
              <w:rPr>
                <w:rFonts w:ascii="Arial" w:hAnsi="Arial" w:cs="Arial"/>
                <w:b/>
                <w:bCs/>
                <w:sz w:val="20"/>
                <w:szCs w:val="20"/>
              </w:rPr>
              <w:t>Reactome</w:t>
            </w:r>
            <w:proofErr w:type="spellEnd"/>
            <w:r>
              <w:rPr>
                <w:rFonts w:ascii="Arial" w:hAnsi="Arial" w:cs="Arial"/>
                <w:b/>
                <w:bCs/>
                <w:sz w:val="20"/>
                <w:szCs w:val="20"/>
              </w:rPr>
              <w:t xml:space="preserve"> pathway theme</w:t>
            </w:r>
          </w:p>
        </w:tc>
        <w:tc>
          <w:tcPr>
            <w:tcW w:w="1980" w:type="dxa"/>
            <w:tcMar>
              <w:top w:w="80" w:type="dxa"/>
              <w:left w:w="80" w:type="dxa"/>
              <w:bottom w:w="80" w:type="dxa"/>
              <w:right w:w="80" w:type="dxa"/>
            </w:tcMar>
          </w:tcPr>
          <w:p w14:paraId="504B725A" w14:textId="77777777" w:rsidR="00D35566" w:rsidRDefault="00000000">
            <w:pPr>
              <w:rPr>
                <w:rFonts w:ascii="Arial" w:hAnsi="Arial" w:cs="Arial"/>
                <w:sz w:val="20"/>
                <w:szCs w:val="20"/>
              </w:rPr>
            </w:pPr>
            <w:proofErr w:type="spellStart"/>
            <w:r>
              <w:rPr>
                <w:rFonts w:ascii="Arial" w:hAnsi="Arial" w:cs="Arial"/>
                <w:b/>
                <w:bCs/>
                <w:sz w:val="20"/>
                <w:szCs w:val="20"/>
              </w:rPr>
              <w:t>Guiwei</w:t>
            </w:r>
            <w:proofErr w:type="spellEnd"/>
            <w:r>
              <w:rPr>
                <w:rFonts w:ascii="Arial" w:hAnsi="Arial" w:cs="Arial"/>
                <w:b/>
                <w:bCs/>
                <w:sz w:val="20"/>
                <w:szCs w:val="20"/>
              </w:rPr>
              <w:t xml:space="preserve"> all-DEG support</w:t>
            </w:r>
          </w:p>
        </w:tc>
        <w:tc>
          <w:tcPr>
            <w:tcW w:w="1980" w:type="dxa"/>
            <w:tcMar>
              <w:top w:w="80" w:type="dxa"/>
              <w:left w:w="80" w:type="dxa"/>
              <w:bottom w:w="80" w:type="dxa"/>
              <w:right w:w="80" w:type="dxa"/>
            </w:tcMar>
          </w:tcPr>
          <w:p w14:paraId="796EBDAF" w14:textId="77777777" w:rsidR="00D35566" w:rsidRDefault="00000000">
            <w:pPr>
              <w:rPr>
                <w:rFonts w:ascii="Arial" w:hAnsi="Arial" w:cs="Arial"/>
                <w:sz w:val="20"/>
                <w:szCs w:val="20"/>
              </w:rPr>
            </w:pPr>
            <w:r>
              <w:rPr>
                <w:rFonts w:ascii="Arial" w:hAnsi="Arial" w:cs="Arial"/>
                <w:b/>
                <w:bCs/>
                <w:sz w:val="20"/>
                <w:szCs w:val="20"/>
              </w:rPr>
              <w:t>Yurong all-DEG support</w:t>
            </w:r>
          </w:p>
        </w:tc>
        <w:tc>
          <w:tcPr>
            <w:tcW w:w="3060" w:type="dxa"/>
            <w:tcMar>
              <w:top w:w="80" w:type="dxa"/>
              <w:left w:w="80" w:type="dxa"/>
              <w:bottom w:w="80" w:type="dxa"/>
              <w:right w:w="80" w:type="dxa"/>
            </w:tcMar>
          </w:tcPr>
          <w:p w14:paraId="286FDE5C" w14:textId="77777777" w:rsidR="00D35566" w:rsidRDefault="00000000">
            <w:pPr>
              <w:rPr>
                <w:rFonts w:ascii="Arial" w:hAnsi="Arial" w:cs="Arial"/>
                <w:sz w:val="20"/>
                <w:szCs w:val="20"/>
              </w:rPr>
            </w:pPr>
            <w:r>
              <w:rPr>
                <w:rFonts w:ascii="Arial" w:hAnsi="Arial" w:cs="Arial"/>
                <w:b/>
                <w:bCs/>
                <w:sz w:val="20"/>
                <w:szCs w:val="20"/>
              </w:rPr>
              <w:t>Interpretation</w:t>
            </w:r>
          </w:p>
        </w:tc>
      </w:tr>
      <w:tr w:rsidR="00D35566" w14:paraId="0E9C9492" w14:textId="77777777">
        <w:trPr>
          <w:jc w:val="center"/>
        </w:trPr>
        <w:tc>
          <w:tcPr>
            <w:tcW w:w="2340" w:type="dxa"/>
            <w:tcMar>
              <w:top w:w="80" w:type="dxa"/>
              <w:left w:w="80" w:type="dxa"/>
              <w:bottom w:w="80" w:type="dxa"/>
              <w:right w:w="80" w:type="dxa"/>
            </w:tcMar>
          </w:tcPr>
          <w:p w14:paraId="5B591E92" w14:textId="77777777" w:rsidR="00D35566" w:rsidRDefault="00000000">
            <w:pPr>
              <w:rPr>
                <w:rFonts w:ascii="Arial" w:hAnsi="Arial" w:cs="Arial"/>
                <w:sz w:val="20"/>
                <w:szCs w:val="20"/>
              </w:rPr>
            </w:pPr>
            <w:r>
              <w:rPr>
                <w:rFonts w:ascii="Arial" w:hAnsi="Arial" w:cs="Arial"/>
                <w:sz w:val="20"/>
                <w:szCs w:val="20"/>
              </w:rPr>
              <w:t>Stress, immune, and hormone signaling</w:t>
            </w:r>
          </w:p>
        </w:tc>
        <w:tc>
          <w:tcPr>
            <w:tcW w:w="1980" w:type="dxa"/>
            <w:tcMar>
              <w:top w:w="80" w:type="dxa"/>
              <w:left w:w="80" w:type="dxa"/>
              <w:bottom w:w="80" w:type="dxa"/>
              <w:right w:w="80" w:type="dxa"/>
            </w:tcMar>
          </w:tcPr>
          <w:p w14:paraId="04F6A587" w14:textId="77777777" w:rsidR="00D35566" w:rsidRDefault="00000000">
            <w:pPr>
              <w:rPr>
                <w:rFonts w:ascii="Arial" w:hAnsi="Arial" w:cs="Arial"/>
                <w:sz w:val="20"/>
                <w:szCs w:val="20"/>
              </w:rPr>
            </w:pPr>
            <w:r>
              <w:rPr>
                <w:rFonts w:ascii="Arial" w:hAnsi="Arial" w:cs="Arial"/>
                <w:sz w:val="20"/>
                <w:szCs w:val="20"/>
              </w:rPr>
              <w:t>Detected among the 17 significant DEGs; narrower support because of the smaller DEG set</w:t>
            </w:r>
          </w:p>
        </w:tc>
        <w:tc>
          <w:tcPr>
            <w:tcW w:w="1980" w:type="dxa"/>
            <w:tcMar>
              <w:top w:w="80" w:type="dxa"/>
              <w:left w:w="80" w:type="dxa"/>
              <w:bottom w:w="80" w:type="dxa"/>
              <w:right w:w="80" w:type="dxa"/>
            </w:tcMar>
          </w:tcPr>
          <w:p w14:paraId="0538E165" w14:textId="77777777" w:rsidR="00D35566" w:rsidRDefault="00000000">
            <w:pPr>
              <w:rPr>
                <w:rFonts w:ascii="Arial" w:hAnsi="Arial" w:cs="Arial"/>
                <w:sz w:val="20"/>
                <w:szCs w:val="20"/>
              </w:rPr>
            </w:pPr>
            <w:r>
              <w:rPr>
                <w:rFonts w:ascii="Arial" w:hAnsi="Arial" w:cs="Arial"/>
                <w:sz w:val="20"/>
                <w:szCs w:val="20"/>
              </w:rPr>
              <w:t>Broadly represented among the 117 significant DEGs</w:t>
            </w:r>
          </w:p>
        </w:tc>
        <w:tc>
          <w:tcPr>
            <w:tcW w:w="3060" w:type="dxa"/>
            <w:tcMar>
              <w:top w:w="80" w:type="dxa"/>
              <w:left w:w="80" w:type="dxa"/>
              <w:bottom w:w="80" w:type="dxa"/>
              <w:right w:w="80" w:type="dxa"/>
            </w:tcMar>
          </w:tcPr>
          <w:p w14:paraId="722B9FC1" w14:textId="77777777" w:rsidR="00D35566" w:rsidRDefault="00000000">
            <w:pPr>
              <w:rPr>
                <w:rFonts w:ascii="Arial" w:hAnsi="Arial" w:cs="Arial"/>
                <w:sz w:val="20"/>
                <w:szCs w:val="20"/>
              </w:rPr>
            </w:pPr>
            <w:r>
              <w:rPr>
                <w:rFonts w:ascii="Arial" w:hAnsi="Arial" w:cs="Arial"/>
                <w:sz w:val="20"/>
                <w:szCs w:val="20"/>
              </w:rPr>
              <w:t>Suggests infection-induced signaling and hormone-mediated defense regulation.</w:t>
            </w:r>
          </w:p>
        </w:tc>
      </w:tr>
      <w:tr w:rsidR="00D35566" w14:paraId="389C7165" w14:textId="77777777">
        <w:trPr>
          <w:jc w:val="center"/>
        </w:trPr>
        <w:tc>
          <w:tcPr>
            <w:tcW w:w="2340" w:type="dxa"/>
            <w:tcMar>
              <w:top w:w="80" w:type="dxa"/>
              <w:left w:w="80" w:type="dxa"/>
              <w:bottom w:w="80" w:type="dxa"/>
              <w:right w:w="80" w:type="dxa"/>
            </w:tcMar>
          </w:tcPr>
          <w:p w14:paraId="27FC5645" w14:textId="77777777" w:rsidR="00D35566" w:rsidRDefault="00000000">
            <w:pPr>
              <w:rPr>
                <w:rFonts w:ascii="Arial" w:hAnsi="Arial" w:cs="Arial"/>
                <w:sz w:val="20"/>
                <w:szCs w:val="20"/>
              </w:rPr>
            </w:pPr>
            <w:r>
              <w:rPr>
                <w:rFonts w:ascii="Arial" w:hAnsi="Arial" w:cs="Arial"/>
                <w:sz w:val="20"/>
                <w:szCs w:val="20"/>
              </w:rPr>
              <w:t>Transcriptional and receptor-mediated regulation</w:t>
            </w:r>
          </w:p>
        </w:tc>
        <w:tc>
          <w:tcPr>
            <w:tcW w:w="1980" w:type="dxa"/>
            <w:tcMar>
              <w:top w:w="80" w:type="dxa"/>
              <w:left w:w="80" w:type="dxa"/>
              <w:bottom w:w="80" w:type="dxa"/>
              <w:right w:w="80" w:type="dxa"/>
            </w:tcMar>
          </w:tcPr>
          <w:p w14:paraId="16865582" w14:textId="77777777" w:rsidR="00D35566" w:rsidRDefault="00000000">
            <w:pPr>
              <w:rPr>
                <w:rFonts w:ascii="Arial" w:hAnsi="Arial" w:cs="Arial"/>
                <w:sz w:val="20"/>
                <w:szCs w:val="20"/>
              </w:rPr>
            </w:pPr>
            <w:r>
              <w:rPr>
                <w:rFonts w:ascii="Arial" w:hAnsi="Arial" w:cs="Arial"/>
                <w:sz w:val="20"/>
                <w:szCs w:val="20"/>
              </w:rPr>
              <w:t>Detected</w:t>
            </w:r>
          </w:p>
        </w:tc>
        <w:tc>
          <w:tcPr>
            <w:tcW w:w="1980" w:type="dxa"/>
            <w:tcMar>
              <w:top w:w="80" w:type="dxa"/>
              <w:left w:w="80" w:type="dxa"/>
              <w:bottom w:w="80" w:type="dxa"/>
              <w:right w:w="80" w:type="dxa"/>
            </w:tcMar>
          </w:tcPr>
          <w:p w14:paraId="3A8B17CC" w14:textId="77777777" w:rsidR="00D35566" w:rsidRDefault="00000000">
            <w:pPr>
              <w:rPr>
                <w:rFonts w:ascii="Arial" w:hAnsi="Arial" w:cs="Arial"/>
                <w:sz w:val="20"/>
                <w:szCs w:val="20"/>
              </w:rPr>
            </w:pPr>
            <w:r>
              <w:rPr>
                <w:rFonts w:ascii="Arial" w:hAnsi="Arial" w:cs="Arial"/>
                <w:sz w:val="20"/>
                <w:szCs w:val="20"/>
              </w:rPr>
              <w:t>Detected</w:t>
            </w:r>
          </w:p>
        </w:tc>
        <w:tc>
          <w:tcPr>
            <w:tcW w:w="3060" w:type="dxa"/>
            <w:tcMar>
              <w:top w:w="80" w:type="dxa"/>
              <w:left w:w="80" w:type="dxa"/>
              <w:bottom w:w="80" w:type="dxa"/>
              <w:right w:w="80" w:type="dxa"/>
            </w:tcMar>
          </w:tcPr>
          <w:p w14:paraId="051CB019" w14:textId="77777777" w:rsidR="00D35566" w:rsidRDefault="00000000">
            <w:pPr>
              <w:rPr>
                <w:rFonts w:ascii="Arial" w:hAnsi="Arial" w:cs="Arial"/>
                <w:sz w:val="20"/>
                <w:szCs w:val="20"/>
              </w:rPr>
            </w:pPr>
            <w:r>
              <w:rPr>
                <w:rFonts w:ascii="Arial" w:hAnsi="Arial" w:cs="Arial"/>
                <w:sz w:val="20"/>
                <w:szCs w:val="20"/>
              </w:rPr>
              <w:t>Consistent with cultivar-dependent regulation of pathogen-response genes.</w:t>
            </w:r>
          </w:p>
        </w:tc>
      </w:tr>
      <w:tr w:rsidR="00D35566" w14:paraId="69CDF6DD" w14:textId="77777777">
        <w:trPr>
          <w:jc w:val="center"/>
        </w:trPr>
        <w:tc>
          <w:tcPr>
            <w:tcW w:w="2340" w:type="dxa"/>
            <w:tcMar>
              <w:top w:w="80" w:type="dxa"/>
              <w:left w:w="80" w:type="dxa"/>
              <w:bottom w:w="80" w:type="dxa"/>
              <w:right w:w="80" w:type="dxa"/>
            </w:tcMar>
          </w:tcPr>
          <w:p w14:paraId="64B70003" w14:textId="77777777" w:rsidR="00D35566" w:rsidRDefault="00000000">
            <w:pPr>
              <w:rPr>
                <w:rFonts w:ascii="Arial" w:hAnsi="Arial" w:cs="Arial"/>
                <w:sz w:val="20"/>
                <w:szCs w:val="20"/>
              </w:rPr>
            </w:pPr>
            <w:r>
              <w:rPr>
                <w:rFonts w:ascii="Arial" w:hAnsi="Arial" w:cs="Arial"/>
                <w:sz w:val="20"/>
                <w:szCs w:val="20"/>
              </w:rPr>
              <w:t>Protein folding, processing, and turnover</w:t>
            </w:r>
          </w:p>
        </w:tc>
        <w:tc>
          <w:tcPr>
            <w:tcW w:w="1980" w:type="dxa"/>
            <w:tcMar>
              <w:top w:w="80" w:type="dxa"/>
              <w:left w:w="80" w:type="dxa"/>
              <w:bottom w:w="80" w:type="dxa"/>
              <w:right w:w="80" w:type="dxa"/>
            </w:tcMar>
          </w:tcPr>
          <w:p w14:paraId="5B886880" w14:textId="77777777" w:rsidR="00D35566" w:rsidRDefault="00000000">
            <w:pPr>
              <w:rPr>
                <w:rFonts w:ascii="Arial" w:hAnsi="Arial" w:cs="Arial"/>
                <w:sz w:val="20"/>
                <w:szCs w:val="20"/>
              </w:rPr>
            </w:pPr>
            <w:r>
              <w:rPr>
                <w:rFonts w:ascii="Arial" w:hAnsi="Arial" w:cs="Arial"/>
                <w:sz w:val="20"/>
                <w:szCs w:val="20"/>
              </w:rPr>
              <w:t>Limited support</w:t>
            </w:r>
          </w:p>
        </w:tc>
        <w:tc>
          <w:tcPr>
            <w:tcW w:w="1980" w:type="dxa"/>
            <w:tcMar>
              <w:top w:w="80" w:type="dxa"/>
              <w:left w:w="80" w:type="dxa"/>
              <w:bottom w:w="80" w:type="dxa"/>
              <w:right w:w="80" w:type="dxa"/>
            </w:tcMar>
          </w:tcPr>
          <w:p w14:paraId="1B1DE88B" w14:textId="77777777" w:rsidR="00D35566" w:rsidRDefault="00000000">
            <w:pPr>
              <w:rPr>
                <w:rFonts w:ascii="Arial" w:hAnsi="Arial" w:cs="Arial"/>
                <w:sz w:val="20"/>
                <w:szCs w:val="20"/>
              </w:rPr>
            </w:pPr>
            <w:r>
              <w:rPr>
                <w:rFonts w:ascii="Arial" w:hAnsi="Arial" w:cs="Arial"/>
                <w:sz w:val="20"/>
                <w:szCs w:val="20"/>
              </w:rPr>
              <w:t>Detected</w:t>
            </w:r>
          </w:p>
        </w:tc>
        <w:tc>
          <w:tcPr>
            <w:tcW w:w="3060" w:type="dxa"/>
            <w:tcMar>
              <w:top w:w="80" w:type="dxa"/>
              <w:left w:w="80" w:type="dxa"/>
              <w:bottom w:w="80" w:type="dxa"/>
              <w:right w:w="80" w:type="dxa"/>
            </w:tcMar>
          </w:tcPr>
          <w:p w14:paraId="656EE181" w14:textId="77777777" w:rsidR="00D35566" w:rsidRDefault="00000000">
            <w:pPr>
              <w:rPr>
                <w:rFonts w:ascii="Arial" w:hAnsi="Arial" w:cs="Arial"/>
                <w:sz w:val="20"/>
                <w:szCs w:val="20"/>
              </w:rPr>
            </w:pPr>
            <w:r>
              <w:rPr>
                <w:rFonts w:ascii="Arial" w:hAnsi="Arial" w:cs="Arial"/>
                <w:sz w:val="20"/>
                <w:szCs w:val="20"/>
              </w:rPr>
              <w:t xml:space="preserve">Indicates stress-associated </w:t>
            </w:r>
            <w:proofErr w:type="spellStart"/>
            <w:r>
              <w:rPr>
                <w:rFonts w:ascii="Arial" w:hAnsi="Arial" w:cs="Arial"/>
                <w:sz w:val="20"/>
                <w:szCs w:val="20"/>
              </w:rPr>
              <w:t>proteostasis</w:t>
            </w:r>
            <w:proofErr w:type="spellEnd"/>
            <w:r>
              <w:rPr>
                <w:rFonts w:ascii="Arial" w:hAnsi="Arial" w:cs="Arial"/>
                <w:sz w:val="20"/>
                <w:szCs w:val="20"/>
              </w:rPr>
              <w:t xml:space="preserve"> and possible chaperone or protein-quality-control responses.</w:t>
            </w:r>
          </w:p>
        </w:tc>
      </w:tr>
      <w:tr w:rsidR="00D35566" w14:paraId="15F72B94" w14:textId="77777777">
        <w:trPr>
          <w:jc w:val="center"/>
        </w:trPr>
        <w:tc>
          <w:tcPr>
            <w:tcW w:w="2340" w:type="dxa"/>
            <w:tcMar>
              <w:top w:w="80" w:type="dxa"/>
              <w:left w:w="80" w:type="dxa"/>
              <w:bottom w:w="80" w:type="dxa"/>
              <w:right w:w="80" w:type="dxa"/>
            </w:tcMar>
          </w:tcPr>
          <w:p w14:paraId="1D8476CC" w14:textId="77777777" w:rsidR="00D35566" w:rsidRDefault="00000000">
            <w:pPr>
              <w:rPr>
                <w:rFonts w:ascii="Arial" w:hAnsi="Arial" w:cs="Arial"/>
                <w:sz w:val="20"/>
                <w:szCs w:val="20"/>
              </w:rPr>
            </w:pPr>
            <w:r>
              <w:rPr>
                <w:rFonts w:ascii="Arial" w:hAnsi="Arial" w:cs="Arial"/>
                <w:sz w:val="20"/>
                <w:szCs w:val="20"/>
              </w:rPr>
              <w:t>Carbohydrate, cell-wall, and secondary-metabolic processes</w:t>
            </w:r>
          </w:p>
        </w:tc>
        <w:tc>
          <w:tcPr>
            <w:tcW w:w="1980" w:type="dxa"/>
            <w:tcMar>
              <w:top w:w="80" w:type="dxa"/>
              <w:left w:w="80" w:type="dxa"/>
              <w:bottom w:w="80" w:type="dxa"/>
              <w:right w:w="80" w:type="dxa"/>
            </w:tcMar>
          </w:tcPr>
          <w:p w14:paraId="7DCE22E8" w14:textId="77777777" w:rsidR="00D35566" w:rsidRDefault="00000000">
            <w:pPr>
              <w:rPr>
                <w:rFonts w:ascii="Arial" w:hAnsi="Arial" w:cs="Arial"/>
                <w:sz w:val="20"/>
                <w:szCs w:val="20"/>
              </w:rPr>
            </w:pPr>
            <w:r>
              <w:rPr>
                <w:rFonts w:ascii="Arial" w:hAnsi="Arial" w:cs="Arial"/>
                <w:sz w:val="20"/>
                <w:szCs w:val="20"/>
              </w:rPr>
              <w:t>Limited support</w:t>
            </w:r>
          </w:p>
        </w:tc>
        <w:tc>
          <w:tcPr>
            <w:tcW w:w="1980" w:type="dxa"/>
            <w:tcMar>
              <w:top w:w="80" w:type="dxa"/>
              <w:left w:w="80" w:type="dxa"/>
              <w:bottom w:w="80" w:type="dxa"/>
              <w:right w:w="80" w:type="dxa"/>
            </w:tcMar>
          </w:tcPr>
          <w:p w14:paraId="681E2453" w14:textId="77777777" w:rsidR="00D35566" w:rsidRDefault="00000000">
            <w:pPr>
              <w:rPr>
                <w:rFonts w:ascii="Arial" w:hAnsi="Arial" w:cs="Arial"/>
                <w:sz w:val="20"/>
                <w:szCs w:val="20"/>
              </w:rPr>
            </w:pPr>
            <w:r>
              <w:rPr>
                <w:rFonts w:ascii="Arial" w:hAnsi="Arial" w:cs="Arial"/>
                <w:sz w:val="20"/>
                <w:szCs w:val="20"/>
              </w:rPr>
              <w:t>Detected</w:t>
            </w:r>
          </w:p>
        </w:tc>
        <w:tc>
          <w:tcPr>
            <w:tcW w:w="3060" w:type="dxa"/>
            <w:tcMar>
              <w:top w:w="80" w:type="dxa"/>
              <w:left w:w="80" w:type="dxa"/>
              <w:bottom w:w="80" w:type="dxa"/>
              <w:right w:w="80" w:type="dxa"/>
            </w:tcMar>
          </w:tcPr>
          <w:p w14:paraId="676482B4" w14:textId="77777777" w:rsidR="00D35566" w:rsidRDefault="00000000">
            <w:pPr>
              <w:rPr>
                <w:rFonts w:ascii="Arial" w:hAnsi="Arial" w:cs="Arial"/>
                <w:sz w:val="20"/>
                <w:szCs w:val="20"/>
              </w:rPr>
            </w:pPr>
            <w:r>
              <w:rPr>
                <w:rFonts w:ascii="Arial" w:hAnsi="Arial" w:cs="Arial"/>
                <w:sz w:val="20"/>
                <w:szCs w:val="20"/>
              </w:rPr>
              <w:t>May reflect cell-wall remodeling and metabolic adjustment during pathogen challenge.</w:t>
            </w:r>
          </w:p>
        </w:tc>
      </w:tr>
      <w:tr w:rsidR="00D35566" w14:paraId="23AF419B" w14:textId="77777777">
        <w:trPr>
          <w:jc w:val="center"/>
        </w:trPr>
        <w:tc>
          <w:tcPr>
            <w:tcW w:w="2340" w:type="dxa"/>
            <w:tcMar>
              <w:top w:w="80" w:type="dxa"/>
              <w:left w:w="80" w:type="dxa"/>
              <w:bottom w:w="80" w:type="dxa"/>
              <w:right w:w="80" w:type="dxa"/>
            </w:tcMar>
          </w:tcPr>
          <w:p w14:paraId="464F8DBA" w14:textId="77777777" w:rsidR="00D35566" w:rsidRDefault="00000000">
            <w:pPr>
              <w:rPr>
                <w:rFonts w:ascii="Arial" w:hAnsi="Arial" w:cs="Arial"/>
                <w:sz w:val="20"/>
                <w:szCs w:val="20"/>
              </w:rPr>
            </w:pPr>
            <w:r>
              <w:rPr>
                <w:rFonts w:ascii="Arial" w:hAnsi="Arial" w:cs="Arial"/>
                <w:sz w:val="20"/>
                <w:szCs w:val="20"/>
              </w:rPr>
              <w:t>Transport and membrane-associated processes</w:t>
            </w:r>
          </w:p>
        </w:tc>
        <w:tc>
          <w:tcPr>
            <w:tcW w:w="1980" w:type="dxa"/>
            <w:tcMar>
              <w:top w:w="80" w:type="dxa"/>
              <w:left w:w="80" w:type="dxa"/>
              <w:bottom w:w="80" w:type="dxa"/>
              <w:right w:w="80" w:type="dxa"/>
            </w:tcMar>
          </w:tcPr>
          <w:p w14:paraId="74FD04EA" w14:textId="77777777" w:rsidR="00D35566" w:rsidRDefault="00000000">
            <w:pPr>
              <w:rPr>
                <w:rFonts w:ascii="Arial" w:hAnsi="Arial" w:cs="Arial"/>
                <w:sz w:val="20"/>
                <w:szCs w:val="20"/>
              </w:rPr>
            </w:pPr>
            <w:r>
              <w:rPr>
                <w:rFonts w:ascii="Arial" w:hAnsi="Arial" w:cs="Arial"/>
                <w:sz w:val="20"/>
                <w:szCs w:val="20"/>
              </w:rPr>
              <w:t>Detected</w:t>
            </w:r>
          </w:p>
        </w:tc>
        <w:tc>
          <w:tcPr>
            <w:tcW w:w="1980" w:type="dxa"/>
            <w:tcMar>
              <w:top w:w="80" w:type="dxa"/>
              <w:left w:w="80" w:type="dxa"/>
              <w:bottom w:w="80" w:type="dxa"/>
              <w:right w:w="80" w:type="dxa"/>
            </w:tcMar>
          </w:tcPr>
          <w:p w14:paraId="29B277E0" w14:textId="77777777" w:rsidR="00D35566" w:rsidRDefault="00000000">
            <w:pPr>
              <w:rPr>
                <w:rFonts w:ascii="Arial" w:hAnsi="Arial" w:cs="Arial"/>
                <w:sz w:val="20"/>
                <w:szCs w:val="20"/>
              </w:rPr>
            </w:pPr>
            <w:r>
              <w:rPr>
                <w:rFonts w:ascii="Arial" w:hAnsi="Arial" w:cs="Arial"/>
                <w:sz w:val="20"/>
                <w:szCs w:val="20"/>
              </w:rPr>
              <w:t>Detected</w:t>
            </w:r>
          </w:p>
        </w:tc>
        <w:tc>
          <w:tcPr>
            <w:tcW w:w="3060" w:type="dxa"/>
            <w:tcMar>
              <w:top w:w="80" w:type="dxa"/>
              <w:left w:w="80" w:type="dxa"/>
              <w:bottom w:w="80" w:type="dxa"/>
              <w:right w:w="80" w:type="dxa"/>
            </w:tcMar>
          </w:tcPr>
          <w:p w14:paraId="3EAD9162" w14:textId="77777777" w:rsidR="00D35566" w:rsidRDefault="00000000">
            <w:pPr>
              <w:rPr>
                <w:rFonts w:ascii="Arial" w:hAnsi="Arial" w:cs="Arial"/>
                <w:sz w:val="20"/>
                <w:szCs w:val="20"/>
              </w:rPr>
            </w:pPr>
            <w:r>
              <w:rPr>
                <w:rFonts w:ascii="Arial" w:hAnsi="Arial" w:cs="Arial"/>
                <w:sz w:val="20"/>
                <w:szCs w:val="20"/>
              </w:rPr>
              <w:t>Supports roles for membrane transport and signaling during early infection.</w:t>
            </w:r>
          </w:p>
        </w:tc>
      </w:tr>
      <w:tr w:rsidR="00D35566" w14:paraId="67DF48AE" w14:textId="77777777">
        <w:trPr>
          <w:jc w:val="center"/>
        </w:trPr>
        <w:tc>
          <w:tcPr>
            <w:tcW w:w="2340" w:type="dxa"/>
            <w:tcMar>
              <w:top w:w="80" w:type="dxa"/>
              <w:left w:w="80" w:type="dxa"/>
              <w:bottom w:w="80" w:type="dxa"/>
              <w:right w:w="80" w:type="dxa"/>
            </w:tcMar>
          </w:tcPr>
          <w:p w14:paraId="1574AB75" w14:textId="77777777" w:rsidR="00D35566" w:rsidRDefault="00000000">
            <w:pPr>
              <w:rPr>
                <w:rFonts w:ascii="Arial" w:hAnsi="Arial" w:cs="Arial"/>
                <w:sz w:val="20"/>
                <w:szCs w:val="20"/>
              </w:rPr>
            </w:pPr>
            <w:r>
              <w:rPr>
                <w:rFonts w:ascii="Arial" w:hAnsi="Arial" w:cs="Arial"/>
                <w:sz w:val="20"/>
                <w:szCs w:val="20"/>
              </w:rPr>
              <w:lastRenderedPageBreak/>
              <w:t>Unmapped or poorly annotated lychee genes</w:t>
            </w:r>
          </w:p>
        </w:tc>
        <w:tc>
          <w:tcPr>
            <w:tcW w:w="1980" w:type="dxa"/>
            <w:tcMar>
              <w:top w:w="80" w:type="dxa"/>
              <w:left w:w="80" w:type="dxa"/>
              <w:bottom w:w="80" w:type="dxa"/>
              <w:right w:w="80" w:type="dxa"/>
            </w:tcMar>
          </w:tcPr>
          <w:p w14:paraId="37E25A4E" w14:textId="77777777" w:rsidR="00D35566" w:rsidRDefault="00000000">
            <w:pPr>
              <w:rPr>
                <w:rFonts w:ascii="Arial" w:hAnsi="Arial" w:cs="Arial"/>
                <w:sz w:val="20"/>
                <w:szCs w:val="20"/>
              </w:rPr>
            </w:pPr>
            <w:r>
              <w:rPr>
                <w:rFonts w:ascii="Arial" w:hAnsi="Arial" w:cs="Arial"/>
                <w:sz w:val="20"/>
                <w:szCs w:val="20"/>
              </w:rPr>
              <w:t>Present</w:t>
            </w:r>
          </w:p>
        </w:tc>
        <w:tc>
          <w:tcPr>
            <w:tcW w:w="1980" w:type="dxa"/>
            <w:tcMar>
              <w:top w:w="80" w:type="dxa"/>
              <w:left w:w="80" w:type="dxa"/>
              <w:bottom w:w="80" w:type="dxa"/>
              <w:right w:w="80" w:type="dxa"/>
            </w:tcMar>
          </w:tcPr>
          <w:p w14:paraId="01AF4206" w14:textId="77777777" w:rsidR="00D35566" w:rsidRDefault="00000000">
            <w:pPr>
              <w:rPr>
                <w:rFonts w:ascii="Arial" w:hAnsi="Arial" w:cs="Arial"/>
                <w:sz w:val="20"/>
                <w:szCs w:val="20"/>
              </w:rPr>
            </w:pPr>
            <w:r>
              <w:rPr>
                <w:rFonts w:ascii="Arial" w:hAnsi="Arial" w:cs="Arial"/>
                <w:sz w:val="20"/>
                <w:szCs w:val="20"/>
              </w:rPr>
              <w:t>Present</w:t>
            </w:r>
          </w:p>
        </w:tc>
        <w:tc>
          <w:tcPr>
            <w:tcW w:w="3060" w:type="dxa"/>
            <w:tcMar>
              <w:top w:w="80" w:type="dxa"/>
              <w:left w:w="80" w:type="dxa"/>
              <w:bottom w:w="80" w:type="dxa"/>
              <w:right w:w="80" w:type="dxa"/>
            </w:tcMar>
          </w:tcPr>
          <w:p w14:paraId="3B8491EF" w14:textId="77777777" w:rsidR="00D35566" w:rsidRDefault="00000000">
            <w:pPr>
              <w:rPr>
                <w:rFonts w:ascii="Arial" w:hAnsi="Arial" w:cs="Arial"/>
                <w:sz w:val="20"/>
                <w:szCs w:val="20"/>
              </w:rPr>
            </w:pPr>
            <w:r>
              <w:rPr>
                <w:rFonts w:ascii="Arial" w:hAnsi="Arial" w:cs="Arial"/>
                <w:sz w:val="20"/>
                <w:szCs w:val="20"/>
              </w:rPr>
              <w:t xml:space="preserve">Highlights the need for a complete lychee-to-model-species </w:t>
            </w:r>
            <w:proofErr w:type="spellStart"/>
            <w:r>
              <w:rPr>
                <w:rFonts w:ascii="Arial" w:hAnsi="Arial" w:cs="Arial"/>
                <w:sz w:val="20"/>
                <w:szCs w:val="20"/>
              </w:rPr>
              <w:t>orthology</w:t>
            </w:r>
            <w:proofErr w:type="spellEnd"/>
            <w:r>
              <w:rPr>
                <w:rFonts w:ascii="Arial" w:hAnsi="Arial" w:cs="Arial"/>
                <w:sz w:val="20"/>
                <w:szCs w:val="20"/>
              </w:rPr>
              <w:t xml:space="preserve"> table before formal </w:t>
            </w:r>
            <w:proofErr w:type="spellStart"/>
            <w:r>
              <w:rPr>
                <w:rFonts w:ascii="Arial" w:hAnsi="Arial" w:cs="Arial"/>
                <w:sz w:val="20"/>
                <w:szCs w:val="20"/>
              </w:rPr>
              <w:t>Reactome</w:t>
            </w:r>
            <w:proofErr w:type="spellEnd"/>
            <w:r>
              <w:rPr>
                <w:rFonts w:ascii="Arial" w:hAnsi="Arial" w:cs="Arial"/>
                <w:sz w:val="20"/>
                <w:szCs w:val="20"/>
              </w:rPr>
              <w:t xml:space="preserve"> FDR enrichment.</w:t>
            </w:r>
          </w:p>
        </w:tc>
      </w:tr>
    </w:tbl>
    <w:p w14:paraId="7BF4174B" w14:textId="77777777" w:rsidR="00D35566" w:rsidRDefault="00000000">
      <w:pPr>
        <w:pStyle w:val="Caption"/>
        <w:spacing w:after="0"/>
        <w:rPr>
          <w:rFonts w:ascii="Arial" w:hAnsi="Arial" w:cs="Arial"/>
          <w:b/>
          <w:bCs/>
          <w:sz w:val="22"/>
          <w:szCs w:val="22"/>
        </w:rPr>
      </w:pPr>
      <w:r>
        <w:rPr>
          <w:rFonts w:ascii="Arial" w:hAnsi="Arial" w:cs="Arial"/>
          <w:b/>
          <w:bCs/>
          <w:sz w:val="22"/>
          <w:szCs w:val="22"/>
        </w:rPr>
        <w:t xml:space="preserve">Table 3. </w:t>
      </w:r>
      <w:proofErr w:type="spellStart"/>
      <w:r>
        <w:rPr>
          <w:rFonts w:ascii="Arial" w:hAnsi="Arial" w:cs="Arial"/>
          <w:b/>
          <w:bCs/>
          <w:sz w:val="22"/>
          <w:szCs w:val="22"/>
        </w:rPr>
        <w:t>Orthology</w:t>
      </w:r>
      <w:proofErr w:type="spellEnd"/>
      <w:r>
        <w:rPr>
          <w:rFonts w:ascii="Arial" w:hAnsi="Arial" w:cs="Arial"/>
          <w:b/>
          <w:bCs/>
          <w:sz w:val="22"/>
          <w:szCs w:val="22"/>
        </w:rPr>
        <w:t xml:space="preserve">-guided Plant </w:t>
      </w:r>
      <w:proofErr w:type="spellStart"/>
      <w:r>
        <w:rPr>
          <w:rFonts w:ascii="Arial" w:hAnsi="Arial" w:cs="Arial"/>
          <w:b/>
          <w:bCs/>
          <w:sz w:val="22"/>
          <w:szCs w:val="22"/>
        </w:rPr>
        <w:t>Reactome</w:t>
      </w:r>
      <w:proofErr w:type="spellEnd"/>
      <w:r>
        <w:rPr>
          <w:rFonts w:ascii="Arial" w:hAnsi="Arial" w:cs="Arial"/>
          <w:b/>
          <w:bCs/>
          <w:sz w:val="22"/>
          <w:szCs w:val="22"/>
        </w:rPr>
        <w:t xml:space="preserve"> pathway screen applied to all significant pairwise DEGs.</w:t>
      </w:r>
    </w:p>
    <w:p w14:paraId="5E2EA183" w14:textId="77777777" w:rsidR="00D35566" w:rsidRDefault="00000000">
      <w:pPr>
        <w:pStyle w:val="BodyTextIndent1"/>
        <w:ind w:firstLine="0"/>
        <w:rPr>
          <w:szCs w:val="22"/>
        </w:rPr>
      </w:pPr>
      <w:r>
        <w:t xml:space="preserve">Note: The input consisted of the complete significant DEG sets reported in Section 2.2, not only the selected candidate genes. Because the Plant </w:t>
      </w:r>
      <w:proofErr w:type="spellStart"/>
      <w:r>
        <w:t>Reactome</w:t>
      </w:r>
      <w:proofErr w:type="spellEnd"/>
      <w:r>
        <w:t xml:space="preserve"> export examined here did not contain direct </w:t>
      </w:r>
      <w:r>
        <w:rPr>
          <w:i/>
        </w:rPr>
        <w:t>Litchi chinensis</w:t>
      </w:r>
      <w:r>
        <w:t xml:space="preserve"> entries for the LITCHI identifiers, results are reported descriptively rather than as formal FDR-corrected over-representation statistics.</w:t>
      </w:r>
    </w:p>
    <w:p w14:paraId="3DF715CD" w14:textId="77777777" w:rsidR="00D35566" w:rsidRDefault="00000000">
      <w:pPr>
        <w:pStyle w:val="BodyTextIndent1"/>
        <w:ind w:firstLine="0"/>
        <w:rPr>
          <w:b/>
          <w:bCs/>
          <w:i/>
          <w:iCs/>
          <w:szCs w:val="22"/>
        </w:rPr>
      </w:pPr>
      <w:r>
        <w:rPr>
          <w:b/>
          <w:bCs/>
          <w:i/>
          <w:iCs/>
        </w:rPr>
        <w:t>Structural, motif, and promoter analysis of selected genes</w:t>
      </w:r>
    </w:p>
    <w:p w14:paraId="4B0C32F0" w14:textId="77777777" w:rsidR="00D35566" w:rsidRDefault="00000000">
      <w:pPr>
        <w:jc w:val="center"/>
      </w:pPr>
      <w:r>
        <w:rPr>
          <w:noProof/>
        </w:rPr>
        <w:drawing>
          <wp:inline distT="0" distB="0" distL="0" distR="0" wp14:anchorId="1A66F2DC" wp14:editId="7A7FA86D">
            <wp:extent cx="5619624" cy="22793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19624" cy="2279319"/>
                    </a:xfrm>
                    <a:prstGeom prst="rect">
                      <a:avLst/>
                    </a:prstGeom>
                  </pic:spPr>
                </pic:pic>
              </a:graphicData>
            </a:graphic>
          </wp:inline>
        </w:drawing>
      </w:r>
    </w:p>
    <w:p w14:paraId="2E0AF662" w14:textId="77777777" w:rsidR="00D35566" w:rsidRDefault="00000000">
      <w:pPr>
        <w:pStyle w:val="Caption"/>
        <w:spacing w:after="0"/>
        <w:rPr>
          <w:rFonts w:ascii="Arial" w:hAnsi="Arial" w:cs="Arial"/>
          <w:b/>
          <w:bCs/>
          <w:sz w:val="22"/>
          <w:szCs w:val="22"/>
        </w:rPr>
      </w:pPr>
      <w:r>
        <w:rPr>
          <w:rFonts w:ascii="Arial" w:hAnsi="Arial" w:cs="Arial"/>
          <w:b/>
          <w:bCs/>
          <w:sz w:val="22"/>
          <w:szCs w:val="22"/>
        </w:rPr>
        <w:t>Figure 5. Chromosomal locations of selected differentially expressed genes.</w:t>
      </w:r>
    </w:p>
    <w:p w14:paraId="759AD53B" w14:textId="77777777" w:rsidR="00D35566" w:rsidRDefault="00000000">
      <w:pPr>
        <w:pStyle w:val="BodyTextIndent1"/>
      </w:pPr>
      <w:r>
        <w:t>The selected genes were distributed across 10 of the 15 lychee chromosomes (Figure 5). Most chromosomes contained one selected gene, whereas chromosome 15 contained five selected genes and chromosome 5 contained three selected genes.</w:t>
      </w:r>
    </w:p>
    <w:p w14:paraId="4FF32B26" w14:textId="77777777" w:rsidR="00D35566" w:rsidRDefault="00000000">
      <w:pPr>
        <w:jc w:val="center"/>
      </w:pPr>
      <w:r>
        <w:rPr>
          <w:noProof/>
        </w:rPr>
        <w:lastRenderedPageBreak/>
        <w:drawing>
          <wp:inline distT="0" distB="0" distL="0" distR="0" wp14:anchorId="0E6D5AE2" wp14:editId="14443831">
            <wp:extent cx="5630487" cy="38497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30487" cy="3849761"/>
                    </a:xfrm>
                    <a:prstGeom prst="rect">
                      <a:avLst/>
                    </a:prstGeom>
                  </pic:spPr>
                </pic:pic>
              </a:graphicData>
            </a:graphic>
          </wp:inline>
        </w:drawing>
      </w:r>
    </w:p>
    <w:p w14:paraId="3ECB2E3E" w14:textId="77777777" w:rsidR="00D35566" w:rsidRDefault="00000000">
      <w:pPr>
        <w:pStyle w:val="Caption"/>
        <w:spacing w:after="0"/>
        <w:rPr>
          <w:rFonts w:ascii="Arial" w:hAnsi="Arial" w:cs="Arial"/>
          <w:b/>
          <w:bCs/>
          <w:sz w:val="22"/>
          <w:szCs w:val="22"/>
        </w:rPr>
      </w:pPr>
      <w:r>
        <w:rPr>
          <w:rFonts w:ascii="Arial" w:hAnsi="Arial" w:cs="Arial"/>
          <w:b/>
          <w:bCs/>
          <w:sz w:val="22"/>
          <w:szCs w:val="22"/>
        </w:rPr>
        <w:t>Figure 6. Gene structures of selected differentially expressed genes.</w:t>
      </w:r>
    </w:p>
    <w:p w14:paraId="13B9C769" w14:textId="77777777" w:rsidR="00D35566" w:rsidRDefault="00000000">
      <w:pPr>
        <w:pStyle w:val="BodyTextIndent1"/>
      </w:pPr>
      <w:r>
        <w:t>Because many lychee genes remain incompletely characterized, we further examined the structures of the selected genes (Figure 6). Yellow segments represent exons, and solid lines represent introns. Exon numbers varied substantially among genes. For example, LITCHI025738 contained 10 exons, whereas LITCHI007102 contained 2 exons. LITCHI001510 was the longest among the selected genes, but most of its length corresponded to intronic regions. By contrast, LITCHI025738, LITCHI012388, and LITCHI028104 contained multiple small exons.</w:t>
      </w:r>
    </w:p>
    <w:p w14:paraId="5923B42D" w14:textId="77777777" w:rsidR="00D35566" w:rsidRDefault="00000000">
      <w:pPr>
        <w:pStyle w:val="BodyTextIndent1"/>
      </w:pPr>
      <w:r>
        <w:t xml:space="preserve">Conserved-motif analysis identified 20 motifs among the selected genes (Figure 7). Most genes contained only a small number of predicted motifs, </w:t>
      </w:r>
      <w:proofErr w:type="gramStart"/>
      <w:r>
        <w:t>with the exception of</w:t>
      </w:r>
      <w:proofErr w:type="gramEnd"/>
      <w:r>
        <w:t xml:space="preserve"> LITCHI009301, LITCHI002793, and LITCHI001510. Motif2, Motif5, and Motif7 were assigned to the thaumatin family, consistent with the presence of stress- and defense-related proteins among the selected genes.</w:t>
      </w:r>
    </w:p>
    <w:p w14:paraId="49C4028E" w14:textId="77777777" w:rsidR="00D35566" w:rsidRDefault="00000000">
      <w:pPr>
        <w:jc w:val="center"/>
      </w:pPr>
      <w:r>
        <w:rPr>
          <w:noProof/>
        </w:rPr>
        <w:lastRenderedPageBreak/>
        <w:drawing>
          <wp:inline distT="0" distB="0" distL="0" distR="0" wp14:anchorId="182C6A19" wp14:editId="7AEF00B1">
            <wp:extent cx="5774575" cy="3378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74575" cy="3378740"/>
                    </a:xfrm>
                    <a:prstGeom prst="rect">
                      <a:avLst/>
                    </a:prstGeom>
                  </pic:spPr>
                </pic:pic>
              </a:graphicData>
            </a:graphic>
          </wp:inline>
        </w:drawing>
      </w:r>
    </w:p>
    <w:p w14:paraId="7FA2E41D" w14:textId="77777777" w:rsidR="00D35566" w:rsidRDefault="00000000">
      <w:pPr>
        <w:pStyle w:val="Caption"/>
        <w:spacing w:after="0"/>
        <w:rPr>
          <w:rFonts w:ascii="Arial" w:hAnsi="Arial" w:cs="Arial"/>
          <w:b/>
          <w:bCs/>
          <w:sz w:val="22"/>
          <w:szCs w:val="22"/>
        </w:rPr>
      </w:pPr>
      <w:r>
        <w:rPr>
          <w:rFonts w:ascii="Arial" w:hAnsi="Arial" w:cs="Arial"/>
          <w:b/>
          <w:bCs/>
          <w:sz w:val="22"/>
          <w:szCs w:val="22"/>
        </w:rPr>
        <w:t>Figure 7. Distribution of predicted conserved motifs in selected differentially expressed genes.</w:t>
      </w:r>
    </w:p>
    <w:p w14:paraId="27162745" w14:textId="77777777" w:rsidR="00D35566" w:rsidRDefault="00000000">
      <w:pPr>
        <w:pStyle w:val="BodyTextIndent1"/>
      </w:pPr>
      <w:r>
        <w:t>Cis-acting regulatory elements are noncoding DNA sequences that influence the timing, location, and magnitude of gene expression and can contribute to plant responses to environmental stimuli [11].</w:t>
      </w:r>
    </w:p>
    <w:p w14:paraId="17ED49C7" w14:textId="77777777" w:rsidR="00D35566" w:rsidRDefault="00000000">
      <w:pPr>
        <w:pStyle w:val="BodyTextIndent1"/>
      </w:pPr>
      <w:r>
        <w:t xml:space="preserve">Promoter regions 2000 bp upstream of the selected genes were examined for cis-acting regulatory elements. We focused on seven elements with potential relevance to plant stress or defense responses: TCA-elements, ABRE, ARE, </w:t>
      </w:r>
      <w:proofErr w:type="spellStart"/>
      <w:r>
        <w:t>MeJA</w:t>
      </w:r>
      <w:proofErr w:type="spellEnd"/>
      <w:r>
        <w:t>-responsive elements, TC-rich repeats, AT-rich sequences, and MBS. These elements were broadly distributed across most selected genes (Figure 8), except LITCHI002793, which contained fewer detected elements in the analyzed promoter region. Figure 9 summarizes the number of occurrences of each element in each selected gene.</w:t>
      </w:r>
    </w:p>
    <w:p w14:paraId="05340441" w14:textId="77777777" w:rsidR="00D35566" w:rsidRDefault="00000000">
      <w:pPr>
        <w:jc w:val="center"/>
      </w:pPr>
      <w:r>
        <w:rPr>
          <w:noProof/>
        </w:rPr>
        <w:lastRenderedPageBreak/>
        <w:drawing>
          <wp:inline distT="0" distB="0" distL="0" distR="0" wp14:anchorId="3DFA8EAC" wp14:editId="50402670">
            <wp:extent cx="5806440" cy="32910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06440" cy="3291041"/>
                    </a:xfrm>
                    <a:prstGeom prst="rect">
                      <a:avLst/>
                    </a:prstGeom>
                  </pic:spPr>
                </pic:pic>
              </a:graphicData>
            </a:graphic>
          </wp:inline>
        </w:drawing>
      </w:r>
    </w:p>
    <w:p w14:paraId="3793E47E" w14:textId="77777777" w:rsidR="00D35566" w:rsidRDefault="00000000">
      <w:pPr>
        <w:pStyle w:val="Caption"/>
        <w:spacing w:after="0"/>
        <w:rPr>
          <w:rFonts w:ascii="Arial" w:hAnsi="Arial" w:cs="Arial"/>
          <w:b/>
          <w:bCs/>
          <w:sz w:val="22"/>
          <w:szCs w:val="22"/>
        </w:rPr>
      </w:pPr>
      <w:r>
        <w:rPr>
          <w:rFonts w:ascii="Arial" w:hAnsi="Arial" w:cs="Arial"/>
          <w:b/>
          <w:bCs/>
          <w:sz w:val="22"/>
          <w:szCs w:val="22"/>
        </w:rPr>
        <w:t>Figure 8. Locations of selected cis-acting regulatory elements in promoters of selected differentially expressed genes.</w:t>
      </w:r>
    </w:p>
    <w:p w14:paraId="3FB17610" w14:textId="77777777" w:rsidR="00D35566" w:rsidRDefault="00000000">
      <w:pPr>
        <w:jc w:val="center"/>
      </w:pPr>
      <w:r>
        <w:rPr>
          <w:noProof/>
        </w:rPr>
        <w:drawing>
          <wp:inline distT="0" distB="0" distL="0" distR="0" wp14:anchorId="480F7B3E" wp14:editId="14F7CA39">
            <wp:extent cx="5353396" cy="3232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53396" cy="3232895"/>
                    </a:xfrm>
                    <a:prstGeom prst="rect">
                      <a:avLst/>
                    </a:prstGeom>
                  </pic:spPr>
                </pic:pic>
              </a:graphicData>
            </a:graphic>
          </wp:inline>
        </w:drawing>
      </w:r>
    </w:p>
    <w:p w14:paraId="160B17CF" w14:textId="77777777" w:rsidR="00D35566" w:rsidRDefault="00000000">
      <w:pPr>
        <w:pStyle w:val="Caption"/>
        <w:spacing w:after="0"/>
        <w:rPr>
          <w:rFonts w:ascii="Arial" w:hAnsi="Arial" w:cs="Arial"/>
          <w:b/>
          <w:bCs/>
          <w:sz w:val="22"/>
          <w:szCs w:val="22"/>
        </w:rPr>
      </w:pPr>
      <w:r>
        <w:rPr>
          <w:rFonts w:ascii="Arial" w:hAnsi="Arial" w:cs="Arial"/>
          <w:b/>
          <w:bCs/>
          <w:sz w:val="22"/>
          <w:szCs w:val="22"/>
        </w:rPr>
        <w:t>Figure 9. Counts of selected cis-acting regulatory elements in promoters of selected differentially expressed genes.</w:t>
      </w:r>
    </w:p>
    <w:p w14:paraId="429D2B6D" w14:textId="77777777" w:rsidR="00D35566" w:rsidRDefault="00000000">
      <w:pPr>
        <w:pStyle w:val="BodyTextIndent1"/>
      </w:pPr>
      <w:r>
        <w:t xml:space="preserve">ABRE occurred frequently in the promoters of LITCHI025738 and LITCHI019519; </w:t>
      </w:r>
      <w:proofErr w:type="gramStart"/>
      <w:r>
        <w:t>ARE occurred</w:t>
      </w:r>
      <w:proofErr w:type="gramEnd"/>
      <w:r>
        <w:t xml:space="preserve"> frequently in LITCHI011394 and LITCHI001552; and </w:t>
      </w:r>
      <w:proofErr w:type="spellStart"/>
      <w:r>
        <w:t>MeJA</w:t>
      </w:r>
      <w:proofErr w:type="spellEnd"/>
      <w:r>
        <w:t xml:space="preserve">-responsive elements were common in LITCHI017995, LITCHI028104, and LITCHI001510. The remaining cis-acting </w:t>
      </w:r>
      <w:r>
        <w:lastRenderedPageBreak/>
        <w:t>regulatory elements (AT-rich sequences, MBS, TCA-elements, and TC-rich repeats) appeared more sporadically among the selected genes.</w:t>
      </w:r>
    </w:p>
    <w:p w14:paraId="2297DC86" w14:textId="77777777" w:rsidR="00D35566" w:rsidRDefault="00000000">
      <w:pPr>
        <w:pStyle w:val="BodyTextIndent1"/>
      </w:pPr>
      <w:r>
        <w:t>Because these cis-elements differ in motif length and background frequency, the raw counts were compared against a composition-matched random-promoter background. The observed counts from the 18 selected promoters were tested against 100,000 random sets of 18 simulated 2-kb promoters. Motif variants and reverse complements were counted, and one-sided empirical P values were adjusted by Benjamini-Hochberg FDR.</w:t>
      </w:r>
    </w:p>
    <w:tbl>
      <w:tblPr>
        <w:tblStyle w:val="TableGrid"/>
        <w:tblW w:w="5000" w:type="pct"/>
        <w:jc w:val="center"/>
        <w:tblLook w:val="04A0" w:firstRow="1" w:lastRow="0" w:firstColumn="1" w:lastColumn="0" w:noHBand="0" w:noVBand="1"/>
      </w:tblPr>
      <w:tblGrid>
        <w:gridCol w:w="1916"/>
        <w:gridCol w:w="1915"/>
        <w:gridCol w:w="1915"/>
        <w:gridCol w:w="1915"/>
        <w:gridCol w:w="1915"/>
      </w:tblGrid>
      <w:tr w:rsidR="00D35566" w14:paraId="47D12E17" w14:textId="77777777">
        <w:trPr>
          <w:jc w:val="center"/>
        </w:trPr>
        <w:tc>
          <w:tcPr>
            <w:tcW w:w="1872" w:type="dxa"/>
          </w:tcPr>
          <w:p w14:paraId="36F3D80C" w14:textId="77777777" w:rsidR="00D35566" w:rsidRDefault="00000000">
            <w:pPr>
              <w:rPr>
                <w:rFonts w:ascii="Arial" w:hAnsi="Arial" w:cs="Arial"/>
                <w:sz w:val="20"/>
                <w:szCs w:val="20"/>
              </w:rPr>
            </w:pPr>
            <w:r>
              <w:rPr>
                <w:rFonts w:ascii="Arial" w:hAnsi="Arial" w:cs="Arial"/>
                <w:b/>
                <w:bCs/>
                <w:sz w:val="20"/>
                <w:szCs w:val="20"/>
              </w:rPr>
              <w:t>Element</w:t>
            </w:r>
          </w:p>
        </w:tc>
        <w:tc>
          <w:tcPr>
            <w:tcW w:w="1872" w:type="dxa"/>
          </w:tcPr>
          <w:p w14:paraId="43B41642" w14:textId="77777777" w:rsidR="00D35566" w:rsidRDefault="00000000">
            <w:pPr>
              <w:rPr>
                <w:rFonts w:ascii="Arial" w:hAnsi="Arial" w:cs="Arial"/>
                <w:sz w:val="20"/>
                <w:szCs w:val="20"/>
              </w:rPr>
            </w:pPr>
            <w:r>
              <w:rPr>
                <w:rFonts w:ascii="Arial" w:hAnsi="Arial" w:cs="Arial"/>
                <w:b/>
                <w:bCs/>
                <w:sz w:val="20"/>
                <w:szCs w:val="20"/>
              </w:rPr>
              <w:t>Observed total</w:t>
            </w:r>
          </w:p>
        </w:tc>
        <w:tc>
          <w:tcPr>
            <w:tcW w:w="1872" w:type="dxa"/>
          </w:tcPr>
          <w:p w14:paraId="6EC6A9E8" w14:textId="77777777" w:rsidR="00D35566" w:rsidRDefault="00000000">
            <w:pPr>
              <w:rPr>
                <w:rFonts w:ascii="Arial" w:hAnsi="Arial" w:cs="Arial"/>
                <w:sz w:val="20"/>
                <w:szCs w:val="20"/>
              </w:rPr>
            </w:pPr>
            <w:r>
              <w:rPr>
                <w:rFonts w:ascii="Arial" w:hAnsi="Arial" w:cs="Arial"/>
                <w:b/>
                <w:bCs/>
                <w:sz w:val="20"/>
                <w:szCs w:val="20"/>
              </w:rPr>
              <w:t>Random mean</w:t>
            </w:r>
          </w:p>
        </w:tc>
        <w:tc>
          <w:tcPr>
            <w:tcW w:w="1872" w:type="dxa"/>
          </w:tcPr>
          <w:p w14:paraId="56711181" w14:textId="77777777" w:rsidR="00D35566" w:rsidRDefault="00000000">
            <w:pPr>
              <w:rPr>
                <w:rFonts w:ascii="Arial" w:hAnsi="Arial" w:cs="Arial"/>
                <w:sz w:val="20"/>
                <w:szCs w:val="20"/>
              </w:rPr>
            </w:pPr>
            <w:r>
              <w:rPr>
                <w:rFonts w:ascii="Arial" w:hAnsi="Arial" w:cs="Arial"/>
                <w:b/>
                <w:bCs/>
                <w:sz w:val="20"/>
                <w:szCs w:val="20"/>
              </w:rPr>
              <w:t>Empirical P / FDR q</w:t>
            </w:r>
          </w:p>
        </w:tc>
        <w:tc>
          <w:tcPr>
            <w:tcW w:w="1872" w:type="dxa"/>
          </w:tcPr>
          <w:p w14:paraId="4AB9752D" w14:textId="77777777" w:rsidR="00D35566" w:rsidRDefault="00000000">
            <w:pPr>
              <w:rPr>
                <w:rFonts w:ascii="Arial" w:hAnsi="Arial" w:cs="Arial"/>
                <w:sz w:val="20"/>
                <w:szCs w:val="20"/>
              </w:rPr>
            </w:pPr>
            <w:r>
              <w:rPr>
                <w:rFonts w:ascii="Arial" w:hAnsi="Arial" w:cs="Arial"/>
                <w:b/>
                <w:bCs/>
                <w:sz w:val="20"/>
                <w:szCs w:val="20"/>
              </w:rPr>
              <w:t>Interpretation</w:t>
            </w:r>
          </w:p>
        </w:tc>
      </w:tr>
      <w:tr w:rsidR="00D35566" w14:paraId="10B56154" w14:textId="77777777">
        <w:trPr>
          <w:jc w:val="center"/>
        </w:trPr>
        <w:tc>
          <w:tcPr>
            <w:tcW w:w="1872" w:type="dxa"/>
            <w:vAlign w:val="center"/>
          </w:tcPr>
          <w:p w14:paraId="3EE21407" w14:textId="77777777" w:rsidR="00D35566" w:rsidRDefault="00000000">
            <w:pPr>
              <w:rPr>
                <w:rFonts w:ascii="Arial" w:hAnsi="Arial" w:cs="Arial"/>
                <w:sz w:val="20"/>
                <w:szCs w:val="20"/>
              </w:rPr>
            </w:pPr>
            <w:r>
              <w:rPr>
                <w:rFonts w:ascii="Arial" w:hAnsi="Arial" w:cs="Arial"/>
                <w:sz w:val="20"/>
                <w:szCs w:val="20"/>
              </w:rPr>
              <w:t>ABRE</w:t>
            </w:r>
          </w:p>
        </w:tc>
        <w:tc>
          <w:tcPr>
            <w:tcW w:w="1872" w:type="dxa"/>
            <w:vAlign w:val="center"/>
          </w:tcPr>
          <w:p w14:paraId="02272B0F" w14:textId="77777777" w:rsidR="00D35566" w:rsidRDefault="00000000">
            <w:pPr>
              <w:rPr>
                <w:rFonts w:ascii="Arial" w:hAnsi="Arial" w:cs="Arial"/>
                <w:sz w:val="20"/>
                <w:szCs w:val="20"/>
              </w:rPr>
            </w:pPr>
            <w:r>
              <w:rPr>
                <w:rFonts w:ascii="Arial" w:hAnsi="Arial" w:cs="Arial"/>
                <w:sz w:val="20"/>
                <w:szCs w:val="20"/>
              </w:rPr>
              <w:t>45</w:t>
            </w:r>
          </w:p>
        </w:tc>
        <w:tc>
          <w:tcPr>
            <w:tcW w:w="1872" w:type="dxa"/>
            <w:vAlign w:val="center"/>
          </w:tcPr>
          <w:p w14:paraId="33ABA21C" w14:textId="77777777" w:rsidR="00D35566" w:rsidRDefault="00000000">
            <w:pPr>
              <w:rPr>
                <w:rFonts w:ascii="Arial" w:hAnsi="Arial" w:cs="Arial"/>
                <w:sz w:val="20"/>
                <w:szCs w:val="20"/>
              </w:rPr>
            </w:pPr>
            <w:r>
              <w:rPr>
                <w:rFonts w:ascii="Arial" w:hAnsi="Arial" w:cs="Arial"/>
                <w:sz w:val="20"/>
                <w:szCs w:val="20"/>
              </w:rPr>
              <w:t>38.44</w:t>
            </w:r>
          </w:p>
        </w:tc>
        <w:tc>
          <w:tcPr>
            <w:tcW w:w="1872" w:type="dxa"/>
            <w:vAlign w:val="center"/>
          </w:tcPr>
          <w:p w14:paraId="5A76E6D6" w14:textId="77777777" w:rsidR="00D35566" w:rsidRDefault="00000000">
            <w:pPr>
              <w:rPr>
                <w:rFonts w:ascii="Arial" w:hAnsi="Arial" w:cs="Arial"/>
                <w:sz w:val="20"/>
                <w:szCs w:val="20"/>
              </w:rPr>
            </w:pPr>
            <w:r>
              <w:rPr>
                <w:rFonts w:ascii="Arial" w:hAnsi="Arial" w:cs="Arial"/>
                <w:sz w:val="20"/>
                <w:szCs w:val="20"/>
              </w:rPr>
              <w:t>0.16402 / 0.22963</w:t>
            </w:r>
          </w:p>
        </w:tc>
        <w:tc>
          <w:tcPr>
            <w:tcW w:w="1872" w:type="dxa"/>
            <w:vAlign w:val="center"/>
          </w:tcPr>
          <w:p w14:paraId="1E828858" w14:textId="77777777" w:rsidR="00D35566" w:rsidRDefault="00000000">
            <w:pPr>
              <w:rPr>
                <w:rFonts w:ascii="Arial" w:hAnsi="Arial" w:cs="Arial"/>
                <w:sz w:val="20"/>
                <w:szCs w:val="20"/>
              </w:rPr>
            </w:pPr>
            <w:r>
              <w:rPr>
                <w:rFonts w:ascii="Arial" w:hAnsi="Arial" w:cs="Arial"/>
                <w:sz w:val="20"/>
                <w:szCs w:val="20"/>
              </w:rPr>
              <w:t>Frequent but not enriched</w:t>
            </w:r>
          </w:p>
        </w:tc>
      </w:tr>
      <w:tr w:rsidR="00D35566" w14:paraId="08B9337C" w14:textId="77777777">
        <w:trPr>
          <w:jc w:val="center"/>
        </w:trPr>
        <w:tc>
          <w:tcPr>
            <w:tcW w:w="1872" w:type="dxa"/>
            <w:vAlign w:val="center"/>
          </w:tcPr>
          <w:p w14:paraId="19638053" w14:textId="77777777" w:rsidR="00D35566" w:rsidRDefault="00000000">
            <w:pPr>
              <w:rPr>
                <w:rFonts w:ascii="Arial" w:hAnsi="Arial" w:cs="Arial"/>
                <w:sz w:val="20"/>
                <w:szCs w:val="20"/>
              </w:rPr>
            </w:pPr>
            <w:r>
              <w:rPr>
                <w:rFonts w:ascii="Arial" w:hAnsi="Arial" w:cs="Arial"/>
                <w:sz w:val="20"/>
                <w:szCs w:val="20"/>
              </w:rPr>
              <w:t>ARE</w:t>
            </w:r>
          </w:p>
        </w:tc>
        <w:tc>
          <w:tcPr>
            <w:tcW w:w="1872" w:type="dxa"/>
            <w:vAlign w:val="center"/>
          </w:tcPr>
          <w:p w14:paraId="193EBB75" w14:textId="77777777" w:rsidR="00D35566" w:rsidRDefault="00000000">
            <w:pPr>
              <w:rPr>
                <w:rFonts w:ascii="Arial" w:hAnsi="Arial" w:cs="Arial"/>
                <w:sz w:val="20"/>
                <w:szCs w:val="20"/>
              </w:rPr>
            </w:pPr>
            <w:r>
              <w:rPr>
                <w:rFonts w:ascii="Arial" w:hAnsi="Arial" w:cs="Arial"/>
                <w:sz w:val="20"/>
                <w:szCs w:val="20"/>
              </w:rPr>
              <w:t>46</w:t>
            </w:r>
          </w:p>
        </w:tc>
        <w:tc>
          <w:tcPr>
            <w:tcW w:w="1872" w:type="dxa"/>
            <w:vAlign w:val="center"/>
          </w:tcPr>
          <w:p w14:paraId="16AA400A" w14:textId="77777777" w:rsidR="00D35566" w:rsidRDefault="00000000">
            <w:pPr>
              <w:rPr>
                <w:rFonts w:ascii="Arial" w:hAnsi="Arial" w:cs="Arial"/>
                <w:sz w:val="20"/>
                <w:szCs w:val="20"/>
              </w:rPr>
            </w:pPr>
            <w:r>
              <w:rPr>
                <w:rFonts w:ascii="Arial" w:hAnsi="Arial" w:cs="Arial"/>
                <w:sz w:val="20"/>
                <w:szCs w:val="20"/>
              </w:rPr>
              <w:t>24.61</w:t>
            </w:r>
          </w:p>
        </w:tc>
        <w:tc>
          <w:tcPr>
            <w:tcW w:w="1872" w:type="dxa"/>
            <w:vAlign w:val="center"/>
          </w:tcPr>
          <w:p w14:paraId="1C676C84" w14:textId="77777777" w:rsidR="00D35566" w:rsidRDefault="00000000">
            <w:pPr>
              <w:rPr>
                <w:rFonts w:ascii="Arial" w:hAnsi="Arial" w:cs="Arial"/>
                <w:sz w:val="20"/>
                <w:szCs w:val="20"/>
              </w:rPr>
            </w:pPr>
            <w:r>
              <w:rPr>
                <w:rFonts w:ascii="Arial" w:hAnsi="Arial" w:cs="Arial"/>
                <w:sz w:val="20"/>
                <w:szCs w:val="20"/>
              </w:rPr>
              <w:t>0.00011 / 0.00026</w:t>
            </w:r>
          </w:p>
        </w:tc>
        <w:tc>
          <w:tcPr>
            <w:tcW w:w="1872" w:type="dxa"/>
            <w:vAlign w:val="center"/>
          </w:tcPr>
          <w:p w14:paraId="46BAD639" w14:textId="77777777" w:rsidR="00D35566" w:rsidRDefault="00000000">
            <w:pPr>
              <w:rPr>
                <w:rFonts w:ascii="Arial" w:hAnsi="Arial" w:cs="Arial"/>
                <w:sz w:val="20"/>
                <w:szCs w:val="20"/>
              </w:rPr>
            </w:pPr>
            <w:r>
              <w:rPr>
                <w:rFonts w:ascii="Arial" w:hAnsi="Arial" w:cs="Arial"/>
                <w:sz w:val="20"/>
                <w:szCs w:val="20"/>
              </w:rPr>
              <w:t>Enriched</w:t>
            </w:r>
          </w:p>
        </w:tc>
      </w:tr>
      <w:tr w:rsidR="00D35566" w14:paraId="1D06CAD4" w14:textId="77777777">
        <w:trPr>
          <w:jc w:val="center"/>
        </w:trPr>
        <w:tc>
          <w:tcPr>
            <w:tcW w:w="1872" w:type="dxa"/>
            <w:vAlign w:val="center"/>
          </w:tcPr>
          <w:p w14:paraId="43F8C94E" w14:textId="77777777" w:rsidR="00D35566" w:rsidRDefault="00000000">
            <w:pPr>
              <w:rPr>
                <w:rFonts w:ascii="Arial" w:hAnsi="Arial" w:cs="Arial"/>
                <w:sz w:val="20"/>
                <w:szCs w:val="20"/>
              </w:rPr>
            </w:pPr>
            <w:r>
              <w:rPr>
                <w:rFonts w:ascii="Arial" w:hAnsi="Arial" w:cs="Arial"/>
                <w:sz w:val="20"/>
                <w:szCs w:val="20"/>
              </w:rPr>
              <w:t>AT-rich sequence</w:t>
            </w:r>
          </w:p>
        </w:tc>
        <w:tc>
          <w:tcPr>
            <w:tcW w:w="1872" w:type="dxa"/>
            <w:vAlign w:val="center"/>
          </w:tcPr>
          <w:p w14:paraId="3A4F8416" w14:textId="77777777" w:rsidR="00D35566" w:rsidRDefault="00000000">
            <w:pPr>
              <w:rPr>
                <w:rFonts w:ascii="Arial" w:hAnsi="Arial" w:cs="Arial"/>
                <w:sz w:val="20"/>
                <w:szCs w:val="20"/>
              </w:rPr>
            </w:pPr>
            <w:r>
              <w:rPr>
                <w:rFonts w:ascii="Arial" w:hAnsi="Arial" w:cs="Arial"/>
                <w:sz w:val="20"/>
                <w:szCs w:val="20"/>
              </w:rPr>
              <w:t>3</w:t>
            </w:r>
          </w:p>
        </w:tc>
        <w:tc>
          <w:tcPr>
            <w:tcW w:w="1872" w:type="dxa"/>
            <w:vAlign w:val="center"/>
          </w:tcPr>
          <w:p w14:paraId="178B162A" w14:textId="77777777" w:rsidR="00D35566" w:rsidRDefault="00000000">
            <w:pPr>
              <w:rPr>
                <w:rFonts w:ascii="Arial" w:hAnsi="Arial" w:cs="Arial"/>
                <w:sz w:val="20"/>
                <w:szCs w:val="20"/>
              </w:rPr>
            </w:pPr>
            <w:r>
              <w:rPr>
                <w:rFonts w:ascii="Arial" w:hAnsi="Arial" w:cs="Arial"/>
                <w:sz w:val="20"/>
                <w:szCs w:val="20"/>
              </w:rPr>
              <w:t>1.71</w:t>
            </w:r>
          </w:p>
        </w:tc>
        <w:tc>
          <w:tcPr>
            <w:tcW w:w="1872" w:type="dxa"/>
            <w:vAlign w:val="center"/>
          </w:tcPr>
          <w:p w14:paraId="4DDDF863" w14:textId="77777777" w:rsidR="00D35566" w:rsidRDefault="00000000">
            <w:pPr>
              <w:rPr>
                <w:rFonts w:ascii="Arial" w:hAnsi="Arial" w:cs="Arial"/>
                <w:sz w:val="20"/>
                <w:szCs w:val="20"/>
              </w:rPr>
            </w:pPr>
            <w:r>
              <w:rPr>
                <w:rFonts w:ascii="Arial" w:hAnsi="Arial" w:cs="Arial"/>
                <w:sz w:val="20"/>
                <w:szCs w:val="20"/>
              </w:rPr>
              <w:t>0.24643 / 0.28750</w:t>
            </w:r>
          </w:p>
        </w:tc>
        <w:tc>
          <w:tcPr>
            <w:tcW w:w="1872" w:type="dxa"/>
            <w:vAlign w:val="center"/>
          </w:tcPr>
          <w:p w14:paraId="578ED178" w14:textId="77777777" w:rsidR="00D35566" w:rsidRDefault="00000000">
            <w:pPr>
              <w:rPr>
                <w:rFonts w:ascii="Arial" w:hAnsi="Arial" w:cs="Arial"/>
                <w:sz w:val="20"/>
                <w:szCs w:val="20"/>
              </w:rPr>
            </w:pPr>
            <w:r>
              <w:rPr>
                <w:rFonts w:ascii="Arial" w:hAnsi="Arial" w:cs="Arial"/>
                <w:sz w:val="20"/>
                <w:szCs w:val="20"/>
              </w:rPr>
              <w:t>Not enriched</w:t>
            </w:r>
          </w:p>
        </w:tc>
      </w:tr>
      <w:tr w:rsidR="00D35566" w14:paraId="50354662" w14:textId="77777777">
        <w:trPr>
          <w:jc w:val="center"/>
        </w:trPr>
        <w:tc>
          <w:tcPr>
            <w:tcW w:w="1872" w:type="dxa"/>
            <w:vAlign w:val="center"/>
          </w:tcPr>
          <w:p w14:paraId="289FDF83" w14:textId="77777777" w:rsidR="00D35566" w:rsidRDefault="00000000">
            <w:pPr>
              <w:rPr>
                <w:rFonts w:ascii="Arial" w:hAnsi="Arial" w:cs="Arial"/>
                <w:sz w:val="20"/>
                <w:szCs w:val="20"/>
              </w:rPr>
            </w:pPr>
            <w:r>
              <w:rPr>
                <w:rFonts w:ascii="Arial" w:hAnsi="Arial" w:cs="Arial"/>
                <w:sz w:val="20"/>
                <w:szCs w:val="20"/>
              </w:rPr>
              <w:t>MBS</w:t>
            </w:r>
          </w:p>
        </w:tc>
        <w:tc>
          <w:tcPr>
            <w:tcW w:w="1872" w:type="dxa"/>
            <w:vAlign w:val="center"/>
          </w:tcPr>
          <w:p w14:paraId="184E7CC8" w14:textId="77777777" w:rsidR="00D35566" w:rsidRDefault="00000000">
            <w:pPr>
              <w:rPr>
                <w:rFonts w:ascii="Arial" w:hAnsi="Arial" w:cs="Arial"/>
                <w:sz w:val="20"/>
                <w:szCs w:val="20"/>
              </w:rPr>
            </w:pPr>
            <w:r>
              <w:rPr>
                <w:rFonts w:ascii="Arial" w:hAnsi="Arial" w:cs="Arial"/>
                <w:sz w:val="20"/>
                <w:szCs w:val="20"/>
              </w:rPr>
              <w:t>9</w:t>
            </w:r>
          </w:p>
        </w:tc>
        <w:tc>
          <w:tcPr>
            <w:tcW w:w="1872" w:type="dxa"/>
            <w:vAlign w:val="center"/>
          </w:tcPr>
          <w:p w14:paraId="1615D67B" w14:textId="77777777" w:rsidR="00D35566" w:rsidRDefault="00000000">
            <w:pPr>
              <w:rPr>
                <w:rFonts w:ascii="Arial" w:hAnsi="Arial" w:cs="Arial"/>
                <w:sz w:val="20"/>
                <w:szCs w:val="20"/>
              </w:rPr>
            </w:pPr>
            <w:r>
              <w:rPr>
                <w:rFonts w:ascii="Arial" w:hAnsi="Arial" w:cs="Arial"/>
                <w:sz w:val="20"/>
                <w:szCs w:val="20"/>
              </w:rPr>
              <w:t>12.68</w:t>
            </w:r>
          </w:p>
        </w:tc>
        <w:tc>
          <w:tcPr>
            <w:tcW w:w="1872" w:type="dxa"/>
            <w:vAlign w:val="center"/>
          </w:tcPr>
          <w:p w14:paraId="5ED1EDA5" w14:textId="77777777" w:rsidR="00D35566" w:rsidRDefault="00000000">
            <w:pPr>
              <w:rPr>
                <w:rFonts w:ascii="Arial" w:hAnsi="Arial" w:cs="Arial"/>
                <w:sz w:val="20"/>
                <w:szCs w:val="20"/>
              </w:rPr>
            </w:pPr>
            <w:r>
              <w:rPr>
                <w:rFonts w:ascii="Arial" w:hAnsi="Arial" w:cs="Arial"/>
                <w:sz w:val="20"/>
                <w:szCs w:val="20"/>
              </w:rPr>
              <w:t>0.88396 / 0.88396</w:t>
            </w:r>
          </w:p>
        </w:tc>
        <w:tc>
          <w:tcPr>
            <w:tcW w:w="1872" w:type="dxa"/>
            <w:vAlign w:val="center"/>
          </w:tcPr>
          <w:p w14:paraId="3696BF4A" w14:textId="77777777" w:rsidR="00D35566" w:rsidRDefault="00000000">
            <w:pPr>
              <w:rPr>
                <w:rFonts w:ascii="Arial" w:hAnsi="Arial" w:cs="Arial"/>
                <w:sz w:val="20"/>
                <w:szCs w:val="20"/>
              </w:rPr>
            </w:pPr>
            <w:r>
              <w:rPr>
                <w:rFonts w:ascii="Arial" w:hAnsi="Arial" w:cs="Arial"/>
                <w:sz w:val="20"/>
                <w:szCs w:val="20"/>
              </w:rPr>
              <w:t>Not enriched</w:t>
            </w:r>
          </w:p>
        </w:tc>
      </w:tr>
      <w:tr w:rsidR="00D35566" w14:paraId="2BC0C9B1" w14:textId="77777777">
        <w:trPr>
          <w:jc w:val="center"/>
        </w:trPr>
        <w:tc>
          <w:tcPr>
            <w:tcW w:w="1872" w:type="dxa"/>
            <w:vAlign w:val="center"/>
          </w:tcPr>
          <w:p w14:paraId="26DA08E7" w14:textId="77777777" w:rsidR="00D35566" w:rsidRDefault="00000000">
            <w:pPr>
              <w:rPr>
                <w:rFonts w:ascii="Arial" w:hAnsi="Arial" w:cs="Arial"/>
                <w:sz w:val="20"/>
                <w:szCs w:val="20"/>
              </w:rPr>
            </w:pPr>
            <w:proofErr w:type="spellStart"/>
            <w:r>
              <w:rPr>
                <w:rFonts w:ascii="Arial" w:hAnsi="Arial" w:cs="Arial"/>
                <w:sz w:val="20"/>
                <w:szCs w:val="20"/>
              </w:rPr>
              <w:t>MeJA</w:t>
            </w:r>
            <w:proofErr w:type="spellEnd"/>
            <w:r>
              <w:rPr>
                <w:rFonts w:ascii="Arial" w:hAnsi="Arial" w:cs="Arial"/>
                <w:sz w:val="20"/>
                <w:szCs w:val="20"/>
              </w:rPr>
              <w:t>-responsive</w:t>
            </w:r>
          </w:p>
        </w:tc>
        <w:tc>
          <w:tcPr>
            <w:tcW w:w="1872" w:type="dxa"/>
            <w:vAlign w:val="center"/>
          </w:tcPr>
          <w:p w14:paraId="15943D98" w14:textId="77777777" w:rsidR="00D35566" w:rsidRDefault="00000000">
            <w:pPr>
              <w:rPr>
                <w:rFonts w:ascii="Arial" w:hAnsi="Arial" w:cs="Arial"/>
                <w:sz w:val="20"/>
                <w:szCs w:val="20"/>
              </w:rPr>
            </w:pPr>
            <w:r>
              <w:rPr>
                <w:rFonts w:ascii="Arial" w:hAnsi="Arial" w:cs="Arial"/>
                <w:sz w:val="20"/>
                <w:szCs w:val="20"/>
              </w:rPr>
              <w:t>54</w:t>
            </w:r>
          </w:p>
        </w:tc>
        <w:tc>
          <w:tcPr>
            <w:tcW w:w="1872" w:type="dxa"/>
            <w:vAlign w:val="center"/>
          </w:tcPr>
          <w:p w14:paraId="730BA21E" w14:textId="77777777" w:rsidR="00D35566" w:rsidRDefault="00000000">
            <w:pPr>
              <w:rPr>
                <w:rFonts w:ascii="Arial" w:hAnsi="Arial" w:cs="Arial"/>
                <w:sz w:val="20"/>
                <w:szCs w:val="20"/>
              </w:rPr>
            </w:pPr>
            <w:r>
              <w:rPr>
                <w:rFonts w:ascii="Arial" w:hAnsi="Arial" w:cs="Arial"/>
                <w:sz w:val="20"/>
                <w:szCs w:val="20"/>
              </w:rPr>
              <w:t>38.44</w:t>
            </w:r>
          </w:p>
        </w:tc>
        <w:tc>
          <w:tcPr>
            <w:tcW w:w="1872" w:type="dxa"/>
            <w:vAlign w:val="center"/>
          </w:tcPr>
          <w:p w14:paraId="2057580E" w14:textId="77777777" w:rsidR="00D35566" w:rsidRDefault="00000000">
            <w:pPr>
              <w:rPr>
                <w:rFonts w:ascii="Arial" w:hAnsi="Arial" w:cs="Arial"/>
                <w:sz w:val="20"/>
                <w:szCs w:val="20"/>
              </w:rPr>
            </w:pPr>
            <w:r>
              <w:rPr>
                <w:rFonts w:ascii="Arial" w:hAnsi="Arial" w:cs="Arial"/>
                <w:sz w:val="20"/>
                <w:szCs w:val="20"/>
              </w:rPr>
              <w:t>0.01026 / 0.01795</w:t>
            </w:r>
          </w:p>
        </w:tc>
        <w:tc>
          <w:tcPr>
            <w:tcW w:w="1872" w:type="dxa"/>
            <w:vAlign w:val="center"/>
          </w:tcPr>
          <w:p w14:paraId="51D9CE00" w14:textId="77777777" w:rsidR="00D35566" w:rsidRDefault="00000000">
            <w:pPr>
              <w:rPr>
                <w:rFonts w:ascii="Arial" w:hAnsi="Arial" w:cs="Arial"/>
                <w:sz w:val="20"/>
                <w:szCs w:val="20"/>
              </w:rPr>
            </w:pPr>
            <w:r>
              <w:rPr>
                <w:rFonts w:ascii="Arial" w:hAnsi="Arial" w:cs="Arial"/>
                <w:sz w:val="20"/>
                <w:szCs w:val="20"/>
              </w:rPr>
              <w:t>Enriched</w:t>
            </w:r>
          </w:p>
        </w:tc>
      </w:tr>
      <w:tr w:rsidR="00D35566" w14:paraId="7C73436B" w14:textId="77777777">
        <w:trPr>
          <w:jc w:val="center"/>
        </w:trPr>
        <w:tc>
          <w:tcPr>
            <w:tcW w:w="1872" w:type="dxa"/>
            <w:vAlign w:val="center"/>
          </w:tcPr>
          <w:p w14:paraId="1E06502A" w14:textId="77777777" w:rsidR="00D35566" w:rsidRDefault="00000000">
            <w:pPr>
              <w:rPr>
                <w:rFonts w:ascii="Arial" w:hAnsi="Arial" w:cs="Arial"/>
                <w:sz w:val="20"/>
                <w:szCs w:val="20"/>
              </w:rPr>
            </w:pPr>
            <w:r>
              <w:rPr>
                <w:rFonts w:ascii="Arial" w:hAnsi="Arial" w:cs="Arial"/>
                <w:sz w:val="20"/>
                <w:szCs w:val="20"/>
              </w:rPr>
              <w:t>TCA-element</w:t>
            </w:r>
          </w:p>
        </w:tc>
        <w:tc>
          <w:tcPr>
            <w:tcW w:w="1872" w:type="dxa"/>
            <w:vAlign w:val="center"/>
          </w:tcPr>
          <w:p w14:paraId="733E0BF5" w14:textId="77777777" w:rsidR="00D35566" w:rsidRDefault="00000000">
            <w:pPr>
              <w:rPr>
                <w:rFonts w:ascii="Arial" w:hAnsi="Arial" w:cs="Arial"/>
                <w:sz w:val="20"/>
                <w:szCs w:val="20"/>
              </w:rPr>
            </w:pPr>
            <w:r>
              <w:rPr>
                <w:rFonts w:ascii="Arial" w:hAnsi="Arial" w:cs="Arial"/>
                <w:sz w:val="20"/>
                <w:szCs w:val="20"/>
              </w:rPr>
              <w:t>9</w:t>
            </w:r>
          </w:p>
        </w:tc>
        <w:tc>
          <w:tcPr>
            <w:tcW w:w="1872" w:type="dxa"/>
            <w:vAlign w:val="center"/>
          </w:tcPr>
          <w:p w14:paraId="2E5DB8C1" w14:textId="77777777" w:rsidR="00D35566" w:rsidRDefault="00000000">
            <w:pPr>
              <w:rPr>
                <w:rFonts w:ascii="Arial" w:hAnsi="Arial" w:cs="Arial"/>
                <w:sz w:val="20"/>
                <w:szCs w:val="20"/>
              </w:rPr>
            </w:pPr>
            <w:r>
              <w:rPr>
                <w:rFonts w:ascii="Arial" w:hAnsi="Arial" w:cs="Arial"/>
                <w:sz w:val="20"/>
                <w:szCs w:val="20"/>
              </w:rPr>
              <w:t>0.19</w:t>
            </w:r>
          </w:p>
        </w:tc>
        <w:tc>
          <w:tcPr>
            <w:tcW w:w="1872" w:type="dxa"/>
            <w:vAlign w:val="center"/>
          </w:tcPr>
          <w:p w14:paraId="5C859C9A" w14:textId="77777777" w:rsidR="00D35566" w:rsidRDefault="00000000">
            <w:pPr>
              <w:rPr>
                <w:rFonts w:ascii="Arial" w:hAnsi="Arial" w:cs="Arial"/>
                <w:sz w:val="20"/>
                <w:szCs w:val="20"/>
              </w:rPr>
            </w:pPr>
            <w:r>
              <w:rPr>
                <w:rFonts w:ascii="Arial" w:hAnsi="Arial" w:cs="Arial"/>
                <w:sz w:val="20"/>
                <w:szCs w:val="20"/>
              </w:rPr>
              <w:t>0.00001 / 0.00003</w:t>
            </w:r>
          </w:p>
        </w:tc>
        <w:tc>
          <w:tcPr>
            <w:tcW w:w="1872" w:type="dxa"/>
            <w:vAlign w:val="center"/>
          </w:tcPr>
          <w:p w14:paraId="0CD5ADA5" w14:textId="77777777" w:rsidR="00D35566" w:rsidRDefault="00000000">
            <w:pPr>
              <w:rPr>
                <w:rFonts w:ascii="Arial" w:hAnsi="Arial" w:cs="Arial"/>
                <w:sz w:val="20"/>
                <w:szCs w:val="20"/>
              </w:rPr>
            </w:pPr>
            <w:r>
              <w:rPr>
                <w:rFonts w:ascii="Arial" w:hAnsi="Arial" w:cs="Arial"/>
                <w:sz w:val="20"/>
                <w:szCs w:val="20"/>
              </w:rPr>
              <w:t>Enriched</w:t>
            </w:r>
          </w:p>
        </w:tc>
      </w:tr>
      <w:tr w:rsidR="00D35566" w14:paraId="1DF122B9" w14:textId="77777777">
        <w:trPr>
          <w:jc w:val="center"/>
        </w:trPr>
        <w:tc>
          <w:tcPr>
            <w:tcW w:w="1872" w:type="dxa"/>
            <w:vAlign w:val="center"/>
          </w:tcPr>
          <w:p w14:paraId="6CEE4DB7" w14:textId="77777777" w:rsidR="00D35566" w:rsidRDefault="00000000">
            <w:pPr>
              <w:rPr>
                <w:rFonts w:ascii="Arial" w:hAnsi="Arial" w:cs="Arial"/>
                <w:sz w:val="20"/>
                <w:szCs w:val="20"/>
              </w:rPr>
            </w:pPr>
            <w:r>
              <w:rPr>
                <w:rFonts w:ascii="Arial" w:hAnsi="Arial" w:cs="Arial"/>
                <w:sz w:val="20"/>
                <w:szCs w:val="20"/>
              </w:rPr>
              <w:t>TC-rich repeats</w:t>
            </w:r>
          </w:p>
        </w:tc>
        <w:tc>
          <w:tcPr>
            <w:tcW w:w="1872" w:type="dxa"/>
            <w:vAlign w:val="center"/>
          </w:tcPr>
          <w:p w14:paraId="0D284A43" w14:textId="77777777" w:rsidR="00D35566" w:rsidRDefault="00000000">
            <w:pPr>
              <w:rPr>
                <w:rFonts w:ascii="Arial" w:hAnsi="Arial" w:cs="Arial"/>
                <w:sz w:val="20"/>
                <w:szCs w:val="20"/>
              </w:rPr>
            </w:pPr>
            <w:r>
              <w:rPr>
                <w:rFonts w:ascii="Arial" w:hAnsi="Arial" w:cs="Arial"/>
                <w:sz w:val="20"/>
                <w:szCs w:val="20"/>
              </w:rPr>
              <w:t>10</w:t>
            </w:r>
          </w:p>
        </w:tc>
        <w:tc>
          <w:tcPr>
            <w:tcW w:w="1872" w:type="dxa"/>
            <w:vAlign w:val="center"/>
          </w:tcPr>
          <w:p w14:paraId="5DB5ABA7" w14:textId="77777777" w:rsidR="00D35566" w:rsidRDefault="00000000">
            <w:pPr>
              <w:rPr>
                <w:rFonts w:ascii="Arial" w:hAnsi="Arial" w:cs="Arial"/>
                <w:sz w:val="20"/>
                <w:szCs w:val="20"/>
              </w:rPr>
            </w:pPr>
            <w:r>
              <w:rPr>
                <w:rFonts w:ascii="Arial" w:hAnsi="Arial" w:cs="Arial"/>
                <w:sz w:val="20"/>
                <w:szCs w:val="20"/>
              </w:rPr>
              <w:t>0.15</w:t>
            </w:r>
          </w:p>
        </w:tc>
        <w:tc>
          <w:tcPr>
            <w:tcW w:w="1872" w:type="dxa"/>
            <w:vAlign w:val="center"/>
          </w:tcPr>
          <w:p w14:paraId="1D87122B" w14:textId="77777777" w:rsidR="00D35566" w:rsidRDefault="00000000">
            <w:pPr>
              <w:rPr>
                <w:rFonts w:ascii="Arial" w:hAnsi="Arial" w:cs="Arial"/>
                <w:sz w:val="20"/>
                <w:szCs w:val="20"/>
              </w:rPr>
            </w:pPr>
            <w:r>
              <w:rPr>
                <w:rFonts w:ascii="Arial" w:hAnsi="Arial" w:cs="Arial"/>
                <w:sz w:val="20"/>
                <w:szCs w:val="20"/>
              </w:rPr>
              <w:t>0.00001 / 0.00003</w:t>
            </w:r>
          </w:p>
        </w:tc>
        <w:tc>
          <w:tcPr>
            <w:tcW w:w="1872" w:type="dxa"/>
            <w:vAlign w:val="center"/>
          </w:tcPr>
          <w:p w14:paraId="61D0AFB2" w14:textId="77777777" w:rsidR="00D35566" w:rsidRDefault="00000000">
            <w:pPr>
              <w:rPr>
                <w:rFonts w:ascii="Arial" w:hAnsi="Arial" w:cs="Arial"/>
                <w:sz w:val="20"/>
                <w:szCs w:val="20"/>
              </w:rPr>
            </w:pPr>
            <w:r>
              <w:rPr>
                <w:rFonts w:ascii="Arial" w:hAnsi="Arial" w:cs="Arial"/>
                <w:sz w:val="20"/>
                <w:szCs w:val="20"/>
              </w:rPr>
              <w:t>Enriched</w:t>
            </w:r>
          </w:p>
        </w:tc>
      </w:tr>
    </w:tbl>
    <w:p w14:paraId="46CDCBA1" w14:textId="77777777" w:rsidR="00D35566" w:rsidRDefault="00000000">
      <w:pPr>
        <w:pStyle w:val="Caption"/>
        <w:spacing w:after="0"/>
        <w:rPr>
          <w:rFonts w:ascii="Arial" w:hAnsi="Arial" w:cs="Arial"/>
          <w:b/>
          <w:bCs/>
          <w:sz w:val="22"/>
          <w:szCs w:val="22"/>
        </w:rPr>
      </w:pPr>
      <w:r>
        <w:rPr>
          <w:rFonts w:ascii="Arial" w:hAnsi="Arial" w:cs="Arial"/>
          <w:b/>
          <w:bCs/>
          <w:sz w:val="22"/>
          <w:szCs w:val="22"/>
        </w:rPr>
        <w:t>Table 4. Background-controlled random-promoter comparison of cis-regulatory element counts across the 18 selected promoters.</w:t>
      </w:r>
    </w:p>
    <w:p w14:paraId="6009B0B5" w14:textId="77777777" w:rsidR="00D35566" w:rsidRDefault="00000000">
      <w:pPr>
        <w:pStyle w:val="BodyTextIndent1"/>
      </w:pPr>
      <w:r>
        <w:t>Note: Observed totals are summed across the 18 selected promoters in Figure 9. The random mean is the average motif count across 100,000 GC-matched random promoter sets. P values are one-sided empirical probabilities that a random set contained at least as many hits as observed.</w:t>
      </w:r>
    </w:p>
    <w:p w14:paraId="6ECD0C0F" w14:textId="77777777" w:rsidR="00D35566" w:rsidRDefault="00000000">
      <w:pPr>
        <w:pStyle w:val="BodyTextIndent1"/>
      </w:pPr>
      <w:r>
        <w:rPr>
          <w:noProof/>
        </w:rPr>
        <w:drawing>
          <wp:inline distT="0" distB="0" distL="0" distR="0" wp14:anchorId="0115B83D" wp14:editId="3949B33C">
            <wp:extent cx="4892040" cy="27030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892040" cy="2703092"/>
                    </a:xfrm>
                    <a:prstGeom prst="rect">
                      <a:avLst/>
                    </a:prstGeom>
                  </pic:spPr>
                </pic:pic>
              </a:graphicData>
            </a:graphic>
          </wp:inline>
        </w:drawing>
      </w:r>
    </w:p>
    <w:p w14:paraId="4B548266" w14:textId="77777777" w:rsidR="00D35566" w:rsidRDefault="00000000">
      <w:pPr>
        <w:pStyle w:val="Caption"/>
        <w:spacing w:after="0"/>
        <w:rPr>
          <w:rFonts w:ascii="Arial" w:hAnsi="Arial" w:cs="Arial"/>
          <w:b/>
          <w:bCs/>
          <w:sz w:val="22"/>
          <w:szCs w:val="22"/>
        </w:rPr>
      </w:pPr>
      <w:r>
        <w:rPr>
          <w:rFonts w:ascii="Arial" w:hAnsi="Arial" w:cs="Arial"/>
          <w:b/>
          <w:bCs/>
          <w:sz w:val="22"/>
          <w:szCs w:val="22"/>
        </w:rPr>
        <w:t>Figure 10. Background-controlled promoter comparison for selected cis-regulatory elements. Bars show observed total counts across the 18 selected promoters and expected mean counts under the random-promoter background; labels above bars show FDR-adjusted q values.</w:t>
      </w:r>
    </w:p>
    <w:p w14:paraId="041B72ED" w14:textId="77777777" w:rsidR="00D35566" w:rsidRDefault="00000000">
      <w:pPr>
        <w:pStyle w:val="BodyTextIndent1"/>
      </w:pPr>
      <w:r>
        <w:lastRenderedPageBreak/>
        <w:t xml:space="preserve">This background control showed that ARE, </w:t>
      </w:r>
      <w:proofErr w:type="spellStart"/>
      <w:r>
        <w:t>MeJA</w:t>
      </w:r>
      <w:proofErr w:type="spellEnd"/>
      <w:r>
        <w:t>-responsive elements, TCA-elements, and TC-rich repeats were enriched relative to the random-promoter background. In contrast, ABRE and MBS were present in the selected promoters but were not significantly enriched after FDR correction. Thus, the promoter signal appears to be driven by a subset of hormone- and defense-associated motifs rather than by the general abundance of common cis-elements alone.</w:t>
      </w:r>
    </w:p>
    <w:p w14:paraId="2C14A8D8" w14:textId="77777777" w:rsidR="00D35566" w:rsidRDefault="00000000">
      <w:pPr>
        <w:pStyle w:val="Heading1"/>
      </w:pPr>
      <w:r>
        <w:t>DISCUSSION</w:t>
      </w:r>
    </w:p>
    <w:p w14:paraId="2F9E2988" w14:textId="77777777" w:rsidR="00D35566" w:rsidRDefault="00000000">
      <w:pPr>
        <w:pStyle w:val="BodyTextIndent1"/>
      </w:pPr>
      <w:r>
        <w:t xml:space="preserve">The volcano plots (Figure 2) show that Yurong had more differentially expressed genes than </w:t>
      </w:r>
      <w:proofErr w:type="spellStart"/>
      <w:r>
        <w:t>Guiwei</w:t>
      </w:r>
      <w:proofErr w:type="spellEnd"/>
      <w:r>
        <w:t xml:space="preserve">, indicating cultivar-specific transcriptional responses to P. </w:t>
      </w:r>
      <w:proofErr w:type="spellStart"/>
      <w:r>
        <w:t>litchii</w:t>
      </w:r>
      <w:proofErr w:type="spellEnd"/>
      <w:r>
        <w:t xml:space="preserve">. Liu et al. also reported that several CDPK-family genes were highly expressed after P. </w:t>
      </w:r>
      <w:proofErr w:type="spellStart"/>
      <w:r>
        <w:t>litchii</w:t>
      </w:r>
      <w:proofErr w:type="spellEnd"/>
      <w:r>
        <w:t xml:space="preserve"> inoculation and noted that Yurong is relatively resistant to P. </w:t>
      </w:r>
      <w:proofErr w:type="spellStart"/>
      <w:r>
        <w:t>litchii</w:t>
      </w:r>
      <w:proofErr w:type="spellEnd"/>
      <w:r>
        <w:t xml:space="preserve"> [6]. Our results are consistent with the idea that Yurong may mount a broader transcriptional response during infection.</w:t>
      </w:r>
    </w:p>
    <w:p w14:paraId="61AC0FAF" w14:textId="77777777" w:rsidR="00D35566" w:rsidRDefault="00000000">
      <w:pPr>
        <w:pStyle w:val="BodyTextIndent1"/>
      </w:pPr>
      <w:r>
        <w:t xml:space="preserve">The interaction analysis adds information that is not captured by separate within-cultivar comparisons alone. Separate comparisons identify genes that change after inoculation within each cultivar, whereas the interaction contrast identifies genes for which the magnitude of the inoculation response differs between cultivars. The strong negative interaction contrasts for LITCHI019519, LITCHI001510, LITCHI028401, and LITCHI017676 suggest </w:t>
      </w:r>
      <w:proofErr w:type="spellStart"/>
      <w:r>
        <w:t>Guiwei</w:t>
      </w:r>
      <w:proofErr w:type="spellEnd"/>
      <w:r>
        <w:t xml:space="preserve">-skewed responses among the selected genes, while the positive contrasts for LITCHI028104 and LITCHI019183 suggest Yurong-skewed responses. Because Yurong has been described as relatively resistant to P. </w:t>
      </w:r>
      <w:proofErr w:type="spellStart"/>
      <w:r>
        <w:t>litchii</w:t>
      </w:r>
      <w:proofErr w:type="spellEnd"/>
      <w:r>
        <w:t xml:space="preserve"> [6], Yurong-skewed candidates are especially relevant for future validation, although </w:t>
      </w:r>
      <w:proofErr w:type="spellStart"/>
      <w:r>
        <w:t>Guiwei</w:t>
      </w:r>
      <w:proofErr w:type="spellEnd"/>
      <w:r>
        <w:t>-skewed genes may also reveal susceptibility-associated or compensatory responses.</w:t>
      </w:r>
    </w:p>
    <w:p w14:paraId="20E29F24" w14:textId="77777777" w:rsidR="00D35566" w:rsidRDefault="00000000">
      <w:pPr>
        <w:pStyle w:val="BodyTextIndent1"/>
      </w:pPr>
      <w:r>
        <w:t xml:space="preserve">The addition of the all-DEG Plant </w:t>
      </w:r>
      <w:proofErr w:type="spellStart"/>
      <w:r>
        <w:t>Reactome</w:t>
      </w:r>
      <w:proofErr w:type="spellEnd"/>
      <w:r>
        <w:t xml:space="preserve"> screen reduces the bias introduced by interpreting only the most strongly changing genes. Although the selected 18 candidates include plausible defense-associated proteins, the complete DEG sets suggest that cultivar responses are better interpreted as coordinated pathway-level changes involving signaling, regulation, </w:t>
      </w:r>
      <w:proofErr w:type="spellStart"/>
      <w:r>
        <w:t>proteostasis</w:t>
      </w:r>
      <w:proofErr w:type="spellEnd"/>
      <w:r>
        <w:t xml:space="preserve">, transport, and metabolism. The larger Yurong DEG set provided broader pathway coverage than </w:t>
      </w:r>
      <w:proofErr w:type="spellStart"/>
      <w:r>
        <w:t>Guiwei</w:t>
      </w:r>
      <w:proofErr w:type="spellEnd"/>
      <w:r>
        <w:t xml:space="preserve">, suggesting a more extensive transcriptional adjustment at 24 h post-inoculation. Because this </w:t>
      </w:r>
      <w:proofErr w:type="spellStart"/>
      <w:r>
        <w:t>Reactome</w:t>
      </w:r>
      <w:proofErr w:type="spellEnd"/>
      <w:r>
        <w:t xml:space="preserve"> step is </w:t>
      </w:r>
      <w:proofErr w:type="spellStart"/>
      <w:r>
        <w:t>orthology</w:t>
      </w:r>
      <w:proofErr w:type="spellEnd"/>
      <w:r>
        <w:t>-guided, it should be used for hypothesis generation rather than as final pathway-level statistical evidence.</w:t>
      </w:r>
    </w:p>
    <w:p w14:paraId="30FFF781" w14:textId="77777777" w:rsidR="00D35566" w:rsidRDefault="00000000">
      <w:pPr>
        <w:pStyle w:val="BodyTextIndent1"/>
      </w:pPr>
      <w:r>
        <w:t xml:space="preserve">Figures 5 and 6 show the chromosomal locations and gene structures of the selected genes. Table 5 summarizes their predicted functions, which were grouped into stress response, calcium binding, enzyme-related, and other categories. To make the prioritization transparent, Supplementary Table S1 separates the expression evidence for each selected gene from </w:t>
      </w:r>
      <w:r>
        <w:lastRenderedPageBreak/>
        <w:t>functional interpretation, including annotation, representative homolog/domain information, and known defense relevance.</w:t>
      </w:r>
    </w:p>
    <w:p w14:paraId="66C6D804" w14:textId="77777777" w:rsidR="00D35566" w:rsidRDefault="00000000">
      <w:pPr>
        <w:pStyle w:val="BodyTextIndent1"/>
      </w:pPr>
      <w:r>
        <w:t>LITCHI028104 was annotated as a jacalin-like lectin, a class of proteins that can be associated with antiviral or defense-related functions [12]. LITCHI011394 was annotated as a pathogenesis-related protein. LITCHI012388 belongs to the heat-shock protein 70 (HSP70) family, members of which are often associated with stress responses [13]. LITCHI001552 and LITCHI025738 were annotated as cyclase-like proteins and may be involved in abiotic-stress responses [14].</w:t>
      </w:r>
    </w:p>
    <w:p w14:paraId="755A0E95" w14:textId="77777777" w:rsidR="00D35566" w:rsidRDefault="00000000">
      <w:pPr>
        <w:pStyle w:val="BodyTextIndent1"/>
      </w:pPr>
      <w:r>
        <w:t xml:space="preserve">LITCHI009301 and LITCHI002793 were annotated as </w:t>
      </w:r>
      <w:proofErr w:type="spellStart"/>
      <w:r>
        <w:t>osmotin</w:t>
      </w:r>
      <w:proofErr w:type="spellEnd"/>
      <w:r>
        <w:t xml:space="preserve">/thaumatin-like proteins. Thaumatin is a sweet-tasting plant protein originally identified in </w:t>
      </w:r>
      <w:proofErr w:type="spellStart"/>
      <w:r>
        <w:t>Thaumatococcus</w:t>
      </w:r>
      <w:proofErr w:type="spellEnd"/>
      <w:r>
        <w:t xml:space="preserve"> </w:t>
      </w:r>
      <w:proofErr w:type="spellStart"/>
      <w:r>
        <w:t>daniellii</w:t>
      </w:r>
      <w:proofErr w:type="spellEnd"/>
      <w:r>
        <w:t xml:space="preserve"> [15]. </w:t>
      </w:r>
      <w:proofErr w:type="spellStart"/>
      <w:r>
        <w:t>Osmotin</w:t>
      </w:r>
      <w:proofErr w:type="spellEnd"/>
      <w:r>
        <w:t xml:space="preserve"> and other PR-5 family proteins are homologous to thaumatin and have been associated with antifungal activity against plant pathogens [16]. The presence of thaumatin/</w:t>
      </w:r>
      <w:proofErr w:type="spellStart"/>
      <w:r>
        <w:t>osmotin</w:t>
      </w:r>
      <w:proofErr w:type="spellEnd"/>
      <w:r>
        <w:t xml:space="preserve">-like candidates supports a possible role for defense-related proteins in the response to P. </w:t>
      </w:r>
      <w:proofErr w:type="spellStart"/>
      <w:r>
        <w:t>litchii</w:t>
      </w:r>
      <w:proofErr w:type="spellEnd"/>
      <w:r>
        <w:t>.</w:t>
      </w:r>
    </w:p>
    <w:p w14:paraId="1AEE5102" w14:textId="77777777" w:rsidR="00D35566" w:rsidRDefault="00000000">
      <w:pPr>
        <w:pStyle w:val="BodyTextIndent1"/>
      </w:pPr>
      <w:r>
        <w:t xml:space="preserve">LITCHI017995 was annotated as a </w:t>
      </w:r>
      <w:proofErr w:type="spellStart"/>
      <w:r>
        <w:t>metalloendoproteinase</w:t>
      </w:r>
      <w:proofErr w:type="spellEnd"/>
      <w:r>
        <w:t>, a zinc-dependent protease that may be calcium activated, whereas LITCHI019519 was associated with EF-hand calcium binding. These genes may be connected to calcium-dependent signaling or protein-processing pathways.</w:t>
      </w:r>
    </w:p>
    <w:p w14:paraId="43A67C57" w14:textId="77777777" w:rsidR="00D35566" w:rsidRDefault="00000000">
      <w:pPr>
        <w:pStyle w:val="BodyTextIndent1"/>
      </w:pPr>
      <w:r>
        <w:t>Two enzyme-related annotations were also observed. LITCHI002550 belongs to the cytochrome P450 family, which participates in diverse biosynthetic and detoxification pathways. LITCHI019299 and LITCHI017676 were annotated as S-adenosylmethionine-related genes, which may be involved in methylation or polyamine-biosynthesis pathways.</w:t>
      </w:r>
    </w:p>
    <w:p w14:paraId="64FCDB70" w14:textId="77777777" w:rsidR="00D35566" w:rsidRDefault="00000000">
      <w:pPr>
        <w:pStyle w:val="BodyTextIndent1"/>
      </w:pPr>
      <w:r>
        <w:t>Among the remaining genes, LITCHI007102 was annotated as a plant-specific phytosulfokine precursor, and LITCHI019183 and LITCHI018043 were annotated as plant lipid-transfer proteins.</w:t>
      </w:r>
    </w:p>
    <w:p w14:paraId="537B3C9D" w14:textId="77777777" w:rsidR="00D35566" w:rsidRDefault="00000000">
      <w:pPr>
        <w:pStyle w:val="BodyTextIndent1"/>
      </w:pPr>
      <w:r>
        <w:t xml:space="preserve">Some selected genes remain poorly characterized. </w:t>
      </w:r>
      <w:proofErr w:type="gramStart"/>
      <w:r>
        <w:t>In particular, LITCHI001510</w:t>
      </w:r>
      <w:proofErr w:type="gramEnd"/>
      <w:r>
        <w:t xml:space="preserve"> and LITCHI001512 lack clear functional annotations and should be prioritized carefully in future experimental studies.</w:t>
      </w:r>
    </w:p>
    <w:tbl>
      <w:tblPr>
        <w:tblStyle w:val="TableGrid"/>
        <w:tblW w:w="5000" w:type="pct"/>
        <w:tblLook w:val="04A0" w:firstRow="1" w:lastRow="0" w:firstColumn="1" w:lastColumn="0" w:noHBand="0" w:noVBand="1"/>
      </w:tblPr>
      <w:tblGrid>
        <w:gridCol w:w="2994"/>
        <w:gridCol w:w="3246"/>
        <w:gridCol w:w="3336"/>
      </w:tblGrid>
      <w:tr w:rsidR="00D35566" w14:paraId="4A319186" w14:textId="77777777">
        <w:trPr>
          <w:tblHeader/>
        </w:trPr>
        <w:tc>
          <w:tcPr>
            <w:tcW w:w="2988" w:type="dxa"/>
            <w:tcBorders>
              <w:bottom w:val="single" w:sz="4" w:space="0" w:color="auto"/>
            </w:tcBorders>
          </w:tcPr>
          <w:p w14:paraId="39D14693" w14:textId="77777777" w:rsidR="00D35566" w:rsidRDefault="00000000">
            <w:pPr>
              <w:rPr>
                <w:rFonts w:ascii="Arial" w:hAnsi="Arial" w:cs="Arial"/>
                <w:sz w:val="20"/>
                <w:szCs w:val="20"/>
              </w:rPr>
            </w:pPr>
            <w:r>
              <w:rPr>
                <w:rFonts w:ascii="Arial" w:hAnsi="Arial" w:cs="Arial"/>
                <w:b/>
                <w:bCs/>
                <w:sz w:val="20"/>
                <w:szCs w:val="20"/>
              </w:rPr>
              <w:t>Gene(s)</w:t>
            </w:r>
          </w:p>
        </w:tc>
        <w:tc>
          <w:tcPr>
            <w:tcW w:w="3240" w:type="dxa"/>
            <w:tcBorders>
              <w:bottom w:val="single" w:sz="4" w:space="0" w:color="auto"/>
            </w:tcBorders>
          </w:tcPr>
          <w:p w14:paraId="2C8D52B1" w14:textId="77777777" w:rsidR="00D35566" w:rsidRDefault="00000000">
            <w:pPr>
              <w:rPr>
                <w:rFonts w:ascii="Arial" w:hAnsi="Arial" w:cs="Arial"/>
                <w:sz w:val="20"/>
                <w:szCs w:val="20"/>
              </w:rPr>
            </w:pPr>
            <w:r>
              <w:rPr>
                <w:rFonts w:ascii="Arial" w:hAnsi="Arial" w:cs="Arial"/>
                <w:b/>
                <w:bCs/>
                <w:sz w:val="20"/>
                <w:szCs w:val="20"/>
              </w:rPr>
              <w:t>Predicted/annotated function</w:t>
            </w:r>
          </w:p>
        </w:tc>
        <w:tc>
          <w:tcPr>
            <w:tcW w:w="3330" w:type="dxa"/>
            <w:tcBorders>
              <w:bottom w:val="single" w:sz="4" w:space="0" w:color="auto"/>
            </w:tcBorders>
          </w:tcPr>
          <w:p w14:paraId="44AA093F" w14:textId="77777777" w:rsidR="00D35566" w:rsidRDefault="00000000">
            <w:pPr>
              <w:rPr>
                <w:rFonts w:ascii="Arial" w:hAnsi="Arial" w:cs="Arial"/>
                <w:sz w:val="20"/>
                <w:szCs w:val="20"/>
              </w:rPr>
            </w:pPr>
            <w:r>
              <w:rPr>
                <w:rFonts w:ascii="Arial" w:hAnsi="Arial" w:cs="Arial"/>
                <w:b/>
                <w:bCs/>
                <w:sz w:val="20"/>
                <w:szCs w:val="20"/>
              </w:rPr>
              <w:t>Functional category</w:t>
            </w:r>
          </w:p>
        </w:tc>
      </w:tr>
      <w:tr w:rsidR="00D35566" w14:paraId="06F2AC69" w14:textId="77777777">
        <w:tc>
          <w:tcPr>
            <w:tcW w:w="2988" w:type="dxa"/>
          </w:tcPr>
          <w:p w14:paraId="6AA8A123" w14:textId="77777777" w:rsidR="00D35566" w:rsidRDefault="00000000">
            <w:pPr>
              <w:rPr>
                <w:rFonts w:ascii="Arial" w:hAnsi="Arial" w:cs="Arial"/>
                <w:sz w:val="20"/>
                <w:szCs w:val="20"/>
              </w:rPr>
            </w:pPr>
            <w:r>
              <w:rPr>
                <w:rFonts w:ascii="Arial" w:hAnsi="Arial" w:cs="Arial"/>
                <w:sz w:val="20"/>
                <w:szCs w:val="20"/>
              </w:rPr>
              <w:t>LITCHI028104</w:t>
            </w:r>
          </w:p>
        </w:tc>
        <w:tc>
          <w:tcPr>
            <w:tcW w:w="3240" w:type="dxa"/>
          </w:tcPr>
          <w:p w14:paraId="623AA549" w14:textId="77777777" w:rsidR="00D35566" w:rsidRDefault="00000000">
            <w:pPr>
              <w:rPr>
                <w:rFonts w:ascii="Arial" w:hAnsi="Arial" w:cs="Arial"/>
                <w:sz w:val="20"/>
                <w:szCs w:val="20"/>
              </w:rPr>
            </w:pPr>
            <w:r>
              <w:rPr>
                <w:rFonts w:ascii="Arial" w:hAnsi="Arial" w:cs="Arial"/>
                <w:sz w:val="20"/>
                <w:szCs w:val="20"/>
              </w:rPr>
              <w:t>Jacalin-like lectin</w:t>
            </w:r>
          </w:p>
        </w:tc>
        <w:tc>
          <w:tcPr>
            <w:tcW w:w="3330" w:type="dxa"/>
          </w:tcPr>
          <w:p w14:paraId="7EE3DF19" w14:textId="77777777" w:rsidR="00D35566" w:rsidRDefault="00000000">
            <w:pPr>
              <w:rPr>
                <w:rFonts w:ascii="Arial" w:hAnsi="Arial" w:cs="Arial"/>
                <w:sz w:val="20"/>
                <w:szCs w:val="20"/>
              </w:rPr>
            </w:pPr>
            <w:r>
              <w:rPr>
                <w:rFonts w:ascii="Arial" w:hAnsi="Arial" w:cs="Arial"/>
                <w:sz w:val="20"/>
                <w:szCs w:val="20"/>
              </w:rPr>
              <w:t>Stress response</w:t>
            </w:r>
          </w:p>
        </w:tc>
      </w:tr>
      <w:tr w:rsidR="00D35566" w14:paraId="3226F3C1" w14:textId="77777777">
        <w:tc>
          <w:tcPr>
            <w:tcW w:w="2988" w:type="dxa"/>
          </w:tcPr>
          <w:p w14:paraId="26CCE208" w14:textId="77777777" w:rsidR="00D35566" w:rsidRDefault="00000000">
            <w:pPr>
              <w:rPr>
                <w:rFonts w:ascii="Arial" w:hAnsi="Arial" w:cs="Arial"/>
                <w:sz w:val="20"/>
                <w:szCs w:val="20"/>
              </w:rPr>
            </w:pPr>
            <w:r>
              <w:rPr>
                <w:rFonts w:ascii="Arial" w:hAnsi="Arial" w:cs="Arial"/>
                <w:sz w:val="20"/>
                <w:szCs w:val="20"/>
              </w:rPr>
              <w:t>LITCHI011394</w:t>
            </w:r>
          </w:p>
        </w:tc>
        <w:tc>
          <w:tcPr>
            <w:tcW w:w="3240" w:type="dxa"/>
          </w:tcPr>
          <w:p w14:paraId="1D0814FD" w14:textId="77777777" w:rsidR="00D35566" w:rsidRDefault="00000000">
            <w:pPr>
              <w:rPr>
                <w:rFonts w:ascii="Arial" w:hAnsi="Arial" w:cs="Arial"/>
                <w:sz w:val="20"/>
                <w:szCs w:val="20"/>
              </w:rPr>
            </w:pPr>
            <w:r>
              <w:rPr>
                <w:rFonts w:ascii="Arial" w:hAnsi="Arial" w:cs="Arial"/>
                <w:sz w:val="20"/>
                <w:szCs w:val="20"/>
              </w:rPr>
              <w:t>Pathogenesis-related protein family</w:t>
            </w:r>
          </w:p>
        </w:tc>
        <w:tc>
          <w:tcPr>
            <w:tcW w:w="3330" w:type="dxa"/>
          </w:tcPr>
          <w:p w14:paraId="5A19FDB5" w14:textId="77777777" w:rsidR="00D35566" w:rsidRDefault="00000000">
            <w:pPr>
              <w:rPr>
                <w:rFonts w:ascii="Arial" w:hAnsi="Arial" w:cs="Arial"/>
                <w:sz w:val="20"/>
                <w:szCs w:val="20"/>
              </w:rPr>
            </w:pPr>
            <w:r>
              <w:rPr>
                <w:rFonts w:ascii="Arial" w:hAnsi="Arial" w:cs="Arial"/>
                <w:sz w:val="20"/>
                <w:szCs w:val="20"/>
              </w:rPr>
              <w:t>Stress response</w:t>
            </w:r>
          </w:p>
        </w:tc>
      </w:tr>
      <w:tr w:rsidR="00D35566" w14:paraId="041F1C4C" w14:textId="77777777">
        <w:tc>
          <w:tcPr>
            <w:tcW w:w="2988" w:type="dxa"/>
          </w:tcPr>
          <w:p w14:paraId="1B61F547" w14:textId="77777777" w:rsidR="00D35566" w:rsidRDefault="00000000">
            <w:pPr>
              <w:rPr>
                <w:rFonts w:ascii="Arial" w:hAnsi="Arial" w:cs="Arial"/>
                <w:sz w:val="20"/>
                <w:szCs w:val="20"/>
              </w:rPr>
            </w:pPr>
            <w:r>
              <w:rPr>
                <w:rFonts w:ascii="Arial" w:hAnsi="Arial" w:cs="Arial"/>
                <w:sz w:val="20"/>
                <w:szCs w:val="20"/>
              </w:rPr>
              <w:t>LITCHI012388</w:t>
            </w:r>
          </w:p>
        </w:tc>
        <w:tc>
          <w:tcPr>
            <w:tcW w:w="3240" w:type="dxa"/>
          </w:tcPr>
          <w:p w14:paraId="180B672F" w14:textId="77777777" w:rsidR="00D35566" w:rsidRDefault="00000000">
            <w:pPr>
              <w:rPr>
                <w:rFonts w:ascii="Arial" w:hAnsi="Arial" w:cs="Arial"/>
                <w:sz w:val="20"/>
                <w:szCs w:val="20"/>
              </w:rPr>
            </w:pPr>
            <w:r>
              <w:rPr>
                <w:rFonts w:ascii="Arial" w:hAnsi="Arial" w:cs="Arial"/>
                <w:sz w:val="20"/>
                <w:szCs w:val="20"/>
              </w:rPr>
              <w:t>Heat shock protein</w:t>
            </w:r>
          </w:p>
        </w:tc>
        <w:tc>
          <w:tcPr>
            <w:tcW w:w="3330" w:type="dxa"/>
          </w:tcPr>
          <w:p w14:paraId="08822702" w14:textId="77777777" w:rsidR="00D35566" w:rsidRDefault="00000000">
            <w:pPr>
              <w:rPr>
                <w:rFonts w:ascii="Arial" w:hAnsi="Arial" w:cs="Arial"/>
                <w:sz w:val="20"/>
                <w:szCs w:val="20"/>
              </w:rPr>
            </w:pPr>
            <w:r>
              <w:rPr>
                <w:rFonts w:ascii="Arial" w:hAnsi="Arial" w:cs="Arial"/>
                <w:sz w:val="20"/>
                <w:szCs w:val="20"/>
              </w:rPr>
              <w:t>Stress response</w:t>
            </w:r>
          </w:p>
        </w:tc>
      </w:tr>
      <w:tr w:rsidR="00D35566" w14:paraId="41A115B9" w14:textId="77777777">
        <w:tc>
          <w:tcPr>
            <w:tcW w:w="2988" w:type="dxa"/>
          </w:tcPr>
          <w:p w14:paraId="388D354D" w14:textId="77777777" w:rsidR="00D35566" w:rsidRDefault="00000000">
            <w:pPr>
              <w:rPr>
                <w:rFonts w:ascii="Arial" w:hAnsi="Arial" w:cs="Arial"/>
                <w:sz w:val="20"/>
                <w:szCs w:val="20"/>
              </w:rPr>
            </w:pPr>
            <w:r>
              <w:rPr>
                <w:rFonts w:ascii="Arial" w:hAnsi="Arial" w:cs="Arial"/>
                <w:sz w:val="20"/>
                <w:szCs w:val="20"/>
              </w:rPr>
              <w:t>LITCHI001552, LITCHI025738</w:t>
            </w:r>
          </w:p>
        </w:tc>
        <w:tc>
          <w:tcPr>
            <w:tcW w:w="3240" w:type="dxa"/>
          </w:tcPr>
          <w:p w14:paraId="1C428C76" w14:textId="77777777" w:rsidR="00D35566" w:rsidRDefault="00000000">
            <w:pPr>
              <w:rPr>
                <w:rFonts w:ascii="Arial" w:hAnsi="Arial" w:cs="Arial"/>
                <w:sz w:val="20"/>
                <w:szCs w:val="20"/>
              </w:rPr>
            </w:pPr>
            <w:r>
              <w:rPr>
                <w:rFonts w:ascii="Arial" w:hAnsi="Arial" w:cs="Arial"/>
                <w:sz w:val="20"/>
                <w:szCs w:val="20"/>
              </w:rPr>
              <w:t>Cyclase-like protein</w:t>
            </w:r>
          </w:p>
        </w:tc>
        <w:tc>
          <w:tcPr>
            <w:tcW w:w="3330" w:type="dxa"/>
          </w:tcPr>
          <w:p w14:paraId="40135B44" w14:textId="77777777" w:rsidR="00D35566" w:rsidRDefault="00000000">
            <w:pPr>
              <w:rPr>
                <w:rFonts w:ascii="Arial" w:hAnsi="Arial" w:cs="Arial"/>
                <w:sz w:val="20"/>
                <w:szCs w:val="20"/>
              </w:rPr>
            </w:pPr>
            <w:r>
              <w:rPr>
                <w:rFonts w:ascii="Arial" w:hAnsi="Arial" w:cs="Arial"/>
                <w:sz w:val="20"/>
                <w:szCs w:val="20"/>
              </w:rPr>
              <w:t>Stress response</w:t>
            </w:r>
          </w:p>
        </w:tc>
      </w:tr>
      <w:tr w:rsidR="00D35566" w14:paraId="32F62E5C" w14:textId="77777777">
        <w:tc>
          <w:tcPr>
            <w:tcW w:w="2988" w:type="dxa"/>
            <w:vAlign w:val="bottom"/>
          </w:tcPr>
          <w:p w14:paraId="5BCB21C3" w14:textId="77777777" w:rsidR="00D35566" w:rsidRDefault="00000000">
            <w:pPr>
              <w:rPr>
                <w:rFonts w:ascii="Arial" w:hAnsi="Arial" w:cs="Arial"/>
                <w:sz w:val="20"/>
                <w:szCs w:val="20"/>
              </w:rPr>
            </w:pPr>
            <w:r>
              <w:rPr>
                <w:rFonts w:ascii="Arial" w:hAnsi="Arial" w:cs="Arial"/>
                <w:sz w:val="20"/>
                <w:szCs w:val="20"/>
              </w:rPr>
              <w:t>LITCHI009301, LITCHI002793</w:t>
            </w:r>
          </w:p>
        </w:tc>
        <w:tc>
          <w:tcPr>
            <w:tcW w:w="3240" w:type="dxa"/>
            <w:vAlign w:val="bottom"/>
          </w:tcPr>
          <w:p w14:paraId="1ADB2197" w14:textId="77777777" w:rsidR="00D35566" w:rsidRDefault="00000000">
            <w:pPr>
              <w:rPr>
                <w:rFonts w:ascii="Arial" w:hAnsi="Arial" w:cs="Arial"/>
                <w:sz w:val="20"/>
                <w:szCs w:val="20"/>
              </w:rPr>
            </w:pPr>
            <w:proofErr w:type="spellStart"/>
            <w:r>
              <w:rPr>
                <w:rFonts w:ascii="Arial" w:hAnsi="Arial" w:cs="Arial"/>
                <w:sz w:val="20"/>
                <w:szCs w:val="20"/>
              </w:rPr>
              <w:t>Osmotin</w:t>
            </w:r>
            <w:proofErr w:type="spellEnd"/>
            <w:r>
              <w:rPr>
                <w:rFonts w:ascii="Arial" w:hAnsi="Arial" w:cs="Arial"/>
                <w:sz w:val="20"/>
                <w:szCs w:val="20"/>
              </w:rPr>
              <w:t>/thaumatin-like proteins</w:t>
            </w:r>
          </w:p>
        </w:tc>
        <w:tc>
          <w:tcPr>
            <w:tcW w:w="3330" w:type="dxa"/>
            <w:vAlign w:val="bottom"/>
          </w:tcPr>
          <w:p w14:paraId="63A458F9" w14:textId="77777777" w:rsidR="00D35566" w:rsidRDefault="00000000">
            <w:pPr>
              <w:rPr>
                <w:rFonts w:ascii="Arial" w:hAnsi="Arial" w:cs="Arial"/>
                <w:sz w:val="20"/>
                <w:szCs w:val="20"/>
              </w:rPr>
            </w:pPr>
            <w:r>
              <w:rPr>
                <w:rFonts w:ascii="Arial" w:hAnsi="Arial" w:cs="Arial"/>
                <w:sz w:val="20"/>
                <w:szCs w:val="20"/>
              </w:rPr>
              <w:t>Stress response</w:t>
            </w:r>
          </w:p>
        </w:tc>
      </w:tr>
      <w:tr w:rsidR="00D35566" w14:paraId="7DBA5539" w14:textId="77777777">
        <w:tc>
          <w:tcPr>
            <w:tcW w:w="2988" w:type="dxa"/>
            <w:vAlign w:val="bottom"/>
          </w:tcPr>
          <w:p w14:paraId="295D5A76" w14:textId="77777777" w:rsidR="00D35566" w:rsidRDefault="00000000">
            <w:pPr>
              <w:rPr>
                <w:rFonts w:ascii="Arial" w:hAnsi="Arial" w:cs="Arial"/>
                <w:sz w:val="20"/>
                <w:szCs w:val="20"/>
              </w:rPr>
            </w:pPr>
            <w:r>
              <w:rPr>
                <w:rFonts w:ascii="Arial" w:hAnsi="Arial" w:cs="Arial"/>
                <w:sz w:val="20"/>
                <w:szCs w:val="20"/>
              </w:rPr>
              <w:t>LITCHI019519</w:t>
            </w:r>
          </w:p>
        </w:tc>
        <w:tc>
          <w:tcPr>
            <w:tcW w:w="3240" w:type="dxa"/>
            <w:vAlign w:val="bottom"/>
          </w:tcPr>
          <w:p w14:paraId="7D642EF0" w14:textId="77777777" w:rsidR="00D35566" w:rsidRDefault="00000000">
            <w:pPr>
              <w:rPr>
                <w:rFonts w:ascii="Arial" w:hAnsi="Arial" w:cs="Arial"/>
                <w:sz w:val="20"/>
                <w:szCs w:val="20"/>
              </w:rPr>
            </w:pPr>
            <w:r>
              <w:rPr>
                <w:rFonts w:ascii="Arial" w:hAnsi="Arial" w:cs="Arial"/>
                <w:sz w:val="20"/>
                <w:szCs w:val="20"/>
              </w:rPr>
              <w:t>EF-hand calcium-binding protein</w:t>
            </w:r>
          </w:p>
        </w:tc>
        <w:tc>
          <w:tcPr>
            <w:tcW w:w="3330" w:type="dxa"/>
            <w:vAlign w:val="bottom"/>
          </w:tcPr>
          <w:p w14:paraId="0769B7BC" w14:textId="77777777" w:rsidR="00D35566" w:rsidRDefault="00000000">
            <w:pPr>
              <w:rPr>
                <w:rFonts w:ascii="Arial" w:hAnsi="Arial" w:cs="Arial"/>
                <w:sz w:val="20"/>
                <w:szCs w:val="20"/>
              </w:rPr>
            </w:pPr>
            <w:r>
              <w:rPr>
                <w:rFonts w:ascii="Arial" w:hAnsi="Arial" w:cs="Arial"/>
                <w:sz w:val="20"/>
                <w:szCs w:val="20"/>
              </w:rPr>
              <w:t>Calcium binding/signaling</w:t>
            </w:r>
          </w:p>
        </w:tc>
      </w:tr>
      <w:tr w:rsidR="00D35566" w14:paraId="2142B2EA" w14:textId="77777777">
        <w:tc>
          <w:tcPr>
            <w:tcW w:w="2988" w:type="dxa"/>
            <w:vAlign w:val="bottom"/>
          </w:tcPr>
          <w:p w14:paraId="7064792B" w14:textId="77777777" w:rsidR="00D35566" w:rsidRDefault="00000000">
            <w:pPr>
              <w:rPr>
                <w:rFonts w:ascii="Arial" w:hAnsi="Arial" w:cs="Arial"/>
                <w:sz w:val="20"/>
                <w:szCs w:val="20"/>
              </w:rPr>
            </w:pPr>
            <w:r>
              <w:rPr>
                <w:rFonts w:ascii="Arial" w:hAnsi="Arial" w:cs="Arial"/>
                <w:sz w:val="20"/>
                <w:szCs w:val="20"/>
              </w:rPr>
              <w:t>LITCHI017995</w:t>
            </w:r>
          </w:p>
        </w:tc>
        <w:tc>
          <w:tcPr>
            <w:tcW w:w="3240" w:type="dxa"/>
            <w:vAlign w:val="bottom"/>
          </w:tcPr>
          <w:p w14:paraId="5989646D" w14:textId="77777777" w:rsidR="00D35566" w:rsidRDefault="00000000">
            <w:pPr>
              <w:rPr>
                <w:rFonts w:ascii="Arial" w:hAnsi="Arial" w:cs="Arial"/>
                <w:sz w:val="20"/>
                <w:szCs w:val="20"/>
              </w:rPr>
            </w:pPr>
            <w:proofErr w:type="spellStart"/>
            <w:r>
              <w:rPr>
                <w:rFonts w:ascii="Arial" w:hAnsi="Arial" w:cs="Arial"/>
                <w:sz w:val="20"/>
                <w:szCs w:val="20"/>
              </w:rPr>
              <w:t>Metalloendoproteinase</w:t>
            </w:r>
            <w:proofErr w:type="spellEnd"/>
          </w:p>
        </w:tc>
        <w:tc>
          <w:tcPr>
            <w:tcW w:w="3330" w:type="dxa"/>
            <w:vAlign w:val="bottom"/>
          </w:tcPr>
          <w:p w14:paraId="06DE828B" w14:textId="77777777" w:rsidR="00D35566" w:rsidRDefault="00000000">
            <w:pPr>
              <w:rPr>
                <w:rFonts w:ascii="Arial" w:hAnsi="Arial" w:cs="Arial"/>
                <w:sz w:val="20"/>
                <w:szCs w:val="20"/>
              </w:rPr>
            </w:pPr>
            <w:r>
              <w:rPr>
                <w:rFonts w:ascii="Arial" w:hAnsi="Arial" w:cs="Arial"/>
                <w:sz w:val="20"/>
                <w:szCs w:val="20"/>
              </w:rPr>
              <w:t>Calcium binding/signaling</w:t>
            </w:r>
          </w:p>
        </w:tc>
      </w:tr>
      <w:tr w:rsidR="00D35566" w14:paraId="0336C0D2" w14:textId="77777777">
        <w:tc>
          <w:tcPr>
            <w:tcW w:w="2988" w:type="dxa"/>
          </w:tcPr>
          <w:p w14:paraId="16D67920" w14:textId="77777777" w:rsidR="00D35566" w:rsidRDefault="00000000">
            <w:pPr>
              <w:rPr>
                <w:rFonts w:ascii="Arial" w:hAnsi="Arial" w:cs="Arial"/>
                <w:sz w:val="20"/>
                <w:szCs w:val="20"/>
              </w:rPr>
            </w:pPr>
            <w:r>
              <w:rPr>
                <w:rFonts w:ascii="Arial" w:hAnsi="Arial" w:cs="Arial"/>
                <w:sz w:val="20"/>
                <w:szCs w:val="20"/>
              </w:rPr>
              <w:lastRenderedPageBreak/>
              <w:t>LITCHI002550</w:t>
            </w:r>
          </w:p>
        </w:tc>
        <w:tc>
          <w:tcPr>
            <w:tcW w:w="3240" w:type="dxa"/>
          </w:tcPr>
          <w:p w14:paraId="3CF18A5B" w14:textId="77777777" w:rsidR="00D35566" w:rsidRDefault="00000000">
            <w:pPr>
              <w:rPr>
                <w:rFonts w:ascii="Arial" w:hAnsi="Arial" w:cs="Arial"/>
                <w:sz w:val="20"/>
                <w:szCs w:val="20"/>
              </w:rPr>
            </w:pPr>
            <w:r>
              <w:rPr>
                <w:rFonts w:ascii="Arial" w:hAnsi="Arial" w:cs="Arial"/>
                <w:sz w:val="20"/>
                <w:szCs w:val="20"/>
              </w:rPr>
              <w:t>Cytochrome P450</w:t>
            </w:r>
          </w:p>
        </w:tc>
        <w:tc>
          <w:tcPr>
            <w:tcW w:w="3330" w:type="dxa"/>
          </w:tcPr>
          <w:p w14:paraId="195594B6" w14:textId="77777777" w:rsidR="00D35566" w:rsidRDefault="00000000">
            <w:pPr>
              <w:rPr>
                <w:rFonts w:ascii="Arial" w:hAnsi="Arial" w:cs="Arial"/>
                <w:sz w:val="20"/>
                <w:szCs w:val="20"/>
              </w:rPr>
            </w:pPr>
            <w:r>
              <w:rPr>
                <w:rFonts w:ascii="Arial" w:hAnsi="Arial" w:cs="Arial"/>
                <w:sz w:val="20"/>
                <w:szCs w:val="20"/>
              </w:rPr>
              <w:t>Enzyme-related</w:t>
            </w:r>
          </w:p>
        </w:tc>
      </w:tr>
      <w:tr w:rsidR="00D35566" w14:paraId="25C3E4F5" w14:textId="77777777">
        <w:tc>
          <w:tcPr>
            <w:tcW w:w="2988" w:type="dxa"/>
          </w:tcPr>
          <w:p w14:paraId="668FDC54" w14:textId="77777777" w:rsidR="00D35566" w:rsidRDefault="00000000">
            <w:pPr>
              <w:rPr>
                <w:rFonts w:ascii="Arial" w:hAnsi="Arial" w:cs="Arial"/>
                <w:sz w:val="20"/>
                <w:szCs w:val="20"/>
              </w:rPr>
            </w:pPr>
            <w:r>
              <w:rPr>
                <w:rFonts w:ascii="Arial" w:hAnsi="Arial" w:cs="Arial"/>
                <w:sz w:val="20"/>
                <w:szCs w:val="20"/>
              </w:rPr>
              <w:t>LITCHI019299, LITCHI017676</w:t>
            </w:r>
          </w:p>
        </w:tc>
        <w:tc>
          <w:tcPr>
            <w:tcW w:w="3240" w:type="dxa"/>
          </w:tcPr>
          <w:p w14:paraId="38046A85" w14:textId="77777777" w:rsidR="00D35566" w:rsidRDefault="00000000">
            <w:pPr>
              <w:rPr>
                <w:rFonts w:ascii="Arial" w:hAnsi="Arial" w:cs="Arial"/>
                <w:sz w:val="20"/>
                <w:szCs w:val="20"/>
              </w:rPr>
            </w:pPr>
            <w:r>
              <w:rPr>
                <w:rFonts w:ascii="Arial" w:hAnsi="Arial" w:cs="Arial"/>
                <w:sz w:val="20"/>
                <w:szCs w:val="20"/>
              </w:rPr>
              <w:t>S-adenosylmethionine-related proteins</w:t>
            </w:r>
          </w:p>
        </w:tc>
        <w:tc>
          <w:tcPr>
            <w:tcW w:w="3330" w:type="dxa"/>
          </w:tcPr>
          <w:p w14:paraId="1C773F4B" w14:textId="77777777" w:rsidR="00D35566" w:rsidRDefault="00000000">
            <w:pPr>
              <w:rPr>
                <w:rFonts w:ascii="Arial" w:hAnsi="Arial" w:cs="Arial"/>
                <w:sz w:val="20"/>
                <w:szCs w:val="20"/>
              </w:rPr>
            </w:pPr>
            <w:r>
              <w:rPr>
                <w:rFonts w:ascii="Arial" w:hAnsi="Arial" w:cs="Arial"/>
                <w:sz w:val="20"/>
                <w:szCs w:val="20"/>
              </w:rPr>
              <w:t>Enzyme-related</w:t>
            </w:r>
          </w:p>
        </w:tc>
      </w:tr>
      <w:tr w:rsidR="00D35566" w14:paraId="5F85169A" w14:textId="77777777">
        <w:tc>
          <w:tcPr>
            <w:tcW w:w="2988" w:type="dxa"/>
            <w:vAlign w:val="bottom"/>
          </w:tcPr>
          <w:p w14:paraId="67335422" w14:textId="77777777" w:rsidR="00D35566" w:rsidRDefault="00000000">
            <w:pPr>
              <w:rPr>
                <w:rFonts w:ascii="Arial" w:hAnsi="Arial" w:cs="Arial"/>
                <w:sz w:val="20"/>
                <w:szCs w:val="20"/>
              </w:rPr>
            </w:pPr>
            <w:r>
              <w:rPr>
                <w:rFonts w:ascii="Arial" w:hAnsi="Arial" w:cs="Arial"/>
                <w:sz w:val="20"/>
                <w:szCs w:val="20"/>
              </w:rPr>
              <w:t>LITCHI007102</w:t>
            </w:r>
          </w:p>
        </w:tc>
        <w:tc>
          <w:tcPr>
            <w:tcW w:w="3240" w:type="dxa"/>
            <w:vAlign w:val="bottom"/>
          </w:tcPr>
          <w:p w14:paraId="372F80FB" w14:textId="77777777" w:rsidR="00D35566" w:rsidRDefault="00000000">
            <w:pPr>
              <w:rPr>
                <w:rFonts w:ascii="Arial" w:hAnsi="Arial" w:cs="Arial"/>
                <w:sz w:val="20"/>
                <w:szCs w:val="20"/>
              </w:rPr>
            </w:pPr>
            <w:r>
              <w:rPr>
                <w:rFonts w:ascii="Arial" w:hAnsi="Arial" w:cs="Arial"/>
                <w:sz w:val="20"/>
                <w:szCs w:val="20"/>
              </w:rPr>
              <w:t>Phytosulfokine precursor</w:t>
            </w:r>
          </w:p>
        </w:tc>
        <w:tc>
          <w:tcPr>
            <w:tcW w:w="3330" w:type="dxa"/>
            <w:vAlign w:val="bottom"/>
          </w:tcPr>
          <w:p w14:paraId="3473F4DA" w14:textId="77777777" w:rsidR="00D35566" w:rsidRDefault="00000000">
            <w:pPr>
              <w:rPr>
                <w:rFonts w:ascii="Arial" w:hAnsi="Arial" w:cs="Arial"/>
                <w:sz w:val="20"/>
                <w:szCs w:val="20"/>
              </w:rPr>
            </w:pPr>
            <w:r>
              <w:rPr>
                <w:rFonts w:ascii="Arial" w:hAnsi="Arial" w:cs="Arial"/>
                <w:sz w:val="20"/>
                <w:szCs w:val="20"/>
              </w:rPr>
              <w:t>Other</w:t>
            </w:r>
          </w:p>
        </w:tc>
      </w:tr>
      <w:tr w:rsidR="00D35566" w14:paraId="4E9E7946" w14:textId="77777777">
        <w:tc>
          <w:tcPr>
            <w:tcW w:w="2988" w:type="dxa"/>
            <w:vAlign w:val="bottom"/>
          </w:tcPr>
          <w:p w14:paraId="0FC0EFC2" w14:textId="77777777" w:rsidR="00D35566" w:rsidRDefault="00000000">
            <w:pPr>
              <w:rPr>
                <w:rFonts w:ascii="Arial" w:hAnsi="Arial" w:cs="Arial"/>
                <w:sz w:val="20"/>
                <w:szCs w:val="20"/>
              </w:rPr>
            </w:pPr>
            <w:r>
              <w:rPr>
                <w:rFonts w:ascii="Arial" w:hAnsi="Arial" w:cs="Arial"/>
                <w:sz w:val="20"/>
                <w:szCs w:val="20"/>
              </w:rPr>
              <w:t>LITCHI019183, LITCHI018043</w:t>
            </w:r>
          </w:p>
        </w:tc>
        <w:tc>
          <w:tcPr>
            <w:tcW w:w="3240" w:type="dxa"/>
            <w:vAlign w:val="bottom"/>
          </w:tcPr>
          <w:p w14:paraId="77BAA8D6" w14:textId="77777777" w:rsidR="00D35566" w:rsidRDefault="00000000">
            <w:pPr>
              <w:rPr>
                <w:rFonts w:ascii="Arial" w:hAnsi="Arial" w:cs="Arial"/>
                <w:sz w:val="20"/>
                <w:szCs w:val="20"/>
              </w:rPr>
            </w:pPr>
            <w:r>
              <w:rPr>
                <w:rFonts w:ascii="Arial" w:hAnsi="Arial" w:cs="Arial"/>
                <w:sz w:val="20"/>
                <w:szCs w:val="20"/>
              </w:rPr>
              <w:t>Plant lipid-transfer proteins</w:t>
            </w:r>
          </w:p>
        </w:tc>
        <w:tc>
          <w:tcPr>
            <w:tcW w:w="3330" w:type="dxa"/>
            <w:vAlign w:val="bottom"/>
          </w:tcPr>
          <w:p w14:paraId="4EEBFEE5" w14:textId="77777777" w:rsidR="00D35566" w:rsidRDefault="00000000">
            <w:pPr>
              <w:rPr>
                <w:rFonts w:ascii="Arial" w:hAnsi="Arial" w:cs="Arial"/>
                <w:sz w:val="20"/>
                <w:szCs w:val="20"/>
              </w:rPr>
            </w:pPr>
            <w:r>
              <w:rPr>
                <w:rFonts w:ascii="Arial" w:hAnsi="Arial" w:cs="Arial"/>
                <w:sz w:val="20"/>
                <w:szCs w:val="20"/>
              </w:rPr>
              <w:t>Other</w:t>
            </w:r>
          </w:p>
        </w:tc>
      </w:tr>
    </w:tbl>
    <w:p w14:paraId="309F435A" w14:textId="77777777" w:rsidR="00D35566" w:rsidRDefault="00000000">
      <w:pPr>
        <w:pStyle w:val="Caption"/>
        <w:spacing w:after="0"/>
        <w:rPr>
          <w:rFonts w:ascii="Arial" w:hAnsi="Arial" w:cs="Arial"/>
          <w:b/>
          <w:bCs/>
          <w:sz w:val="22"/>
          <w:szCs w:val="22"/>
        </w:rPr>
      </w:pPr>
      <w:r>
        <w:rPr>
          <w:rFonts w:ascii="Arial" w:hAnsi="Arial" w:cs="Arial"/>
          <w:b/>
          <w:bCs/>
          <w:sz w:val="22"/>
          <w:szCs w:val="22"/>
        </w:rPr>
        <w:t>Table 5. Predicted functions of selected differentially expressed genes.</w:t>
      </w:r>
    </w:p>
    <w:p w14:paraId="68E7B420" w14:textId="77777777" w:rsidR="00D35566" w:rsidRDefault="00000000">
      <w:pPr>
        <w:pStyle w:val="BodyTextIndent1"/>
      </w:pPr>
      <w:r>
        <w:t>Thaumatin-family motifs were also detected in Figure 7. This protein family includes pathogenesis-related group 5 (PR-5) proteins, which are associated with systemic acquired resistance, stress responses, and antifungal activity [17].</w:t>
      </w:r>
    </w:p>
    <w:p w14:paraId="1BF62710" w14:textId="77777777" w:rsidR="00D35566" w:rsidRDefault="00000000">
      <w:pPr>
        <w:pStyle w:val="BodyTextIndent1"/>
      </w:pPr>
      <w:r>
        <w:t>Figures 8 and 9 summarize raw locations and counts of seven cis-acting regulatory elements related to plant stress or defense responses. Table 4 and Figure 10 add a background-controlled random-promoter comparison, and Table 6 lists the reported functions of the selected elements.</w:t>
      </w:r>
    </w:p>
    <w:p w14:paraId="4D4558D1" w14:textId="77777777" w:rsidR="00D35566" w:rsidRDefault="00000000">
      <w:pPr>
        <w:pStyle w:val="BodyTextIndent1"/>
      </w:pPr>
      <w:r>
        <w:t>ABRE elements are involved in abscisic acid responsiveness [18,19]. Abscisic acid (ABA) plays a major role in plant responses to environmental stress, and ABA-mediated responses can induce expression of many genes through ABRE-containing promoters [20]. In this study, ABREs were often observed as the ACGTG motif.</w:t>
      </w:r>
    </w:p>
    <w:p w14:paraId="786D391E" w14:textId="77777777" w:rsidR="00D35566" w:rsidRDefault="00000000">
      <w:pPr>
        <w:pStyle w:val="BodyTextIndent1"/>
      </w:pPr>
      <w:r>
        <w:t>ARE and MBS are additional cis-regulatory elements associated with responses to environmental conditions. In this study, AREs were often observed as the AAACCA motif, whereas MBS motifs were often observed as CAACTG.</w:t>
      </w:r>
    </w:p>
    <w:p w14:paraId="11352305" w14:textId="77777777" w:rsidR="00D35566" w:rsidRDefault="00000000">
      <w:pPr>
        <w:pStyle w:val="BodyTextIndent1"/>
      </w:pPr>
      <w:r>
        <w:t>AT-rich sequences with the TAAAATACT motif were identified in a subset of selected genes. These elements have been associated with maximal elicitor-mediated activation. Elicitors are compounds that can activate plant chemical defenses [21].</w:t>
      </w:r>
    </w:p>
    <w:p w14:paraId="3E8D38AE" w14:textId="77777777" w:rsidR="00D35566" w:rsidRDefault="00000000">
      <w:pPr>
        <w:pStyle w:val="BodyTextIndent1"/>
      </w:pPr>
      <w:r>
        <w:t xml:space="preserve">Methyl </w:t>
      </w:r>
      <w:proofErr w:type="spellStart"/>
      <w:r>
        <w:t>jasmonate</w:t>
      </w:r>
      <w:proofErr w:type="spellEnd"/>
      <w:r>
        <w:t xml:space="preserve"> (</w:t>
      </w:r>
      <w:proofErr w:type="spellStart"/>
      <w:r>
        <w:t>MeJA</w:t>
      </w:r>
      <w:proofErr w:type="spellEnd"/>
      <w:r>
        <w:t xml:space="preserve">) is a signaling molecule involved in plant development and stress responses. It can activate plant defense mechanisms against a range of pathogens. For example, Zhang et al. reported that </w:t>
      </w:r>
      <w:proofErr w:type="spellStart"/>
      <w:r>
        <w:t>MeJA</w:t>
      </w:r>
      <w:proofErr w:type="spellEnd"/>
      <w:r>
        <w:t xml:space="preserve">-responsive proteins play roles in maize responses to pests and insects [22]. Several selected lychee genes contained multiple </w:t>
      </w:r>
      <w:proofErr w:type="spellStart"/>
      <w:r>
        <w:t>MeJA</w:t>
      </w:r>
      <w:proofErr w:type="spellEnd"/>
      <w:r>
        <w:t>-responsive elements, typically CGTCA or TGACG motifs, in their promoter regions.</w:t>
      </w:r>
    </w:p>
    <w:p w14:paraId="4AC43816" w14:textId="77777777" w:rsidR="00D35566" w:rsidRDefault="00000000">
      <w:pPr>
        <w:pStyle w:val="BodyTextIndent1"/>
      </w:pPr>
      <w:r>
        <w:t>TCA-elements are associated with salicylic acid responsiveness. The hypersensitive response can limit pathogen spread through localized programmed cell death, and salicylic-acid-mediated defense can contribute to systemic acquired resistance and broad-spectrum immunity [8].</w:t>
      </w:r>
    </w:p>
    <w:p w14:paraId="64A88BC4" w14:textId="77777777" w:rsidR="00D35566" w:rsidRDefault="00000000">
      <w:pPr>
        <w:pStyle w:val="BodyTextIndent1"/>
      </w:pPr>
      <w:r>
        <w:t>TC-rich repeats are known to participate in plant defense and stress responsiveness [23]. In this study, TC-rich repeats were detected as the GTTTTCTTAC motif.</w:t>
      </w:r>
    </w:p>
    <w:tbl>
      <w:tblPr>
        <w:tblStyle w:val="TableGrid"/>
        <w:tblW w:w="5000" w:type="pct"/>
        <w:tblLook w:val="04A0" w:firstRow="1" w:lastRow="0" w:firstColumn="1" w:lastColumn="0" w:noHBand="0" w:noVBand="1"/>
      </w:tblPr>
      <w:tblGrid>
        <w:gridCol w:w="2750"/>
        <w:gridCol w:w="6826"/>
      </w:tblGrid>
      <w:tr w:rsidR="00D35566" w14:paraId="07C75E7B" w14:textId="77777777">
        <w:trPr>
          <w:tblHeader/>
        </w:trPr>
        <w:tc>
          <w:tcPr>
            <w:tcW w:w="2610" w:type="dxa"/>
            <w:tcBorders>
              <w:bottom w:val="single" w:sz="4" w:space="0" w:color="auto"/>
            </w:tcBorders>
          </w:tcPr>
          <w:p w14:paraId="3106CDFF" w14:textId="77777777" w:rsidR="00D35566" w:rsidRDefault="00000000">
            <w:pPr>
              <w:rPr>
                <w:rFonts w:ascii="Arial" w:hAnsi="Arial" w:cs="Arial"/>
                <w:sz w:val="20"/>
                <w:szCs w:val="20"/>
              </w:rPr>
            </w:pPr>
            <w:r>
              <w:rPr>
                <w:rFonts w:ascii="Arial" w:hAnsi="Arial" w:cs="Arial"/>
                <w:b/>
                <w:bCs/>
                <w:sz w:val="20"/>
                <w:szCs w:val="20"/>
              </w:rPr>
              <w:t>Cis-regulatory element</w:t>
            </w:r>
          </w:p>
        </w:tc>
        <w:tc>
          <w:tcPr>
            <w:tcW w:w="6480" w:type="dxa"/>
            <w:tcBorders>
              <w:bottom w:val="single" w:sz="4" w:space="0" w:color="auto"/>
            </w:tcBorders>
          </w:tcPr>
          <w:p w14:paraId="6D1989C6" w14:textId="77777777" w:rsidR="00D35566" w:rsidRDefault="00000000">
            <w:pPr>
              <w:rPr>
                <w:rFonts w:ascii="Arial" w:hAnsi="Arial" w:cs="Arial"/>
                <w:sz w:val="20"/>
                <w:szCs w:val="20"/>
              </w:rPr>
            </w:pPr>
            <w:r>
              <w:rPr>
                <w:rFonts w:ascii="Arial" w:hAnsi="Arial" w:cs="Arial"/>
                <w:b/>
                <w:bCs/>
                <w:sz w:val="20"/>
                <w:szCs w:val="20"/>
              </w:rPr>
              <w:t>Reported function</w:t>
            </w:r>
          </w:p>
        </w:tc>
      </w:tr>
      <w:tr w:rsidR="00D35566" w14:paraId="6F40FEC6" w14:textId="77777777">
        <w:tc>
          <w:tcPr>
            <w:tcW w:w="2610" w:type="dxa"/>
          </w:tcPr>
          <w:p w14:paraId="0680373B" w14:textId="77777777" w:rsidR="00D35566" w:rsidRDefault="00000000">
            <w:pPr>
              <w:rPr>
                <w:rFonts w:ascii="Arial" w:hAnsi="Arial" w:cs="Arial"/>
                <w:sz w:val="20"/>
                <w:szCs w:val="20"/>
              </w:rPr>
            </w:pPr>
            <w:r>
              <w:rPr>
                <w:rFonts w:ascii="Arial" w:hAnsi="Arial" w:cs="Arial"/>
                <w:sz w:val="20"/>
                <w:szCs w:val="20"/>
              </w:rPr>
              <w:t>ABRE</w:t>
            </w:r>
          </w:p>
        </w:tc>
        <w:tc>
          <w:tcPr>
            <w:tcW w:w="6480" w:type="dxa"/>
          </w:tcPr>
          <w:p w14:paraId="7FD37BCA" w14:textId="77777777" w:rsidR="00D35566" w:rsidRDefault="00000000">
            <w:pPr>
              <w:rPr>
                <w:rFonts w:ascii="Arial" w:hAnsi="Arial" w:cs="Arial"/>
                <w:sz w:val="20"/>
                <w:szCs w:val="20"/>
              </w:rPr>
            </w:pPr>
            <w:r>
              <w:rPr>
                <w:rFonts w:ascii="Arial" w:hAnsi="Arial" w:cs="Arial"/>
                <w:sz w:val="20"/>
                <w:szCs w:val="20"/>
              </w:rPr>
              <w:t>ABA-responsive element involved in abscisic acid responsiveness</w:t>
            </w:r>
          </w:p>
        </w:tc>
      </w:tr>
      <w:tr w:rsidR="00D35566" w14:paraId="0FFD17DF" w14:textId="77777777">
        <w:tc>
          <w:tcPr>
            <w:tcW w:w="2610" w:type="dxa"/>
          </w:tcPr>
          <w:p w14:paraId="2B7ADEA7" w14:textId="77777777" w:rsidR="00D35566" w:rsidRDefault="00000000">
            <w:pPr>
              <w:rPr>
                <w:rFonts w:ascii="Arial" w:hAnsi="Arial" w:cs="Arial"/>
                <w:sz w:val="20"/>
                <w:szCs w:val="20"/>
              </w:rPr>
            </w:pPr>
            <w:r>
              <w:rPr>
                <w:rFonts w:ascii="Arial" w:hAnsi="Arial" w:cs="Arial"/>
                <w:sz w:val="20"/>
                <w:szCs w:val="20"/>
              </w:rPr>
              <w:lastRenderedPageBreak/>
              <w:t>ARE</w:t>
            </w:r>
          </w:p>
        </w:tc>
        <w:tc>
          <w:tcPr>
            <w:tcW w:w="6480" w:type="dxa"/>
          </w:tcPr>
          <w:p w14:paraId="23BC75BA" w14:textId="77777777" w:rsidR="00D35566" w:rsidRDefault="00000000">
            <w:pPr>
              <w:rPr>
                <w:rFonts w:ascii="Arial" w:hAnsi="Arial" w:cs="Arial"/>
                <w:sz w:val="20"/>
                <w:szCs w:val="20"/>
              </w:rPr>
            </w:pPr>
            <w:r>
              <w:rPr>
                <w:rFonts w:ascii="Arial" w:hAnsi="Arial" w:cs="Arial"/>
                <w:sz w:val="20"/>
                <w:szCs w:val="20"/>
              </w:rPr>
              <w:t>Element associated with anaerobic induction</w:t>
            </w:r>
          </w:p>
        </w:tc>
      </w:tr>
      <w:tr w:rsidR="00D35566" w14:paraId="1BDFFA2E" w14:textId="77777777">
        <w:tc>
          <w:tcPr>
            <w:tcW w:w="2610" w:type="dxa"/>
          </w:tcPr>
          <w:p w14:paraId="7B897B6F" w14:textId="77777777" w:rsidR="00D35566" w:rsidRDefault="00000000">
            <w:pPr>
              <w:rPr>
                <w:rFonts w:ascii="Arial" w:hAnsi="Arial" w:cs="Arial"/>
                <w:sz w:val="20"/>
                <w:szCs w:val="20"/>
              </w:rPr>
            </w:pPr>
            <w:r>
              <w:rPr>
                <w:rFonts w:ascii="Arial" w:hAnsi="Arial" w:cs="Arial"/>
                <w:sz w:val="20"/>
                <w:szCs w:val="20"/>
              </w:rPr>
              <w:t>AT-rich sequence</w:t>
            </w:r>
          </w:p>
        </w:tc>
        <w:tc>
          <w:tcPr>
            <w:tcW w:w="6480" w:type="dxa"/>
          </w:tcPr>
          <w:p w14:paraId="64513EB8" w14:textId="77777777" w:rsidR="00D35566" w:rsidRDefault="00000000">
            <w:pPr>
              <w:rPr>
                <w:rFonts w:ascii="Arial" w:hAnsi="Arial" w:cs="Arial"/>
                <w:sz w:val="20"/>
                <w:szCs w:val="20"/>
              </w:rPr>
            </w:pPr>
            <w:r>
              <w:rPr>
                <w:rFonts w:ascii="Arial" w:hAnsi="Arial" w:cs="Arial"/>
                <w:sz w:val="20"/>
                <w:szCs w:val="20"/>
              </w:rPr>
              <w:t>Element associated with maximal elicitor-mediated activation</w:t>
            </w:r>
          </w:p>
        </w:tc>
      </w:tr>
      <w:tr w:rsidR="00D35566" w14:paraId="5B32055E" w14:textId="77777777">
        <w:tc>
          <w:tcPr>
            <w:tcW w:w="2610" w:type="dxa"/>
          </w:tcPr>
          <w:p w14:paraId="7A8D684F" w14:textId="77777777" w:rsidR="00D35566" w:rsidRDefault="00000000">
            <w:pPr>
              <w:rPr>
                <w:rFonts w:ascii="Arial" w:hAnsi="Arial" w:cs="Arial"/>
                <w:sz w:val="20"/>
                <w:szCs w:val="20"/>
              </w:rPr>
            </w:pPr>
            <w:r>
              <w:rPr>
                <w:rFonts w:ascii="Arial" w:hAnsi="Arial" w:cs="Arial"/>
                <w:sz w:val="20"/>
                <w:szCs w:val="20"/>
              </w:rPr>
              <w:t>MBS</w:t>
            </w:r>
          </w:p>
        </w:tc>
        <w:tc>
          <w:tcPr>
            <w:tcW w:w="6480" w:type="dxa"/>
          </w:tcPr>
          <w:p w14:paraId="1DE7A858" w14:textId="77777777" w:rsidR="00D35566" w:rsidRDefault="00000000">
            <w:pPr>
              <w:rPr>
                <w:rFonts w:ascii="Arial" w:hAnsi="Arial" w:cs="Arial"/>
                <w:sz w:val="20"/>
                <w:szCs w:val="20"/>
              </w:rPr>
            </w:pPr>
            <w:r>
              <w:rPr>
                <w:rFonts w:ascii="Arial" w:hAnsi="Arial" w:cs="Arial"/>
                <w:sz w:val="20"/>
                <w:szCs w:val="20"/>
              </w:rPr>
              <w:t>MYB binding site involved in drought inducibility</w:t>
            </w:r>
          </w:p>
        </w:tc>
      </w:tr>
      <w:tr w:rsidR="00D35566" w14:paraId="7A324AFB" w14:textId="77777777">
        <w:tc>
          <w:tcPr>
            <w:tcW w:w="2610" w:type="dxa"/>
          </w:tcPr>
          <w:p w14:paraId="2904D957" w14:textId="77777777" w:rsidR="00D35566" w:rsidRDefault="00000000">
            <w:pPr>
              <w:rPr>
                <w:rFonts w:ascii="Arial" w:hAnsi="Arial" w:cs="Arial"/>
                <w:sz w:val="20"/>
                <w:szCs w:val="20"/>
              </w:rPr>
            </w:pPr>
            <w:proofErr w:type="spellStart"/>
            <w:r>
              <w:rPr>
                <w:rFonts w:ascii="Arial" w:hAnsi="Arial" w:cs="Arial"/>
                <w:sz w:val="20"/>
                <w:szCs w:val="20"/>
              </w:rPr>
              <w:t>MeJA</w:t>
            </w:r>
            <w:proofErr w:type="spellEnd"/>
          </w:p>
        </w:tc>
        <w:tc>
          <w:tcPr>
            <w:tcW w:w="6480" w:type="dxa"/>
          </w:tcPr>
          <w:p w14:paraId="3A12B18D" w14:textId="77777777" w:rsidR="00D35566" w:rsidRDefault="00000000">
            <w:pPr>
              <w:rPr>
                <w:rFonts w:ascii="Arial" w:hAnsi="Arial" w:cs="Arial"/>
                <w:sz w:val="20"/>
                <w:szCs w:val="20"/>
              </w:rPr>
            </w:pPr>
            <w:r>
              <w:rPr>
                <w:rFonts w:ascii="Arial" w:hAnsi="Arial" w:cs="Arial"/>
                <w:sz w:val="20"/>
                <w:szCs w:val="20"/>
              </w:rPr>
              <w:t xml:space="preserve">Element involved in </w:t>
            </w:r>
            <w:proofErr w:type="spellStart"/>
            <w:r>
              <w:rPr>
                <w:rFonts w:ascii="Arial" w:hAnsi="Arial" w:cs="Arial"/>
                <w:sz w:val="20"/>
                <w:szCs w:val="20"/>
              </w:rPr>
              <w:t>MeJA</w:t>
            </w:r>
            <w:proofErr w:type="spellEnd"/>
            <w:r>
              <w:rPr>
                <w:rFonts w:ascii="Arial" w:hAnsi="Arial" w:cs="Arial"/>
                <w:sz w:val="20"/>
                <w:szCs w:val="20"/>
              </w:rPr>
              <w:t xml:space="preserve"> responsiveness</w:t>
            </w:r>
          </w:p>
        </w:tc>
      </w:tr>
      <w:tr w:rsidR="00D35566" w14:paraId="27483BC5" w14:textId="77777777">
        <w:tc>
          <w:tcPr>
            <w:tcW w:w="2610" w:type="dxa"/>
          </w:tcPr>
          <w:p w14:paraId="76737A70" w14:textId="77777777" w:rsidR="00D35566" w:rsidRDefault="00000000">
            <w:pPr>
              <w:rPr>
                <w:rFonts w:ascii="Arial" w:hAnsi="Arial" w:cs="Arial"/>
                <w:sz w:val="20"/>
                <w:szCs w:val="20"/>
              </w:rPr>
            </w:pPr>
            <w:r>
              <w:rPr>
                <w:rFonts w:ascii="Arial" w:hAnsi="Arial" w:cs="Arial"/>
                <w:sz w:val="20"/>
                <w:szCs w:val="20"/>
              </w:rPr>
              <w:t>TCA-element</w:t>
            </w:r>
          </w:p>
        </w:tc>
        <w:tc>
          <w:tcPr>
            <w:tcW w:w="6480" w:type="dxa"/>
          </w:tcPr>
          <w:p w14:paraId="472D133F" w14:textId="77777777" w:rsidR="00D35566" w:rsidRDefault="00000000">
            <w:pPr>
              <w:rPr>
                <w:rFonts w:ascii="Arial" w:hAnsi="Arial" w:cs="Arial"/>
                <w:sz w:val="20"/>
                <w:szCs w:val="20"/>
              </w:rPr>
            </w:pPr>
            <w:r>
              <w:rPr>
                <w:rFonts w:ascii="Arial" w:hAnsi="Arial" w:cs="Arial"/>
                <w:sz w:val="20"/>
                <w:szCs w:val="20"/>
              </w:rPr>
              <w:t>Element involved in salicylic acid responsiveness</w:t>
            </w:r>
          </w:p>
        </w:tc>
      </w:tr>
      <w:tr w:rsidR="00D35566" w14:paraId="6FAF7F67" w14:textId="77777777">
        <w:tc>
          <w:tcPr>
            <w:tcW w:w="2610" w:type="dxa"/>
          </w:tcPr>
          <w:p w14:paraId="1929ACEA" w14:textId="77777777" w:rsidR="00D35566" w:rsidRDefault="00000000">
            <w:pPr>
              <w:rPr>
                <w:rFonts w:ascii="Arial" w:hAnsi="Arial" w:cs="Arial"/>
                <w:sz w:val="20"/>
                <w:szCs w:val="20"/>
              </w:rPr>
            </w:pPr>
            <w:r>
              <w:rPr>
                <w:rFonts w:ascii="Arial" w:hAnsi="Arial" w:cs="Arial"/>
                <w:sz w:val="20"/>
                <w:szCs w:val="20"/>
              </w:rPr>
              <w:t>TC-rich repeats</w:t>
            </w:r>
          </w:p>
        </w:tc>
        <w:tc>
          <w:tcPr>
            <w:tcW w:w="6480" w:type="dxa"/>
          </w:tcPr>
          <w:p w14:paraId="6EDB5742" w14:textId="77777777" w:rsidR="00D35566" w:rsidRDefault="00000000">
            <w:pPr>
              <w:rPr>
                <w:rFonts w:ascii="Arial" w:hAnsi="Arial" w:cs="Arial"/>
                <w:sz w:val="20"/>
                <w:szCs w:val="20"/>
              </w:rPr>
            </w:pPr>
            <w:r>
              <w:rPr>
                <w:rFonts w:ascii="Arial" w:hAnsi="Arial" w:cs="Arial"/>
                <w:sz w:val="20"/>
                <w:szCs w:val="20"/>
              </w:rPr>
              <w:t>Element involved in defense and stress responsiveness</w:t>
            </w:r>
          </w:p>
        </w:tc>
      </w:tr>
    </w:tbl>
    <w:p w14:paraId="3AB778FF" w14:textId="77777777" w:rsidR="00D35566" w:rsidRDefault="00000000">
      <w:pPr>
        <w:pStyle w:val="Caption"/>
        <w:spacing w:after="0"/>
        <w:rPr>
          <w:rFonts w:ascii="Arial" w:hAnsi="Arial" w:cs="Arial"/>
          <w:b/>
          <w:bCs/>
          <w:sz w:val="22"/>
          <w:szCs w:val="22"/>
        </w:rPr>
      </w:pPr>
      <w:r>
        <w:rPr>
          <w:rFonts w:ascii="Arial" w:hAnsi="Arial" w:cs="Arial"/>
          <w:b/>
          <w:bCs/>
          <w:sz w:val="22"/>
          <w:szCs w:val="22"/>
        </w:rPr>
        <w:t>Table 6. Reported functions of selected cis-regulatory elements in promoters of selected differentially expressed genes.</w:t>
      </w:r>
    </w:p>
    <w:p w14:paraId="2BA99BBD" w14:textId="77777777" w:rsidR="00D35566" w:rsidRDefault="00000000">
      <w:pPr>
        <w:pStyle w:val="BodyTextIndent1"/>
      </w:pPr>
      <w:r>
        <w:t xml:space="preserve">The cis-acting regulatory elements identified in this study are commonly associated with stress responses. Similar sets of elements have been reported in other plant systems, including maize [24]. The random-promoter comparison refined this interpretation by showing that not every frequent element was enriched: ABRE was common in the candidate promoters but did not pass the background-controlled FDR threshold, whereas ARE, </w:t>
      </w:r>
      <w:proofErr w:type="spellStart"/>
      <w:r>
        <w:t>MeJA</w:t>
      </w:r>
      <w:proofErr w:type="spellEnd"/>
      <w:r>
        <w:t>-responsive elements, TCA-elements, and TC-rich repeats remained enriched.</w:t>
      </w:r>
    </w:p>
    <w:p w14:paraId="24C877FB" w14:textId="77777777" w:rsidR="00D35566" w:rsidRDefault="00000000">
      <w:pPr>
        <w:pStyle w:val="BodyTextIndent1"/>
      </w:pPr>
      <w:r>
        <w:t xml:space="preserve">Several limitations should be noted. First, this work is a secondary analysis of public transcriptomic data and does not include independent qPCR or functional validation. Second, the structural, motif, and promoter analyses focus on 18 strongly responsive genes; genes with smaller but biologically important expression changes may have been missed. Third, the cultivar-by-treatment analysis is presented as a selected-gene effect-size screen rather than a definitive genome-wide interaction DEG analysis. Fourth, the pathway analysis was </w:t>
      </w:r>
      <w:proofErr w:type="spellStart"/>
      <w:r>
        <w:t>orthology</w:t>
      </w:r>
      <w:proofErr w:type="spellEnd"/>
      <w:r>
        <w:t xml:space="preserve">-guided because the LITCHI identifiers were not directly represented in the Plant </w:t>
      </w:r>
      <w:proofErr w:type="spellStart"/>
      <w:r>
        <w:t>Reactome</w:t>
      </w:r>
      <w:proofErr w:type="spellEnd"/>
      <w:r>
        <w:t xml:space="preserve"> export, so pathway results are descriptive. Fifth, the promoter background model controls for motif length and approximate GC content but does not capture full promoter architecture or genome-wide promoter clustering. These limitations frame the results as a prioritized, testable candidate set.</w:t>
      </w:r>
    </w:p>
    <w:p w14:paraId="39AF9540" w14:textId="77777777" w:rsidR="00D35566" w:rsidRDefault="00000000">
      <w:pPr>
        <w:pStyle w:val="Heading1"/>
      </w:pPr>
      <w:r>
        <w:t>MATERIALS AND METHODS</w:t>
      </w:r>
    </w:p>
    <w:p w14:paraId="1FFD9384" w14:textId="77777777" w:rsidR="00D35566" w:rsidRDefault="00000000">
      <w:pPr>
        <w:pStyle w:val="BodyTextIndent1"/>
        <w:ind w:firstLine="0"/>
        <w:rPr>
          <w:b/>
          <w:bCs/>
          <w:i/>
          <w:iCs/>
          <w:szCs w:val="22"/>
        </w:rPr>
      </w:pPr>
      <w:r>
        <w:rPr>
          <w:b/>
          <w:bCs/>
          <w:i/>
          <w:iCs/>
        </w:rPr>
        <w:t>Public data source, reference files, and study design</w:t>
      </w:r>
    </w:p>
    <w:p w14:paraId="5E10EB92" w14:textId="77777777" w:rsidR="00D35566" w:rsidRDefault="00000000">
      <w:pPr>
        <w:pStyle w:val="BodyTextIndent1"/>
      </w:pPr>
      <w:r>
        <w:t>RNA-seq data were analyzed from GEO accession GSE201243 [9], which contains a balanced 2 x 2 design consisting of two lychee cultivars (</w:t>
      </w:r>
      <w:proofErr w:type="spellStart"/>
      <w:r>
        <w:t>Guiwei</w:t>
      </w:r>
      <w:proofErr w:type="spellEnd"/>
      <w:r>
        <w:t xml:space="preserve"> and Yurong), two treatments (sterile-water mock control and P. </w:t>
      </w:r>
      <w:proofErr w:type="spellStart"/>
      <w:r>
        <w:t>litchii</w:t>
      </w:r>
      <w:proofErr w:type="spellEnd"/>
      <w:r>
        <w:t xml:space="preserve"> inoculation), and three biological replicates per cultivar-treatment group. Inoculated leaf samples were collected at 24 h post-inoculation. Raw reads were obtained from the SRA runs linked to GSE201243/</w:t>
      </w:r>
      <w:proofErr w:type="spellStart"/>
      <w:r>
        <w:t>BioProject</w:t>
      </w:r>
      <w:proofErr w:type="spellEnd"/>
      <w:r>
        <w:t xml:space="preserve"> PRJNA830488 using SRA Toolkit v3.0.7 with prefetch followed by </w:t>
      </w:r>
      <w:proofErr w:type="spellStart"/>
      <w:r>
        <w:t>fasterq</w:t>
      </w:r>
      <w:proofErr w:type="spellEnd"/>
      <w:r>
        <w:t xml:space="preserve">-dump --split-files --threads 8. The sample metadata table contained the fields </w:t>
      </w:r>
      <w:proofErr w:type="spellStart"/>
      <w:r>
        <w:t>sample_id</w:t>
      </w:r>
      <w:proofErr w:type="spellEnd"/>
      <w:r>
        <w:t xml:space="preserve">, cultivar, treatment, replicate, GEO accession, SRA run, SRA spots, and total bases. For all factorial analyses, cultivar was encoded as </w:t>
      </w:r>
      <w:proofErr w:type="spellStart"/>
      <w:r>
        <w:t>Guiwei</w:t>
      </w:r>
      <w:proofErr w:type="spellEnd"/>
      <w:r>
        <w:t xml:space="preserve"> </w:t>
      </w:r>
      <w:r>
        <w:lastRenderedPageBreak/>
        <w:t xml:space="preserve">or Yurong, treatment was encoded as mock or inoculated, and </w:t>
      </w:r>
      <w:proofErr w:type="spellStart"/>
      <w:r>
        <w:t>Guiwei</w:t>
      </w:r>
      <w:proofErr w:type="spellEnd"/>
      <w:r>
        <w:t xml:space="preserve"> and mock were used as the reference levels.</w:t>
      </w:r>
    </w:p>
    <w:p w14:paraId="4A2A17DB" w14:textId="77777777" w:rsidR="00D35566" w:rsidRDefault="00000000">
      <w:pPr>
        <w:pStyle w:val="BodyTextIndent1"/>
      </w:pPr>
      <w:r>
        <w:t xml:space="preserve">The reference assembly was Litchi chinensis cv. </w:t>
      </w:r>
      <w:proofErr w:type="spellStart"/>
      <w:r>
        <w:t>Feizixiao</w:t>
      </w:r>
      <w:proofErr w:type="spellEnd"/>
      <w:r>
        <w:t xml:space="preserve"> SCAU_Lch_v2.0 (NCBI assembly GCA_019925255.1; </w:t>
      </w:r>
      <w:proofErr w:type="spellStart"/>
      <w:r>
        <w:t>BioProject</w:t>
      </w:r>
      <w:proofErr w:type="spellEnd"/>
      <w:r>
        <w:t xml:space="preserve"> PRJNA747875) with the corresponding GFF3 annotation from the same genome release [25]. Before alignment and counting, the GFF3 file was checked to ensure that gene identifiers matched the LITCHI gene IDs used in the manuscript. When needed, the annotation was converted to GTF format with </w:t>
      </w:r>
      <w:proofErr w:type="spellStart"/>
      <w:r>
        <w:t>gffread</w:t>
      </w:r>
      <w:proofErr w:type="spellEnd"/>
      <w:r>
        <w:t xml:space="preserve"> v2.2.1 while retaining </w:t>
      </w:r>
      <w:proofErr w:type="spellStart"/>
      <w:r>
        <w:t>gene_id</w:t>
      </w:r>
      <w:proofErr w:type="spellEnd"/>
      <w:r>
        <w:t xml:space="preserve"> attributes for </w:t>
      </w:r>
      <w:proofErr w:type="spellStart"/>
      <w:r>
        <w:t>HTSeq</w:t>
      </w:r>
      <w:proofErr w:type="spellEnd"/>
      <w:r>
        <w:t xml:space="preserve"> counting.</w:t>
      </w:r>
    </w:p>
    <w:p w14:paraId="4BE201E7" w14:textId="77777777" w:rsidR="00D35566" w:rsidRDefault="00000000">
      <w:pPr>
        <w:pStyle w:val="BodyTextIndent1"/>
        <w:ind w:firstLine="0"/>
        <w:rPr>
          <w:b/>
          <w:bCs/>
          <w:i/>
          <w:iCs/>
          <w:szCs w:val="22"/>
        </w:rPr>
      </w:pPr>
      <w:r>
        <w:rPr>
          <w:b/>
          <w:bCs/>
          <w:i/>
          <w:iCs/>
        </w:rPr>
        <w:t>Read quality control, trimming, alignment, and read counting</w:t>
      </w:r>
    </w:p>
    <w:p w14:paraId="386FD07D" w14:textId="77777777" w:rsidR="00D35566" w:rsidRDefault="00000000">
      <w:pPr>
        <w:pStyle w:val="BodyTextIndent1"/>
      </w:pPr>
      <w:r>
        <w:t xml:space="preserve">Raw-read quality was evaluated with FastQC v0.11.9 [26]. Adapter and low-quality bases were trimmed with </w:t>
      </w:r>
      <w:proofErr w:type="spellStart"/>
      <w:r>
        <w:t>Trimmomatic</w:t>
      </w:r>
      <w:proofErr w:type="spellEnd"/>
      <w:r>
        <w:t xml:space="preserve"> v0.39 [27] in paired-end mode using the following reproducible parameter set: </w:t>
      </w:r>
      <w:proofErr w:type="gramStart"/>
      <w:r>
        <w:t>ILLUMINACLIP:TruSeq</w:t>
      </w:r>
      <w:proofErr w:type="gramEnd"/>
      <w:r>
        <w:t>3-</w:t>
      </w:r>
      <w:proofErr w:type="gramStart"/>
      <w:r>
        <w:t>PE.fa</w:t>
      </w:r>
      <w:proofErr w:type="gramEnd"/>
      <w:r>
        <w:t>:2:30:10, LEADING:3, TRAILING:3, SLIDINGWINDOW:4:20, and MINLEN:50. Trimmed FASTQ files were rechecked with FastQC. These settings remove standard Illumina paired-end adapters, trim low-quality bases from read ends, apply a sliding-window quality threshold of Q20, and discard reads shorter than 50 bp after trimming.</w:t>
      </w:r>
    </w:p>
    <w:p w14:paraId="349E0F85" w14:textId="77777777" w:rsidR="00D35566" w:rsidRDefault="00000000">
      <w:pPr>
        <w:pStyle w:val="BodyTextIndent1"/>
      </w:pPr>
      <w:r>
        <w:t xml:space="preserve">For consistency with the public-study workflow, trimmed paired-end reads were aligned to the SCAU_Lch_v2.0 reference genome using </w:t>
      </w:r>
      <w:proofErr w:type="spellStart"/>
      <w:r>
        <w:t>TopHat</w:t>
      </w:r>
      <w:proofErr w:type="spellEnd"/>
      <w:r>
        <w:t xml:space="preserve"> v2.0.12 with Bowtie2 v2.2.3 [28]. The Bowtie2 index was built from the genome FASTA file. The alignment command used eight threads and the following main parameters: tophat2 -p 8 --library-type </w:t>
      </w:r>
      <w:proofErr w:type="spellStart"/>
      <w:r>
        <w:t>fr-unstranded</w:t>
      </w:r>
      <w:proofErr w:type="spellEnd"/>
      <w:r>
        <w:t xml:space="preserve"> --read-mismatches 2 --read-gap-length 2 --read-edit-</w:t>
      </w:r>
      <w:proofErr w:type="spellStart"/>
      <w:r>
        <w:t>dist</w:t>
      </w:r>
      <w:proofErr w:type="spellEnd"/>
      <w:r>
        <w:t xml:space="preserve"> 2 --min-intron-length 50 --max-intron-length 50000 --max-</w:t>
      </w:r>
      <w:proofErr w:type="spellStart"/>
      <w:r>
        <w:t>multihits</w:t>
      </w:r>
      <w:proofErr w:type="spellEnd"/>
      <w:r>
        <w:t xml:space="preserve"> 20 --GTF </w:t>
      </w:r>
      <w:proofErr w:type="spellStart"/>
      <w:r>
        <w:t>annotation.gtf</w:t>
      </w:r>
      <w:proofErr w:type="spellEnd"/>
      <w:r>
        <w:t xml:space="preserve"> -o </w:t>
      </w:r>
      <w:proofErr w:type="spellStart"/>
      <w:r>
        <w:t>sample_tophat_out</w:t>
      </w:r>
      <w:proofErr w:type="spellEnd"/>
      <w:r>
        <w:t xml:space="preserve"> </w:t>
      </w:r>
      <w:proofErr w:type="spellStart"/>
      <w:r>
        <w:t>genome_index</w:t>
      </w:r>
      <w:proofErr w:type="spellEnd"/>
      <w:r>
        <w:t xml:space="preserve"> sample_R1.fq.gz sample_R2.fq.gz. BAM files were sorted and indexed with </w:t>
      </w:r>
      <w:proofErr w:type="spellStart"/>
      <w:r>
        <w:t>SAMtools</w:t>
      </w:r>
      <w:proofErr w:type="spellEnd"/>
      <w:r>
        <w:t xml:space="preserve"> v1.17. </w:t>
      </w:r>
      <w:proofErr w:type="spellStart"/>
      <w:r>
        <w:t>TopHat</w:t>
      </w:r>
      <w:proofErr w:type="spellEnd"/>
      <w:r>
        <w:t xml:space="preserve"> is no longer the most current RNA-seq aligner, but it was retained to maintain consistency with the original public processing strategy. Future analyses using HISAT2 or STAR should regenerate counts and DESeq2 contrasts from a single updated pipeline.</w:t>
      </w:r>
    </w:p>
    <w:p w14:paraId="2EC63F6D" w14:textId="77777777" w:rsidR="00D35566" w:rsidRDefault="00000000">
      <w:pPr>
        <w:pStyle w:val="BodyTextIndent1"/>
      </w:pPr>
      <w:r>
        <w:t xml:space="preserve">Gene-level counts were generated from sorted BAM files with </w:t>
      </w:r>
      <w:proofErr w:type="spellStart"/>
      <w:r>
        <w:t>HTSeq</w:t>
      </w:r>
      <w:proofErr w:type="spellEnd"/>
      <w:r>
        <w:t xml:space="preserve"> v2.0.2 [29] using union mode and non-stranded counting: </w:t>
      </w:r>
      <w:proofErr w:type="spellStart"/>
      <w:r>
        <w:t>htseq</w:t>
      </w:r>
      <w:proofErr w:type="spellEnd"/>
      <w:r>
        <w:t xml:space="preserve">-count -f bam -r pos -s </w:t>
      </w:r>
      <w:proofErr w:type="gramStart"/>
      <w:r>
        <w:t>no -t</w:t>
      </w:r>
      <w:proofErr w:type="gramEnd"/>
      <w:r>
        <w:t xml:space="preserve"> exon -</w:t>
      </w:r>
      <w:proofErr w:type="spellStart"/>
      <w:r>
        <w:t>i</w:t>
      </w:r>
      <w:proofErr w:type="spellEnd"/>
      <w:r>
        <w:t xml:space="preserve"> </w:t>
      </w:r>
      <w:proofErr w:type="spellStart"/>
      <w:r>
        <w:t>gene_id</w:t>
      </w:r>
      <w:proofErr w:type="spellEnd"/>
      <w:r>
        <w:t xml:space="preserve"> -m union -a 10 --nonunique none </w:t>
      </w:r>
      <w:proofErr w:type="spellStart"/>
      <w:r>
        <w:t>sample.sorted.bam</w:t>
      </w:r>
      <w:proofErr w:type="spellEnd"/>
      <w:r>
        <w:t xml:space="preserve"> </w:t>
      </w:r>
      <w:proofErr w:type="spellStart"/>
      <w:r>
        <w:t>annotation.gtf</w:t>
      </w:r>
      <w:proofErr w:type="spellEnd"/>
      <w:r>
        <w:t xml:space="preserve"> &gt; sample.counts.txt. Individual count files were merged into a gene-by-sample integer count matrix using Python v3.10.13 and pandas v2.1.4. Genes with low read support were filtered before DESeq2 analysis using </w:t>
      </w:r>
      <w:proofErr w:type="spellStart"/>
      <w:proofErr w:type="gramStart"/>
      <w:r>
        <w:t>rowSums</w:t>
      </w:r>
      <w:proofErr w:type="spellEnd"/>
      <w:r>
        <w:t>(</w:t>
      </w:r>
      <w:proofErr w:type="gramEnd"/>
      <w:r>
        <w:t>counts &gt;= 10) &gt;= 3, which retains genes with at least 10 counts in at least three libraries.</w:t>
      </w:r>
    </w:p>
    <w:p w14:paraId="067C17D6" w14:textId="77777777" w:rsidR="00D35566" w:rsidRDefault="00000000">
      <w:pPr>
        <w:pStyle w:val="BodyTextIndent1"/>
        <w:ind w:firstLine="0"/>
        <w:rPr>
          <w:b/>
          <w:bCs/>
          <w:i/>
          <w:iCs/>
          <w:szCs w:val="22"/>
        </w:rPr>
      </w:pPr>
      <w:r>
        <w:rPr>
          <w:b/>
          <w:bCs/>
          <w:i/>
          <w:iCs/>
        </w:rPr>
        <w:t>Differential expression, interaction modeling, and sample-level QC</w:t>
      </w:r>
    </w:p>
    <w:p w14:paraId="61AB1B0C" w14:textId="77777777" w:rsidR="00D35566" w:rsidRDefault="00000000">
      <w:pPr>
        <w:pStyle w:val="BodyTextIndent1"/>
      </w:pPr>
      <w:r>
        <w:lastRenderedPageBreak/>
        <w:t>Differential-expression analyses were performed in R v4.3.2 using Bioconductor v3.18 and DESeq2 v1.42.0 [30]. DESeq2 size factors were estimated with the median-of-ratios method, dispersions were estimated with the default parametric trend, and Wald tests were used for pairwise contrasts. P values were adjusted for multiple testing by the Benjamini-Hochberg method, and genes with adjusted P values below 0.05 were considered differentially expressed. Unless otherwise stated, no additional minimum absolute log2 fold-change cutoff was imposed for the primary DEG calls; fold-change magnitude was used only for candidate prioritization and visualization.</w:t>
      </w:r>
    </w:p>
    <w:p w14:paraId="7C397EF0" w14:textId="77777777" w:rsidR="00D35566" w:rsidRDefault="00000000">
      <w:pPr>
        <w:pStyle w:val="BodyTextIndent1"/>
      </w:pPr>
      <w:r>
        <w:t xml:space="preserve">Pairwise infection responses were analyzed separately within each cultivar using design = ~ treatment and the contrast inoculated versus mock. To test whether the infection response differed between cultivars, the full 12-sample factorial design was analyzed with design = ~ cultivar + treatment + </w:t>
      </w:r>
      <w:proofErr w:type="spellStart"/>
      <w:proofErr w:type="gramStart"/>
      <w:r>
        <w:t>cultivar:treatment</w:t>
      </w:r>
      <w:proofErr w:type="spellEnd"/>
      <w:proofErr w:type="gramEnd"/>
      <w:r>
        <w:t xml:space="preserve"> after releveling cultivar = </w:t>
      </w:r>
      <w:proofErr w:type="spellStart"/>
      <w:r>
        <w:t>Guiwei</w:t>
      </w:r>
      <w:proofErr w:type="spellEnd"/>
      <w:r>
        <w:t xml:space="preserve"> and treatment = mock as references. In this parameterization, the treatment coefficient estimates the infection response in </w:t>
      </w:r>
      <w:proofErr w:type="spellStart"/>
      <w:r>
        <w:t>Guiwei</w:t>
      </w:r>
      <w:proofErr w:type="spellEnd"/>
      <w:r>
        <w:t xml:space="preserve">, while the </w:t>
      </w:r>
      <w:proofErr w:type="spellStart"/>
      <w:proofErr w:type="gramStart"/>
      <w:r>
        <w:t>cultivarYurong:treatmentinoculated</w:t>
      </w:r>
      <w:proofErr w:type="spellEnd"/>
      <w:proofErr w:type="gramEnd"/>
      <w:r>
        <w:t xml:space="preserve"> coefficient estimates the interaction term, equivalent to log2</w:t>
      </w:r>
      <w:proofErr w:type="gramStart"/>
      <w:r>
        <w:t>FC(</w:t>
      </w:r>
      <w:proofErr w:type="gramEnd"/>
      <w:r>
        <w:t>Yurong inoculated versus mock) - log2</w:t>
      </w:r>
      <w:proofErr w:type="gramStart"/>
      <w:r>
        <w:t>FC(</w:t>
      </w:r>
      <w:proofErr w:type="spellStart"/>
      <w:proofErr w:type="gramEnd"/>
      <w:r>
        <w:t>Guiwei</w:t>
      </w:r>
      <w:proofErr w:type="spellEnd"/>
      <w:r>
        <w:t xml:space="preserve"> inoculated versus mock).</w:t>
      </w:r>
    </w:p>
    <w:p w14:paraId="44C7A663" w14:textId="77777777" w:rsidR="00D35566" w:rsidRDefault="00000000">
      <w:pPr>
        <w:pStyle w:val="BodyTextIndent1"/>
      </w:pPr>
      <w:r>
        <w:t xml:space="preserve">Sample-level expression QC in the reproducible workflow used variance-stabilizing transformation with </w:t>
      </w:r>
      <w:proofErr w:type="spellStart"/>
      <w:proofErr w:type="gramStart"/>
      <w:r>
        <w:t>vst</w:t>
      </w:r>
      <w:proofErr w:type="spellEnd"/>
      <w:r>
        <w:t>(</w:t>
      </w:r>
      <w:proofErr w:type="spellStart"/>
      <w:proofErr w:type="gramEnd"/>
      <w:r>
        <w:t>dds</w:t>
      </w:r>
      <w:proofErr w:type="spellEnd"/>
      <w:r>
        <w:t xml:space="preserve">, blind = FALSE), followed by principal component analysis with </w:t>
      </w:r>
      <w:proofErr w:type="spellStart"/>
      <w:r>
        <w:t>prcomp</w:t>
      </w:r>
      <w:proofErr w:type="spellEnd"/>
      <w:r>
        <w:t xml:space="preserve"> and hierarchical clustering from Euclidean distances with complete linkage. DESeq2 Cook distance diagnostics and sample clustering were used to screen for libraries with unusual influence or inconsistent replicate behavior. No library was excluded based on the SRA run-depth metadata summarized in Section 2.1.</w:t>
      </w:r>
    </w:p>
    <w:p w14:paraId="3A46FEB4" w14:textId="77777777" w:rsidR="00D35566" w:rsidRDefault="00000000">
      <w:pPr>
        <w:pStyle w:val="BodyTextIndent1"/>
        <w:ind w:firstLine="0"/>
        <w:rPr>
          <w:b/>
          <w:bCs/>
          <w:i/>
          <w:iCs/>
          <w:szCs w:val="22"/>
        </w:rPr>
      </w:pPr>
      <w:r>
        <w:rPr>
          <w:b/>
          <w:bCs/>
          <w:i/>
          <w:iCs/>
        </w:rPr>
        <w:t xml:space="preserve">Plant </w:t>
      </w:r>
      <w:proofErr w:type="spellStart"/>
      <w:r>
        <w:rPr>
          <w:b/>
          <w:bCs/>
          <w:i/>
          <w:iCs/>
        </w:rPr>
        <w:t>Reactome</w:t>
      </w:r>
      <w:proofErr w:type="spellEnd"/>
      <w:r>
        <w:rPr>
          <w:b/>
          <w:bCs/>
          <w:i/>
          <w:iCs/>
        </w:rPr>
        <w:t>, homolog, and domain annotation</w:t>
      </w:r>
    </w:p>
    <w:p w14:paraId="50A617F5" w14:textId="77777777" w:rsidR="00D35566" w:rsidRDefault="00000000">
      <w:pPr>
        <w:pStyle w:val="BodyTextIndent1"/>
      </w:pPr>
      <w:r>
        <w:t xml:space="preserve">Plant </w:t>
      </w:r>
      <w:proofErr w:type="spellStart"/>
      <w:r>
        <w:t>Reactome</w:t>
      </w:r>
      <w:proofErr w:type="spellEnd"/>
      <w:r>
        <w:t xml:space="preserve"> pathway screening was performed for all significant pairwise DEGs rather than only for the 18 selected candidate genes. The input DEG lists were the complete </w:t>
      </w:r>
      <w:proofErr w:type="spellStart"/>
      <w:r>
        <w:t>Guiwei</w:t>
      </w:r>
      <w:proofErr w:type="spellEnd"/>
      <w:r>
        <w:t xml:space="preserve"> and Yurong significant gene sets defined by adjusted P &lt; 0.05 in the pairwise DESeq2 comparisons. Plant </w:t>
      </w:r>
      <w:proofErr w:type="spellStart"/>
      <w:r>
        <w:t>Reactome</w:t>
      </w:r>
      <w:proofErr w:type="spellEnd"/>
      <w:r>
        <w:t xml:space="preserve"> version 24/</w:t>
      </w:r>
      <w:proofErr w:type="spellStart"/>
      <w:r>
        <w:t>Gramene</w:t>
      </w:r>
      <w:proofErr w:type="spellEnd"/>
      <w:r>
        <w:t xml:space="preserve"> release 68 was used as the pathway reference [10]. Because the Plant </w:t>
      </w:r>
      <w:proofErr w:type="spellStart"/>
      <w:r>
        <w:t>Reactome</w:t>
      </w:r>
      <w:proofErr w:type="spellEnd"/>
      <w:r>
        <w:t xml:space="preserve"> gene-product export examined for this revision did not contain direct Litchi chinensis LITCHI identifiers, lychee proteins were mapped to pathway-annotated plant proteins through an </w:t>
      </w:r>
      <w:proofErr w:type="spellStart"/>
      <w:r>
        <w:t>orthology</w:t>
      </w:r>
      <w:proofErr w:type="spellEnd"/>
      <w:r>
        <w:t xml:space="preserve">-guided screen rather than treated as direct Plant </w:t>
      </w:r>
      <w:proofErr w:type="spellStart"/>
      <w:r>
        <w:t>Reactome</w:t>
      </w:r>
      <w:proofErr w:type="spellEnd"/>
      <w:r>
        <w:t xml:space="preserve"> entries.</w:t>
      </w:r>
    </w:p>
    <w:p w14:paraId="0EF1E04F" w14:textId="77777777" w:rsidR="00D35566" w:rsidRDefault="00000000">
      <w:pPr>
        <w:pStyle w:val="BodyTextIndent1"/>
      </w:pPr>
      <w:r>
        <w:t xml:space="preserve">Representative homologs were assigned with DIAMOND v2.1.8 </w:t>
      </w:r>
      <w:proofErr w:type="spellStart"/>
      <w:r>
        <w:t>blastp</w:t>
      </w:r>
      <w:proofErr w:type="spellEnd"/>
      <w:r>
        <w:t xml:space="preserve"> [31] against pathway-annotated rice/Arabidopsis protein sets using --sensitive -e 1e-5 --query-cover 50 --subject-cover 50 --max-target-seqs 5. For each lychee gene, the representative homolog was selected </w:t>
      </w:r>
      <w:r>
        <w:lastRenderedPageBreak/>
        <w:t xml:space="preserve">by highest bit score, with e-value and alignment coverage used as </w:t>
      </w:r>
      <w:proofErr w:type="gramStart"/>
      <w:r>
        <w:t>tie-breakers</w:t>
      </w:r>
      <w:proofErr w:type="gramEnd"/>
      <w:r>
        <w:t xml:space="preserve">. Protein domains were annotated with </w:t>
      </w:r>
      <w:proofErr w:type="spellStart"/>
      <w:r>
        <w:t>InterProScan</w:t>
      </w:r>
      <w:proofErr w:type="spellEnd"/>
      <w:r>
        <w:t xml:space="preserve"> v5.65-97.0 [32] using the </w:t>
      </w:r>
      <w:proofErr w:type="spellStart"/>
      <w:r>
        <w:t>Pfam</w:t>
      </w:r>
      <w:proofErr w:type="spellEnd"/>
      <w:r>
        <w:t xml:space="preserve"> application and the options -appl </w:t>
      </w:r>
      <w:proofErr w:type="spellStart"/>
      <w:r>
        <w:t>Pfam</w:t>
      </w:r>
      <w:proofErr w:type="spellEnd"/>
      <w:r>
        <w:t xml:space="preserve"> -f TSV -</w:t>
      </w:r>
      <w:proofErr w:type="spellStart"/>
      <w:r>
        <w:t>goterms</w:t>
      </w:r>
      <w:proofErr w:type="spellEnd"/>
      <w:r>
        <w:t xml:space="preserve"> -</w:t>
      </w:r>
      <w:proofErr w:type="spellStart"/>
      <w:r>
        <w:t>iprlookup</w:t>
      </w:r>
      <w:proofErr w:type="spellEnd"/>
      <w:r>
        <w:t>. Domain and homolog information was used to support candidate-gene annotation but was not treated as experimental functional validation.</w:t>
      </w:r>
    </w:p>
    <w:p w14:paraId="7036E30E" w14:textId="77777777" w:rsidR="00D35566" w:rsidRDefault="00000000">
      <w:pPr>
        <w:pStyle w:val="BodyTextIndent1"/>
        <w:ind w:firstLine="0"/>
        <w:rPr>
          <w:b/>
          <w:bCs/>
          <w:i/>
          <w:iCs/>
          <w:szCs w:val="22"/>
        </w:rPr>
      </w:pPr>
      <w:r>
        <w:rPr>
          <w:b/>
          <w:bCs/>
          <w:i/>
          <w:iCs/>
        </w:rPr>
        <w:t>Candidate-gene structure, conserved motifs, and promoter analysis</w:t>
      </w:r>
    </w:p>
    <w:p w14:paraId="04B17E4F" w14:textId="77777777" w:rsidR="00D35566" w:rsidRDefault="00000000">
      <w:pPr>
        <w:pStyle w:val="BodyTextIndent1"/>
      </w:pPr>
      <w:proofErr w:type="spellStart"/>
      <w:r>
        <w:t>TBtools</w:t>
      </w:r>
      <w:proofErr w:type="spellEnd"/>
      <w:r>
        <w:t>-II v2.096 [33] was used to extract gene coordinates from the GFF3 file, display chromosomal locations, visualize exon-intron structures, and extract 2,000 bp upstream promoter sequences. Promoter extraction was strand-aware: for genes on the negative strand, the upstream sequence was reverse-complemented relative to the annotated gene orientation. Genes located within 2,000 bp of a contig boundary were retained with the available upstream sequence, and the resulting promoter length was recorded.</w:t>
      </w:r>
    </w:p>
    <w:p w14:paraId="284757AB" w14:textId="77777777" w:rsidR="00D35566" w:rsidRDefault="00000000">
      <w:pPr>
        <w:pStyle w:val="BodyTextIndent1"/>
      </w:pPr>
      <w:r>
        <w:t xml:space="preserve">For conserved-motif analysis, predicted coding sequences for the selected genes were translated to protein FASTA sequences with </w:t>
      </w:r>
      <w:proofErr w:type="spellStart"/>
      <w:r>
        <w:t>TBtools</w:t>
      </w:r>
      <w:proofErr w:type="spellEnd"/>
      <w:r>
        <w:t xml:space="preserve">-II. MEME Suite v5.5.5 [34] was then run in protein mode with the command structure meme </w:t>
      </w:r>
      <w:proofErr w:type="spellStart"/>
      <w:r>
        <w:t>selected_</w:t>
      </w:r>
      <w:proofErr w:type="gramStart"/>
      <w:r>
        <w:t>proteins.fa</w:t>
      </w:r>
      <w:proofErr w:type="spellEnd"/>
      <w:proofErr w:type="gramEnd"/>
      <w:r>
        <w:t xml:space="preserve"> -protein -mod </w:t>
      </w:r>
      <w:proofErr w:type="spellStart"/>
      <w:r>
        <w:t>zoops</w:t>
      </w:r>
      <w:proofErr w:type="spellEnd"/>
      <w:r>
        <w:t xml:space="preserve"> -</w:t>
      </w:r>
      <w:proofErr w:type="spellStart"/>
      <w:r>
        <w:t>nmotifs</w:t>
      </w:r>
      <w:proofErr w:type="spellEnd"/>
      <w:r>
        <w:t xml:space="preserve"> 20 -</w:t>
      </w:r>
      <w:proofErr w:type="spellStart"/>
      <w:r>
        <w:t>minw</w:t>
      </w:r>
      <w:proofErr w:type="spellEnd"/>
      <w:r>
        <w:t xml:space="preserve"> 6 -</w:t>
      </w:r>
      <w:proofErr w:type="spellStart"/>
      <w:r>
        <w:t>maxw</w:t>
      </w:r>
      <w:proofErr w:type="spellEnd"/>
      <w:r>
        <w:t xml:space="preserve"> 50 -</w:t>
      </w:r>
      <w:proofErr w:type="spellStart"/>
      <w:r>
        <w:t>evt</w:t>
      </w:r>
      <w:proofErr w:type="spellEnd"/>
      <w:r>
        <w:t xml:space="preserve"> 0.05 -seed 2024 -</w:t>
      </w:r>
      <w:proofErr w:type="spellStart"/>
      <w:r>
        <w:t>oc</w:t>
      </w:r>
      <w:proofErr w:type="spellEnd"/>
      <w:r>
        <w:t xml:space="preserve"> </w:t>
      </w:r>
      <w:proofErr w:type="spellStart"/>
      <w:r>
        <w:t>meme_out</w:t>
      </w:r>
      <w:proofErr w:type="spellEnd"/>
      <w:r>
        <w:t xml:space="preserve">. The </w:t>
      </w:r>
      <w:proofErr w:type="spellStart"/>
      <w:r>
        <w:t>zoops</w:t>
      </w:r>
      <w:proofErr w:type="spellEnd"/>
      <w:r>
        <w:t xml:space="preserve"> model was selected because not every motif was expected to occur in every candidate protein. Predicted motifs were interpreted with </w:t>
      </w:r>
      <w:proofErr w:type="spellStart"/>
      <w:r>
        <w:t>Pfam</w:t>
      </w:r>
      <w:proofErr w:type="spellEnd"/>
      <w:r>
        <w:t>/</w:t>
      </w:r>
      <w:proofErr w:type="spellStart"/>
      <w:r>
        <w:t>InterProScan</w:t>
      </w:r>
      <w:proofErr w:type="spellEnd"/>
      <w:r>
        <w:t xml:space="preserve"> domain assignments and the available lychee gene annotations.</w:t>
      </w:r>
    </w:p>
    <w:p w14:paraId="53FB1316" w14:textId="77777777" w:rsidR="00D35566" w:rsidRDefault="00000000">
      <w:pPr>
        <w:pStyle w:val="BodyTextIndent1"/>
      </w:pPr>
      <w:r>
        <w:t xml:space="preserve">Promoter sequences were submitted to </w:t>
      </w:r>
      <w:proofErr w:type="spellStart"/>
      <w:r>
        <w:t>PlantCARE</w:t>
      </w:r>
      <w:proofErr w:type="spellEnd"/>
      <w:r>
        <w:t xml:space="preserve"> [35] to identify cis-acting regulatory elements. </w:t>
      </w:r>
      <w:proofErr w:type="spellStart"/>
      <w:r>
        <w:t>PlantCARE</w:t>
      </w:r>
      <w:proofErr w:type="spellEnd"/>
      <w:r>
        <w:t xml:space="preserve"> output was filtered to retain elements annotated as stress-, defense-, pathogen-, wound-, hormone-, drought-, anaerobic-, or light-responsive. Synonymous or duplicated labels were merged before summarization, and both total motif occurrence and gene-level presence were considered. Elements retained for biological interpretation included ARE, </w:t>
      </w:r>
      <w:proofErr w:type="spellStart"/>
      <w:r>
        <w:t>MeJA</w:t>
      </w:r>
      <w:proofErr w:type="spellEnd"/>
      <w:r>
        <w:t>-responsive motifs, TCA-elements, TC-rich repeats, ABRE, MBS, and AT-rich sequence classes, with interpretation refined by the background analysis described below.</w:t>
      </w:r>
    </w:p>
    <w:p w14:paraId="62181645" w14:textId="77777777" w:rsidR="00D35566" w:rsidRDefault="00000000">
      <w:pPr>
        <w:pStyle w:val="BodyTextIndent1"/>
        <w:ind w:firstLine="0"/>
        <w:rPr>
          <w:b/>
          <w:bCs/>
          <w:i/>
          <w:iCs/>
          <w:szCs w:val="22"/>
        </w:rPr>
      </w:pPr>
      <w:r>
        <w:rPr>
          <w:b/>
          <w:bCs/>
          <w:i/>
          <w:iCs/>
        </w:rPr>
        <w:t>Promoter-background test and figure generation</w:t>
      </w:r>
    </w:p>
    <w:p w14:paraId="511B48C1" w14:textId="77777777" w:rsidR="00D35566" w:rsidRDefault="00000000">
      <w:pPr>
        <w:pStyle w:val="BodyTextIndent1"/>
      </w:pPr>
      <w:r>
        <w:t xml:space="preserve">To determine whether candidate-promoter motif counts exceeded a simple background expectation, a permutation-style random-promoter test was implemented in Python v3.10.13 using NumPy v1.26.4, pandas v2.1.4, SciPy v1.11.4, and Matplotlib v3.8.2. The simulation generated 100,000 random promoter sets. Each set contained 18 promoters of 2,000 bp, matching the number and length of the candidate promoters. Random sequences were generated with a lychee-like GC content of 34% (A = 0.33, T = 0.33, G = 0.17, C = 0.17). Exact motif strings and their reverse complements were scanned so that motif counts were not biased by orientation. One-sided empirical P values were computed as (1 + number of random sets </w:t>
      </w:r>
      <w:r>
        <w:lastRenderedPageBreak/>
        <w:t>with count &gt;= observed count)</w:t>
      </w:r>
      <w:proofErr w:type="gramStart"/>
      <w:r>
        <w:t>/(</w:t>
      </w:r>
      <w:proofErr w:type="gramEnd"/>
      <w:r>
        <w:t>1 + number of random sets), and P values were adjusted across tested motif classes by the Benjamini-Hochberg method.</w:t>
      </w:r>
    </w:p>
    <w:p w14:paraId="1EC2FF57" w14:textId="77777777" w:rsidR="00D35566" w:rsidRDefault="00000000">
      <w:pPr>
        <w:pStyle w:val="BodyTextIndent1"/>
      </w:pPr>
      <w:r>
        <w:t xml:space="preserve">Figures were generated from scripted analyses rather than manual redrawing. Volcano plots, heatmaps, PCA plots, interaction-effect plots, and pathway summaries were generated in R with ggplot2 v3.4.4 [36], </w:t>
      </w:r>
      <w:proofErr w:type="spellStart"/>
      <w:r>
        <w:t>ggrepel</w:t>
      </w:r>
      <w:proofErr w:type="spellEnd"/>
      <w:r>
        <w:t xml:space="preserve"> v0.9.4, </w:t>
      </w:r>
      <w:proofErr w:type="spellStart"/>
      <w:r>
        <w:t>pheatmap</w:t>
      </w:r>
      <w:proofErr w:type="spellEnd"/>
      <w:r>
        <w:t xml:space="preserve"> v1.0.12, and base R plotting functions. Promoter-background plots were generated in Python with Matplotlib v3.8.2. Final figures were exported as PNG or TIFF files at 600 dpi where possible and assembled in the manuscript without changing the underlying numerical values.</w:t>
      </w:r>
    </w:p>
    <w:p w14:paraId="39CA5D4F" w14:textId="77777777" w:rsidR="00D35566" w:rsidRDefault="00000000">
      <w:pPr>
        <w:pStyle w:val="BodyTextIndent1"/>
        <w:ind w:firstLine="0"/>
        <w:rPr>
          <w:b/>
          <w:bCs/>
          <w:i/>
          <w:iCs/>
          <w:szCs w:val="22"/>
        </w:rPr>
      </w:pPr>
      <w:r>
        <w:rPr>
          <w:b/>
          <w:bCs/>
          <w:i/>
          <w:iCs/>
        </w:rPr>
        <w:t>Code availability and reproducibility controls</w:t>
      </w:r>
    </w:p>
    <w:p w14:paraId="236A7C16" w14:textId="77777777" w:rsidR="00D35566" w:rsidRDefault="00000000">
      <w:pPr>
        <w:pStyle w:val="BodyTextIndent1"/>
      </w:pPr>
      <w:r>
        <w:t xml:space="preserve">The computational workflow was organized as Bash, R, and Python scripts with fixed random seeds for stochastic analyses. The script package includes: 01_download_and_qc.sh for SRA retrieval and read QC; 02_alignment_and_counts.sh for trimming, alignment, BAM sorting, and </w:t>
      </w:r>
      <w:proofErr w:type="spellStart"/>
      <w:r>
        <w:t>HTSeq</w:t>
      </w:r>
      <w:proofErr w:type="spellEnd"/>
      <w:r>
        <w:t xml:space="preserve"> counting; 03_deseq2_pairwise_interaction.R for pairwise DESeq2 contrasts, the cultivar-by-treatment model, PCA, clustering, and DEG tables; 04_promoter_background.py for the random-promoter test; and 05_figure_generation.R for manuscript figures. Supplementary File S2 provides command templates and session-information records for rerunning the analysis after updating local file paths. The same package lists the expected derivative files: raw count matrix, sample metadata, complete DESeq2 result tables, candidate-gene table, Plant </w:t>
      </w:r>
      <w:proofErr w:type="spellStart"/>
      <w:r>
        <w:t>Reactome</w:t>
      </w:r>
      <w:proofErr w:type="spellEnd"/>
      <w:r>
        <w:t xml:space="preserve"> mapping table, promoter motif table, and random-background simulation output.</w:t>
      </w:r>
    </w:p>
    <w:p w14:paraId="47273068" w14:textId="77777777" w:rsidR="00D35566" w:rsidRDefault="00D35566">
      <w:pPr>
        <w:spacing w:line="360" w:lineRule="auto"/>
      </w:pPr>
    </w:p>
    <w:tbl>
      <w:tblPr>
        <w:tblStyle w:val="TableGrid"/>
        <w:tblW w:w="5000" w:type="pct"/>
        <w:jc w:val="center"/>
        <w:tblLook w:val="04A0" w:firstRow="1" w:lastRow="0" w:firstColumn="1" w:lastColumn="0" w:noHBand="0" w:noVBand="1"/>
      </w:tblPr>
      <w:tblGrid>
        <w:gridCol w:w="1681"/>
        <w:gridCol w:w="2151"/>
        <w:gridCol w:w="5648"/>
      </w:tblGrid>
      <w:tr w:rsidR="00D35566" w14:paraId="1B90B495" w14:textId="77777777">
        <w:trPr>
          <w:tblHeader/>
          <w:jc w:val="center"/>
        </w:trPr>
        <w:tc>
          <w:tcPr>
            <w:tcW w:w="1659" w:type="dxa"/>
            <w:tcMar>
              <w:top w:w="60" w:type="dxa"/>
              <w:left w:w="60" w:type="dxa"/>
              <w:bottom w:w="60" w:type="dxa"/>
              <w:right w:w="60" w:type="dxa"/>
            </w:tcMar>
          </w:tcPr>
          <w:p w14:paraId="4578EC82" w14:textId="77777777" w:rsidR="00D35566" w:rsidRDefault="00000000">
            <w:pPr>
              <w:rPr>
                <w:rFonts w:ascii="Arial" w:hAnsi="Arial" w:cs="Arial"/>
                <w:sz w:val="20"/>
                <w:szCs w:val="20"/>
              </w:rPr>
            </w:pPr>
            <w:r>
              <w:rPr>
                <w:rFonts w:ascii="Arial" w:hAnsi="Arial" w:cs="Arial"/>
                <w:b/>
                <w:bCs/>
                <w:sz w:val="20"/>
                <w:szCs w:val="20"/>
              </w:rPr>
              <w:t>Analysis step</w:t>
            </w:r>
          </w:p>
        </w:tc>
        <w:tc>
          <w:tcPr>
            <w:tcW w:w="2124" w:type="dxa"/>
            <w:tcMar>
              <w:top w:w="60" w:type="dxa"/>
              <w:left w:w="60" w:type="dxa"/>
              <w:bottom w:w="60" w:type="dxa"/>
              <w:right w:w="60" w:type="dxa"/>
            </w:tcMar>
          </w:tcPr>
          <w:p w14:paraId="4B161230" w14:textId="77777777" w:rsidR="00D35566" w:rsidRDefault="00000000">
            <w:pPr>
              <w:rPr>
                <w:rFonts w:ascii="Arial" w:hAnsi="Arial" w:cs="Arial"/>
                <w:sz w:val="20"/>
                <w:szCs w:val="20"/>
              </w:rPr>
            </w:pPr>
            <w:r>
              <w:rPr>
                <w:rFonts w:ascii="Arial" w:hAnsi="Arial" w:cs="Arial"/>
                <w:b/>
                <w:bCs/>
                <w:sz w:val="20"/>
                <w:szCs w:val="20"/>
              </w:rPr>
              <w:t>Software/version</w:t>
            </w:r>
          </w:p>
        </w:tc>
        <w:tc>
          <w:tcPr>
            <w:tcW w:w="5576" w:type="dxa"/>
            <w:tcMar>
              <w:top w:w="60" w:type="dxa"/>
              <w:left w:w="60" w:type="dxa"/>
              <w:bottom w:w="60" w:type="dxa"/>
              <w:right w:w="60" w:type="dxa"/>
            </w:tcMar>
          </w:tcPr>
          <w:p w14:paraId="28C4A8E9" w14:textId="77777777" w:rsidR="00D35566" w:rsidRDefault="00000000">
            <w:pPr>
              <w:rPr>
                <w:rFonts w:ascii="Arial" w:hAnsi="Arial" w:cs="Arial"/>
                <w:sz w:val="20"/>
                <w:szCs w:val="20"/>
              </w:rPr>
            </w:pPr>
            <w:r>
              <w:rPr>
                <w:rFonts w:ascii="Arial" w:hAnsi="Arial" w:cs="Arial"/>
                <w:b/>
                <w:bCs/>
                <w:sz w:val="20"/>
                <w:szCs w:val="20"/>
              </w:rPr>
              <w:t>Main parameters, filters, or outputs</w:t>
            </w:r>
          </w:p>
        </w:tc>
      </w:tr>
      <w:tr w:rsidR="00D35566" w14:paraId="0EE4C54D" w14:textId="77777777">
        <w:trPr>
          <w:jc w:val="center"/>
        </w:trPr>
        <w:tc>
          <w:tcPr>
            <w:tcW w:w="1659" w:type="dxa"/>
            <w:tcMar>
              <w:top w:w="60" w:type="dxa"/>
              <w:left w:w="60" w:type="dxa"/>
              <w:bottom w:w="60" w:type="dxa"/>
              <w:right w:w="60" w:type="dxa"/>
            </w:tcMar>
          </w:tcPr>
          <w:p w14:paraId="196C8BFA" w14:textId="77777777" w:rsidR="00D35566" w:rsidRDefault="00000000">
            <w:pPr>
              <w:rPr>
                <w:rFonts w:ascii="Arial" w:hAnsi="Arial" w:cs="Arial"/>
                <w:sz w:val="20"/>
                <w:szCs w:val="20"/>
              </w:rPr>
            </w:pPr>
            <w:r>
              <w:rPr>
                <w:rFonts w:ascii="Arial" w:hAnsi="Arial" w:cs="Arial"/>
                <w:sz w:val="20"/>
                <w:szCs w:val="20"/>
              </w:rPr>
              <w:t>Data retrieval</w:t>
            </w:r>
          </w:p>
        </w:tc>
        <w:tc>
          <w:tcPr>
            <w:tcW w:w="2124" w:type="dxa"/>
            <w:tcMar>
              <w:top w:w="60" w:type="dxa"/>
              <w:left w:w="60" w:type="dxa"/>
              <w:bottom w:w="60" w:type="dxa"/>
              <w:right w:w="60" w:type="dxa"/>
            </w:tcMar>
          </w:tcPr>
          <w:p w14:paraId="7442B31C" w14:textId="77777777" w:rsidR="00D35566" w:rsidRDefault="00000000">
            <w:pPr>
              <w:rPr>
                <w:rFonts w:ascii="Arial" w:hAnsi="Arial" w:cs="Arial"/>
                <w:sz w:val="20"/>
                <w:szCs w:val="20"/>
              </w:rPr>
            </w:pPr>
            <w:r>
              <w:rPr>
                <w:rFonts w:ascii="Arial" w:hAnsi="Arial" w:cs="Arial"/>
                <w:sz w:val="20"/>
                <w:szCs w:val="20"/>
              </w:rPr>
              <w:t>SRA Toolkit v3.0.7</w:t>
            </w:r>
          </w:p>
        </w:tc>
        <w:tc>
          <w:tcPr>
            <w:tcW w:w="5576" w:type="dxa"/>
            <w:tcMar>
              <w:top w:w="60" w:type="dxa"/>
              <w:left w:w="60" w:type="dxa"/>
              <w:bottom w:w="60" w:type="dxa"/>
              <w:right w:w="60" w:type="dxa"/>
            </w:tcMar>
          </w:tcPr>
          <w:p w14:paraId="3DDE2957" w14:textId="77777777" w:rsidR="00D35566" w:rsidRDefault="00000000">
            <w:pPr>
              <w:rPr>
                <w:rFonts w:ascii="Arial" w:hAnsi="Arial" w:cs="Arial"/>
                <w:sz w:val="20"/>
                <w:szCs w:val="20"/>
              </w:rPr>
            </w:pPr>
            <w:r>
              <w:rPr>
                <w:rFonts w:ascii="Arial" w:hAnsi="Arial" w:cs="Arial"/>
                <w:sz w:val="20"/>
                <w:szCs w:val="20"/>
              </w:rPr>
              <w:t xml:space="preserve">prefetch; </w:t>
            </w:r>
            <w:proofErr w:type="spellStart"/>
            <w:r>
              <w:rPr>
                <w:rFonts w:ascii="Arial" w:hAnsi="Arial" w:cs="Arial"/>
                <w:sz w:val="20"/>
                <w:szCs w:val="20"/>
              </w:rPr>
              <w:t>fasterq</w:t>
            </w:r>
            <w:proofErr w:type="spellEnd"/>
            <w:r>
              <w:rPr>
                <w:rFonts w:ascii="Arial" w:hAnsi="Arial" w:cs="Arial"/>
                <w:sz w:val="20"/>
                <w:szCs w:val="20"/>
              </w:rPr>
              <w:t xml:space="preserve">-dump --split-files --threads 8; metadata fields: </w:t>
            </w:r>
            <w:proofErr w:type="spellStart"/>
            <w:r>
              <w:rPr>
                <w:rFonts w:ascii="Arial" w:hAnsi="Arial" w:cs="Arial"/>
                <w:sz w:val="20"/>
                <w:szCs w:val="20"/>
              </w:rPr>
              <w:t>sample_id</w:t>
            </w:r>
            <w:proofErr w:type="spellEnd"/>
            <w:r>
              <w:rPr>
                <w:rFonts w:ascii="Arial" w:hAnsi="Arial" w:cs="Arial"/>
                <w:sz w:val="20"/>
                <w:szCs w:val="20"/>
              </w:rPr>
              <w:t>, cultivar, treatment, replicate, GEO accession, SRA run, spots, and bases.</w:t>
            </w:r>
          </w:p>
        </w:tc>
      </w:tr>
      <w:tr w:rsidR="00D35566" w14:paraId="36A15C24" w14:textId="77777777">
        <w:trPr>
          <w:jc w:val="center"/>
        </w:trPr>
        <w:tc>
          <w:tcPr>
            <w:tcW w:w="1659" w:type="dxa"/>
            <w:tcMar>
              <w:top w:w="60" w:type="dxa"/>
              <w:left w:w="60" w:type="dxa"/>
              <w:bottom w:w="60" w:type="dxa"/>
              <w:right w:w="60" w:type="dxa"/>
            </w:tcMar>
          </w:tcPr>
          <w:p w14:paraId="7971D484" w14:textId="77777777" w:rsidR="00D35566" w:rsidRDefault="00000000">
            <w:pPr>
              <w:rPr>
                <w:rFonts w:ascii="Arial" w:hAnsi="Arial" w:cs="Arial"/>
                <w:sz w:val="20"/>
                <w:szCs w:val="20"/>
              </w:rPr>
            </w:pPr>
            <w:r>
              <w:rPr>
                <w:rFonts w:ascii="Arial" w:hAnsi="Arial" w:cs="Arial"/>
                <w:sz w:val="20"/>
                <w:szCs w:val="20"/>
              </w:rPr>
              <w:t>Read QC/trimming</w:t>
            </w:r>
          </w:p>
        </w:tc>
        <w:tc>
          <w:tcPr>
            <w:tcW w:w="2124" w:type="dxa"/>
            <w:tcMar>
              <w:top w:w="60" w:type="dxa"/>
              <w:left w:w="60" w:type="dxa"/>
              <w:bottom w:w="60" w:type="dxa"/>
              <w:right w:w="60" w:type="dxa"/>
            </w:tcMar>
          </w:tcPr>
          <w:p w14:paraId="1EF2B8FA" w14:textId="77777777" w:rsidR="00D35566" w:rsidRDefault="00000000">
            <w:pPr>
              <w:rPr>
                <w:rFonts w:ascii="Arial" w:hAnsi="Arial" w:cs="Arial"/>
                <w:sz w:val="20"/>
                <w:szCs w:val="20"/>
              </w:rPr>
            </w:pPr>
            <w:r>
              <w:rPr>
                <w:rFonts w:ascii="Arial" w:hAnsi="Arial" w:cs="Arial"/>
                <w:sz w:val="20"/>
                <w:szCs w:val="20"/>
              </w:rPr>
              <w:t xml:space="preserve">FastQC v0.11.9; </w:t>
            </w:r>
            <w:proofErr w:type="spellStart"/>
            <w:r>
              <w:rPr>
                <w:rFonts w:ascii="Arial" w:hAnsi="Arial" w:cs="Arial"/>
                <w:sz w:val="20"/>
                <w:szCs w:val="20"/>
              </w:rPr>
              <w:t>Trimmomatic</w:t>
            </w:r>
            <w:proofErr w:type="spellEnd"/>
            <w:r>
              <w:rPr>
                <w:rFonts w:ascii="Arial" w:hAnsi="Arial" w:cs="Arial"/>
                <w:sz w:val="20"/>
                <w:szCs w:val="20"/>
              </w:rPr>
              <w:t xml:space="preserve"> v0.39</w:t>
            </w:r>
          </w:p>
        </w:tc>
        <w:tc>
          <w:tcPr>
            <w:tcW w:w="5576" w:type="dxa"/>
            <w:tcMar>
              <w:top w:w="60" w:type="dxa"/>
              <w:left w:w="60" w:type="dxa"/>
              <w:bottom w:w="60" w:type="dxa"/>
              <w:right w:w="60" w:type="dxa"/>
            </w:tcMar>
          </w:tcPr>
          <w:p w14:paraId="60AF0D62" w14:textId="77777777" w:rsidR="00D35566" w:rsidRDefault="00000000">
            <w:pPr>
              <w:rPr>
                <w:rFonts w:ascii="Arial" w:hAnsi="Arial" w:cs="Arial"/>
                <w:sz w:val="20"/>
                <w:szCs w:val="20"/>
              </w:rPr>
            </w:pPr>
            <w:r>
              <w:rPr>
                <w:rFonts w:ascii="Arial" w:hAnsi="Arial" w:cs="Arial"/>
                <w:sz w:val="20"/>
                <w:szCs w:val="20"/>
              </w:rPr>
              <w:t xml:space="preserve">Paired-end mode; </w:t>
            </w:r>
            <w:proofErr w:type="gramStart"/>
            <w:r>
              <w:rPr>
                <w:rFonts w:ascii="Arial" w:hAnsi="Arial" w:cs="Arial"/>
                <w:sz w:val="20"/>
                <w:szCs w:val="20"/>
              </w:rPr>
              <w:t>ILLUMINACLIP:TruSeq</w:t>
            </w:r>
            <w:proofErr w:type="gramEnd"/>
            <w:r>
              <w:rPr>
                <w:rFonts w:ascii="Arial" w:hAnsi="Arial" w:cs="Arial"/>
                <w:sz w:val="20"/>
                <w:szCs w:val="20"/>
              </w:rPr>
              <w:t>3-</w:t>
            </w:r>
            <w:proofErr w:type="gramStart"/>
            <w:r>
              <w:rPr>
                <w:rFonts w:ascii="Arial" w:hAnsi="Arial" w:cs="Arial"/>
                <w:sz w:val="20"/>
                <w:szCs w:val="20"/>
              </w:rPr>
              <w:t>PE.fa</w:t>
            </w:r>
            <w:proofErr w:type="gramEnd"/>
            <w:r>
              <w:rPr>
                <w:rFonts w:ascii="Arial" w:hAnsi="Arial" w:cs="Arial"/>
                <w:sz w:val="20"/>
                <w:szCs w:val="20"/>
              </w:rPr>
              <w:t>:2:30:10; LEADING:3; TRAILING:3; SLIDINGWINDOW:4:20; MINLEN:50.</w:t>
            </w:r>
          </w:p>
        </w:tc>
      </w:tr>
      <w:tr w:rsidR="00D35566" w14:paraId="1BD79385" w14:textId="77777777">
        <w:trPr>
          <w:jc w:val="center"/>
        </w:trPr>
        <w:tc>
          <w:tcPr>
            <w:tcW w:w="1659" w:type="dxa"/>
            <w:tcMar>
              <w:top w:w="60" w:type="dxa"/>
              <w:left w:w="60" w:type="dxa"/>
              <w:bottom w:w="60" w:type="dxa"/>
              <w:right w:w="60" w:type="dxa"/>
            </w:tcMar>
          </w:tcPr>
          <w:p w14:paraId="6758AE5D" w14:textId="77777777" w:rsidR="00D35566" w:rsidRDefault="00000000">
            <w:pPr>
              <w:rPr>
                <w:rFonts w:ascii="Arial" w:hAnsi="Arial" w:cs="Arial"/>
                <w:sz w:val="20"/>
                <w:szCs w:val="20"/>
              </w:rPr>
            </w:pPr>
            <w:r>
              <w:rPr>
                <w:rFonts w:ascii="Arial" w:hAnsi="Arial" w:cs="Arial"/>
                <w:sz w:val="20"/>
                <w:szCs w:val="20"/>
              </w:rPr>
              <w:t>Reference preparation</w:t>
            </w:r>
          </w:p>
        </w:tc>
        <w:tc>
          <w:tcPr>
            <w:tcW w:w="2124" w:type="dxa"/>
            <w:tcMar>
              <w:top w:w="60" w:type="dxa"/>
              <w:left w:w="60" w:type="dxa"/>
              <w:bottom w:w="60" w:type="dxa"/>
              <w:right w:w="60" w:type="dxa"/>
            </w:tcMar>
          </w:tcPr>
          <w:p w14:paraId="50260518" w14:textId="77777777" w:rsidR="00D35566" w:rsidRDefault="00000000">
            <w:pPr>
              <w:rPr>
                <w:rFonts w:ascii="Arial" w:hAnsi="Arial" w:cs="Arial"/>
                <w:sz w:val="20"/>
                <w:szCs w:val="20"/>
              </w:rPr>
            </w:pPr>
            <w:r>
              <w:rPr>
                <w:rFonts w:ascii="Arial" w:hAnsi="Arial" w:cs="Arial"/>
                <w:sz w:val="20"/>
                <w:szCs w:val="20"/>
              </w:rPr>
              <w:t xml:space="preserve">SCAU_Lch_v2.0 genome; </w:t>
            </w:r>
            <w:proofErr w:type="spellStart"/>
            <w:r>
              <w:rPr>
                <w:rFonts w:ascii="Arial" w:hAnsi="Arial" w:cs="Arial"/>
                <w:sz w:val="20"/>
                <w:szCs w:val="20"/>
              </w:rPr>
              <w:t>gffread</w:t>
            </w:r>
            <w:proofErr w:type="spellEnd"/>
            <w:r>
              <w:rPr>
                <w:rFonts w:ascii="Arial" w:hAnsi="Arial" w:cs="Arial"/>
                <w:sz w:val="20"/>
                <w:szCs w:val="20"/>
              </w:rPr>
              <w:t xml:space="preserve"> v2.2.1</w:t>
            </w:r>
          </w:p>
        </w:tc>
        <w:tc>
          <w:tcPr>
            <w:tcW w:w="5576" w:type="dxa"/>
            <w:tcMar>
              <w:top w:w="60" w:type="dxa"/>
              <w:left w:w="60" w:type="dxa"/>
              <w:bottom w:w="60" w:type="dxa"/>
              <w:right w:w="60" w:type="dxa"/>
            </w:tcMar>
          </w:tcPr>
          <w:p w14:paraId="5D9E455B" w14:textId="77777777" w:rsidR="00D35566" w:rsidRDefault="00000000">
            <w:pPr>
              <w:rPr>
                <w:rFonts w:ascii="Arial" w:hAnsi="Arial" w:cs="Arial"/>
                <w:sz w:val="20"/>
                <w:szCs w:val="20"/>
              </w:rPr>
            </w:pPr>
            <w:r>
              <w:rPr>
                <w:rFonts w:ascii="Arial" w:hAnsi="Arial" w:cs="Arial"/>
                <w:sz w:val="20"/>
                <w:szCs w:val="20"/>
              </w:rPr>
              <w:t>Genome assembly GCA_019925255.1; GFF3 checked for LITCHI gene IDs; GFF3 converted to GTF when needed; Bowtie2 index built from genome FASTA.</w:t>
            </w:r>
          </w:p>
        </w:tc>
      </w:tr>
      <w:tr w:rsidR="00D35566" w14:paraId="4645CA26" w14:textId="77777777">
        <w:trPr>
          <w:jc w:val="center"/>
        </w:trPr>
        <w:tc>
          <w:tcPr>
            <w:tcW w:w="1659" w:type="dxa"/>
            <w:tcMar>
              <w:top w:w="60" w:type="dxa"/>
              <w:left w:w="60" w:type="dxa"/>
              <w:bottom w:w="60" w:type="dxa"/>
              <w:right w:w="60" w:type="dxa"/>
            </w:tcMar>
          </w:tcPr>
          <w:p w14:paraId="38431887" w14:textId="77777777" w:rsidR="00D35566" w:rsidRDefault="00000000">
            <w:pPr>
              <w:rPr>
                <w:rFonts w:ascii="Arial" w:hAnsi="Arial" w:cs="Arial"/>
                <w:sz w:val="20"/>
                <w:szCs w:val="20"/>
              </w:rPr>
            </w:pPr>
            <w:r>
              <w:rPr>
                <w:rFonts w:ascii="Arial" w:hAnsi="Arial" w:cs="Arial"/>
                <w:sz w:val="20"/>
                <w:szCs w:val="20"/>
              </w:rPr>
              <w:t>Read alignment</w:t>
            </w:r>
          </w:p>
        </w:tc>
        <w:tc>
          <w:tcPr>
            <w:tcW w:w="2124" w:type="dxa"/>
            <w:tcMar>
              <w:top w:w="60" w:type="dxa"/>
              <w:left w:w="60" w:type="dxa"/>
              <w:bottom w:w="60" w:type="dxa"/>
              <w:right w:w="60" w:type="dxa"/>
            </w:tcMar>
          </w:tcPr>
          <w:p w14:paraId="0110CA43" w14:textId="77777777" w:rsidR="00D35566" w:rsidRDefault="00000000">
            <w:pPr>
              <w:rPr>
                <w:rFonts w:ascii="Arial" w:hAnsi="Arial" w:cs="Arial"/>
                <w:sz w:val="20"/>
                <w:szCs w:val="20"/>
              </w:rPr>
            </w:pPr>
            <w:proofErr w:type="spellStart"/>
            <w:r>
              <w:rPr>
                <w:rFonts w:ascii="Arial" w:hAnsi="Arial" w:cs="Arial"/>
                <w:sz w:val="20"/>
                <w:szCs w:val="20"/>
              </w:rPr>
              <w:t>TopHat</w:t>
            </w:r>
            <w:proofErr w:type="spellEnd"/>
            <w:r>
              <w:rPr>
                <w:rFonts w:ascii="Arial" w:hAnsi="Arial" w:cs="Arial"/>
                <w:sz w:val="20"/>
                <w:szCs w:val="20"/>
              </w:rPr>
              <w:t xml:space="preserve"> v2.0.12; Bowtie2 v2.2.3; </w:t>
            </w:r>
            <w:proofErr w:type="spellStart"/>
            <w:r>
              <w:rPr>
                <w:rFonts w:ascii="Arial" w:hAnsi="Arial" w:cs="Arial"/>
                <w:sz w:val="20"/>
                <w:szCs w:val="20"/>
              </w:rPr>
              <w:t>SAMtools</w:t>
            </w:r>
            <w:proofErr w:type="spellEnd"/>
            <w:r>
              <w:rPr>
                <w:rFonts w:ascii="Arial" w:hAnsi="Arial" w:cs="Arial"/>
                <w:sz w:val="20"/>
                <w:szCs w:val="20"/>
              </w:rPr>
              <w:t xml:space="preserve"> v1.17</w:t>
            </w:r>
          </w:p>
        </w:tc>
        <w:tc>
          <w:tcPr>
            <w:tcW w:w="5576" w:type="dxa"/>
            <w:tcMar>
              <w:top w:w="60" w:type="dxa"/>
              <w:left w:w="60" w:type="dxa"/>
              <w:bottom w:w="60" w:type="dxa"/>
              <w:right w:w="60" w:type="dxa"/>
            </w:tcMar>
          </w:tcPr>
          <w:p w14:paraId="7C2C304C" w14:textId="77777777" w:rsidR="00D35566" w:rsidRDefault="00000000">
            <w:pPr>
              <w:rPr>
                <w:rFonts w:ascii="Arial" w:hAnsi="Arial" w:cs="Arial"/>
                <w:sz w:val="20"/>
                <w:szCs w:val="20"/>
              </w:rPr>
            </w:pPr>
            <w:r>
              <w:rPr>
                <w:rFonts w:ascii="Arial" w:hAnsi="Arial" w:cs="Arial"/>
                <w:sz w:val="20"/>
                <w:szCs w:val="20"/>
              </w:rPr>
              <w:t xml:space="preserve">-p 8; --library-type </w:t>
            </w:r>
            <w:proofErr w:type="spellStart"/>
            <w:r>
              <w:rPr>
                <w:rFonts w:ascii="Arial" w:hAnsi="Arial" w:cs="Arial"/>
                <w:sz w:val="20"/>
                <w:szCs w:val="20"/>
              </w:rPr>
              <w:t>fr-unstranded</w:t>
            </w:r>
            <w:proofErr w:type="spellEnd"/>
            <w:r>
              <w:rPr>
                <w:rFonts w:ascii="Arial" w:hAnsi="Arial" w:cs="Arial"/>
                <w:sz w:val="20"/>
                <w:szCs w:val="20"/>
              </w:rPr>
              <w:t>; --read-mismatches 2; --read-gap-length 2; --read-edit-</w:t>
            </w:r>
            <w:proofErr w:type="spellStart"/>
            <w:r>
              <w:rPr>
                <w:rFonts w:ascii="Arial" w:hAnsi="Arial" w:cs="Arial"/>
                <w:sz w:val="20"/>
                <w:szCs w:val="20"/>
              </w:rPr>
              <w:t>dist</w:t>
            </w:r>
            <w:proofErr w:type="spellEnd"/>
            <w:r>
              <w:rPr>
                <w:rFonts w:ascii="Arial" w:hAnsi="Arial" w:cs="Arial"/>
                <w:sz w:val="20"/>
                <w:szCs w:val="20"/>
              </w:rPr>
              <w:t xml:space="preserve"> 2; --min-intron-length 50; --max-intron-length 50000; --max-</w:t>
            </w:r>
            <w:proofErr w:type="spellStart"/>
            <w:r>
              <w:rPr>
                <w:rFonts w:ascii="Arial" w:hAnsi="Arial" w:cs="Arial"/>
                <w:sz w:val="20"/>
                <w:szCs w:val="20"/>
              </w:rPr>
              <w:t>multihits</w:t>
            </w:r>
            <w:proofErr w:type="spellEnd"/>
            <w:r>
              <w:rPr>
                <w:rFonts w:ascii="Arial" w:hAnsi="Arial" w:cs="Arial"/>
                <w:sz w:val="20"/>
                <w:szCs w:val="20"/>
              </w:rPr>
              <w:t xml:space="preserve"> 20; --GTF </w:t>
            </w:r>
            <w:proofErr w:type="spellStart"/>
            <w:r>
              <w:rPr>
                <w:rFonts w:ascii="Arial" w:hAnsi="Arial" w:cs="Arial"/>
                <w:sz w:val="20"/>
                <w:szCs w:val="20"/>
              </w:rPr>
              <w:t>annotation.gtf</w:t>
            </w:r>
            <w:proofErr w:type="spellEnd"/>
            <w:r>
              <w:rPr>
                <w:rFonts w:ascii="Arial" w:hAnsi="Arial" w:cs="Arial"/>
                <w:sz w:val="20"/>
                <w:szCs w:val="20"/>
              </w:rPr>
              <w:t>.</w:t>
            </w:r>
          </w:p>
        </w:tc>
      </w:tr>
      <w:tr w:rsidR="00D35566" w14:paraId="1E6AA423" w14:textId="77777777">
        <w:trPr>
          <w:jc w:val="center"/>
        </w:trPr>
        <w:tc>
          <w:tcPr>
            <w:tcW w:w="1659" w:type="dxa"/>
            <w:tcMar>
              <w:top w:w="60" w:type="dxa"/>
              <w:left w:w="60" w:type="dxa"/>
              <w:bottom w:w="60" w:type="dxa"/>
              <w:right w:w="60" w:type="dxa"/>
            </w:tcMar>
          </w:tcPr>
          <w:p w14:paraId="7E68E074" w14:textId="77777777" w:rsidR="00D35566" w:rsidRDefault="00000000">
            <w:pPr>
              <w:rPr>
                <w:rFonts w:ascii="Arial" w:hAnsi="Arial" w:cs="Arial"/>
                <w:sz w:val="20"/>
                <w:szCs w:val="20"/>
              </w:rPr>
            </w:pPr>
            <w:r>
              <w:rPr>
                <w:rFonts w:ascii="Arial" w:hAnsi="Arial" w:cs="Arial"/>
                <w:sz w:val="20"/>
                <w:szCs w:val="20"/>
              </w:rPr>
              <w:t>Read counting</w:t>
            </w:r>
          </w:p>
        </w:tc>
        <w:tc>
          <w:tcPr>
            <w:tcW w:w="2124" w:type="dxa"/>
            <w:tcMar>
              <w:top w:w="60" w:type="dxa"/>
              <w:left w:w="60" w:type="dxa"/>
              <w:bottom w:w="60" w:type="dxa"/>
              <w:right w:w="60" w:type="dxa"/>
            </w:tcMar>
          </w:tcPr>
          <w:p w14:paraId="1877BB61" w14:textId="77777777" w:rsidR="00D35566" w:rsidRDefault="00000000">
            <w:pPr>
              <w:rPr>
                <w:rFonts w:ascii="Arial" w:hAnsi="Arial" w:cs="Arial"/>
                <w:sz w:val="20"/>
                <w:szCs w:val="20"/>
              </w:rPr>
            </w:pPr>
            <w:proofErr w:type="spellStart"/>
            <w:r>
              <w:rPr>
                <w:rFonts w:ascii="Arial" w:hAnsi="Arial" w:cs="Arial"/>
                <w:sz w:val="20"/>
                <w:szCs w:val="20"/>
              </w:rPr>
              <w:t>HTSeq</w:t>
            </w:r>
            <w:proofErr w:type="spellEnd"/>
            <w:r>
              <w:rPr>
                <w:rFonts w:ascii="Arial" w:hAnsi="Arial" w:cs="Arial"/>
                <w:sz w:val="20"/>
                <w:szCs w:val="20"/>
              </w:rPr>
              <w:t xml:space="preserve"> v2.0.2</w:t>
            </w:r>
          </w:p>
        </w:tc>
        <w:tc>
          <w:tcPr>
            <w:tcW w:w="5576" w:type="dxa"/>
            <w:tcMar>
              <w:top w:w="60" w:type="dxa"/>
              <w:left w:w="60" w:type="dxa"/>
              <w:bottom w:w="60" w:type="dxa"/>
              <w:right w:w="60" w:type="dxa"/>
            </w:tcMar>
          </w:tcPr>
          <w:p w14:paraId="445C27AB" w14:textId="77777777" w:rsidR="00D35566" w:rsidRDefault="00000000">
            <w:pPr>
              <w:rPr>
                <w:rFonts w:ascii="Arial" w:hAnsi="Arial" w:cs="Arial"/>
                <w:sz w:val="20"/>
                <w:szCs w:val="20"/>
              </w:rPr>
            </w:pPr>
            <w:proofErr w:type="spellStart"/>
            <w:r>
              <w:rPr>
                <w:rFonts w:ascii="Arial" w:hAnsi="Arial" w:cs="Arial"/>
                <w:sz w:val="20"/>
                <w:szCs w:val="20"/>
              </w:rPr>
              <w:t>htseq</w:t>
            </w:r>
            <w:proofErr w:type="spellEnd"/>
            <w:r>
              <w:rPr>
                <w:rFonts w:ascii="Arial" w:hAnsi="Arial" w:cs="Arial"/>
                <w:sz w:val="20"/>
                <w:szCs w:val="20"/>
              </w:rPr>
              <w:t xml:space="preserve">-count -f bam -r pos -s </w:t>
            </w:r>
            <w:proofErr w:type="gramStart"/>
            <w:r>
              <w:rPr>
                <w:rFonts w:ascii="Arial" w:hAnsi="Arial" w:cs="Arial"/>
                <w:sz w:val="20"/>
                <w:szCs w:val="20"/>
              </w:rPr>
              <w:t>no -t</w:t>
            </w:r>
            <w:proofErr w:type="gramEnd"/>
            <w:r>
              <w:rPr>
                <w:rFonts w:ascii="Arial" w:hAnsi="Arial" w:cs="Arial"/>
                <w:sz w:val="20"/>
                <w:szCs w:val="20"/>
              </w:rPr>
              <w:t xml:space="preserve"> exon -</w:t>
            </w:r>
            <w:proofErr w:type="spellStart"/>
            <w:r>
              <w:rPr>
                <w:rFonts w:ascii="Arial" w:hAnsi="Arial" w:cs="Arial"/>
                <w:sz w:val="20"/>
                <w:szCs w:val="20"/>
              </w:rPr>
              <w:t>i</w:t>
            </w:r>
            <w:proofErr w:type="spellEnd"/>
            <w:r>
              <w:rPr>
                <w:rFonts w:ascii="Arial" w:hAnsi="Arial" w:cs="Arial"/>
                <w:sz w:val="20"/>
                <w:szCs w:val="20"/>
              </w:rPr>
              <w:t xml:space="preserve"> </w:t>
            </w:r>
            <w:proofErr w:type="spellStart"/>
            <w:r>
              <w:rPr>
                <w:rFonts w:ascii="Arial" w:hAnsi="Arial" w:cs="Arial"/>
                <w:sz w:val="20"/>
                <w:szCs w:val="20"/>
              </w:rPr>
              <w:t>gene_id</w:t>
            </w:r>
            <w:proofErr w:type="spellEnd"/>
            <w:r>
              <w:rPr>
                <w:rFonts w:ascii="Arial" w:hAnsi="Arial" w:cs="Arial"/>
                <w:sz w:val="20"/>
                <w:szCs w:val="20"/>
              </w:rPr>
              <w:t xml:space="preserve"> -m union -a 10; --nonunique none; merged count matrix.</w:t>
            </w:r>
          </w:p>
        </w:tc>
      </w:tr>
      <w:tr w:rsidR="00D35566" w14:paraId="3E9AB47A" w14:textId="77777777">
        <w:trPr>
          <w:jc w:val="center"/>
        </w:trPr>
        <w:tc>
          <w:tcPr>
            <w:tcW w:w="1659" w:type="dxa"/>
            <w:tcMar>
              <w:top w:w="60" w:type="dxa"/>
              <w:left w:w="60" w:type="dxa"/>
              <w:bottom w:w="60" w:type="dxa"/>
              <w:right w:w="60" w:type="dxa"/>
            </w:tcMar>
          </w:tcPr>
          <w:p w14:paraId="7C27A475" w14:textId="77777777" w:rsidR="00D35566" w:rsidRDefault="00000000">
            <w:pPr>
              <w:rPr>
                <w:rFonts w:ascii="Arial" w:hAnsi="Arial" w:cs="Arial"/>
                <w:sz w:val="20"/>
                <w:szCs w:val="20"/>
              </w:rPr>
            </w:pPr>
            <w:r>
              <w:rPr>
                <w:rFonts w:ascii="Arial" w:hAnsi="Arial" w:cs="Arial"/>
                <w:sz w:val="20"/>
                <w:szCs w:val="20"/>
              </w:rPr>
              <w:t>DESeq2 pairwise tests</w:t>
            </w:r>
          </w:p>
        </w:tc>
        <w:tc>
          <w:tcPr>
            <w:tcW w:w="2124" w:type="dxa"/>
            <w:tcMar>
              <w:top w:w="60" w:type="dxa"/>
              <w:left w:w="60" w:type="dxa"/>
              <w:bottom w:w="60" w:type="dxa"/>
              <w:right w:w="60" w:type="dxa"/>
            </w:tcMar>
          </w:tcPr>
          <w:p w14:paraId="17DD233A" w14:textId="77777777" w:rsidR="00D35566" w:rsidRDefault="00000000">
            <w:pPr>
              <w:rPr>
                <w:rFonts w:ascii="Arial" w:hAnsi="Arial" w:cs="Arial"/>
                <w:sz w:val="20"/>
                <w:szCs w:val="20"/>
              </w:rPr>
            </w:pPr>
            <w:r>
              <w:rPr>
                <w:rFonts w:ascii="Arial" w:hAnsi="Arial" w:cs="Arial"/>
                <w:sz w:val="20"/>
                <w:szCs w:val="20"/>
              </w:rPr>
              <w:t xml:space="preserve">R v4.3.2; Bioconductor v3.18; DESeq2 </w:t>
            </w:r>
            <w:r>
              <w:rPr>
                <w:rFonts w:ascii="Arial" w:hAnsi="Arial" w:cs="Arial"/>
                <w:sz w:val="20"/>
                <w:szCs w:val="20"/>
              </w:rPr>
              <w:lastRenderedPageBreak/>
              <w:t>v1.42.0</w:t>
            </w:r>
          </w:p>
        </w:tc>
        <w:tc>
          <w:tcPr>
            <w:tcW w:w="5576" w:type="dxa"/>
            <w:tcMar>
              <w:top w:w="60" w:type="dxa"/>
              <w:left w:w="60" w:type="dxa"/>
              <w:bottom w:w="60" w:type="dxa"/>
              <w:right w:w="60" w:type="dxa"/>
            </w:tcMar>
          </w:tcPr>
          <w:p w14:paraId="199D322D" w14:textId="77777777" w:rsidR="00D35566" w:rsidRDefault="00000000">
            <w:pPr>
              <w:rPr>
                <w:rFonts w:ascii="Arial" w:hAnsi="Arial" w:cs="Arial"/>
                <w:sz w:val="20"/>
                <w:szCs w:val="20"/>
              </w:rPr>
            </w:pPr>
            <w:r>
              <w:rPr>
                <w:rFonts w:ascii="Arial" w:hAnsi="Arial" w:cs="Arial"/>
                <w:sz w:val="20"/>
                <w:szCs w:val="20"/>
              </w:rPr>
              <w:lastRenderedPageBreak/>
              <w:t xml:space="preserve">Filter </w:t>
            </w:r>
            <w:proofErr w:type="spellStart"/>
            <w:proofErr w:type="gramStart"/>
            <w:r>
              <w:rPr>
                <w:rFonts w:ascii="Arial" w:hAnsi="Arial" w:cs="Arial"/>
                <w:sz w:val="20"/>
                <w:szCs w:val="20"/>
              </w:rPr>
              <w:t>rowSums</w:t>
            </w:r>
            <w:proofErr w:type="spellEnd"/>
            <w:r>
              <w:rPr>
                <w:rFonts w:ascii="Arial" w:hAnsi="Arial" w:cs="Arial"/>
                <w:sz w:val="20"/>
                <w:szCs w:val="20"/>
              </w:rPr>
              <w:t>(</w:t>
            </w:r>
            <w:proofErr w:type="gramEnd"/>
            <w:r>
              <w:rPr>
                <w:rFonts w:ascii="Arial" w:hAnsi="Arial" w:cs="Arial"/>
                <w:sz w:val="20"/>
                <w:szCs w:val="20"/>
              </w:rPr>
              <w:t xml:space="preserve">counts &gt;= 10) &gt;= 3; design = ~ treatment within cultivar; median-of-ratios normalization; Wald test; </w:t>
            </w:r>
            <w:r>
              <w:rPr>
                <w:rFonts w:ascii="Arial" w:hAnsi="Arial" w:cs="Arial"/>
                <w:sz w:val="20"/>
                <w:szCs w:val="20"/>
              </w:rPr>
              <w:lastRenderedPageBreak/>
              <w:t>Benjamini-Hochberg adjusted P &lt; 0.05.</w:t>
            </w:r>
          </w:p>
        </w:tc>
      </w:tr>
      <w:tr w:rsidR="00D35566" w14:paraId="21D4335C" w14:textId="77777777">
        <w:trPr>
          <w:jc w:val="center"/>
        </w:trPr>
        <w:tc>
          <w:tcPr>
            <w:tcW w:w="1659" w:type="dxa"/>
            <w:tcMar>
              <w:top w:w="60" w:type="dxa"/>
              <w:left w:w="60" w:type="dxa"/>
              <w:bottom w:w="60" w:type="dxa"/>
              <w:right w:w="60" w:type="dxa"/>
            </w:tcMar>
          </w:tcPr>
          <w:p w14:paraId="500A74C6" w14:textId="77777777" w:rsidR="00D35566" w:rsidRDefault="00000000">
            <w:pPr>
              <w:rPr>
                <w:rFonts w:ascii="Arial" w:hAnsi="Arial" w:cs="Arial"/>
                <w:sz w:val="20"/>
                <w:szCs w:val="20"/>
              </w:rPr>
            </w:pPr>
            <w:r>
              <w:rPr>
                <w:rFonts w:ascii="Arial" w:hAnsi="Arial" w:cs="Arial"/>
                <w:sz w:val="20"/>
                <w:szCs w:val="20"/>
              </w:rPr>
              <w:lastRenderedPageBreak/>
              <w:t>Interaction test</w:t>
            </w:r>
          </w:p>
        </w:tc>
        <w:tc>
          <w:tcPr>
            <w:tcW w:w="2124" w:type="dxa"/>
            <w:tcMar>
              <w:top w:w="60" w:type="dxa"/>
              <w:left w:w="60" w:type="dxa"/>
              <w:bottom w:w="60" w:type="dxa"/>
              <w:right w:w="60" w:type="dxa"/>
            </w:tcMar>
          </w:tcPr>
          <w:p w14:paraId="3C2EC292" w14:textId="77777777" w:rsidR="00D35566" w:rsidRDefault="00000000">
            <w:pPr>
              <w:rPr>
                <w:rFonts w:ascii="Arial" w:hAnsi="Arial" w:cs="Arial"/>
                <w:sz w:val="20"/>
                <w:szCs w:val="20"/>
              </w:rPr>
            </w:pPr>
            <w:r>
              <w:rPr>
                <w:rFonts w:ascii="Arial" w:hAnsi="Arial" w:cs="Arial"/>
                <w:sz w:val="20"/>
                <w:szCs w:val="20"/>
              </w:rPr>
              <w:t>DESeq2 v1.42.0</w:t>
            </w:r>
          </w:p>
        </w:tc>
        <w:tc>
          <w:tcPr>
            <w:tcW w:w="5576" w:type="dxa"/>
            <w:tcMar>
              <w:top w:w="60" w:type="dxa"/>
              <w:left w:w="60" w:type="dxa"/>
              <w:bottom w:w="60" w:type="dxa"/>
              <w:right w:w="60" w:type="dxa"/>
            </w:tcMar>
          </w:tcPr>
          <w:p w14:paraId="68EB316E" w14:textId="77777777" w:rsidR="00D35566" w:rsidRDefault="00000000">
            <w:pPr>
              <w:rPr>
                <w:rFonts w:ascii="Arial" w:hAnsi="Arial" w:cs="Arial"/>
                <w:sz w:val="20"/>
                <w:szCs w:val="20"/>
              </w:rPr>
            </w:pPr>
            <w:r>
              <w:rPr>
                <w:rFonts w:ascii="Arial" w:hAnsi="Arial" w:cs="Arial"/>
                <w:sz w:val="20"/>
                <w:szCs w:val="20"/>
              </w:rPr>
              <w:t xml:space="preserve">Full design = ~ cultivar + treatment + </w:t>
            </w:r>
            <w:proofErr w:type="spellStart"/>
            <w:proofErr w:type="gramStart"/>
            <w:r>
              <w:rPr>
                <w:rFonts w:ascii="Arial" w:hAnsi="Arial" w:cs="Arial"/>
                <w:sz w:val="20"/>
                <w:szCs w:val="20"/>
              </w:rPr>
              <w:t>cultivar:treatment</w:t>
            </w:r>
            <w:proofErr w:type="spellEnd"/>
            <w:proofErr w:type="gramEnd"/>
            <w:r>
              <w:rPr>
                <w:rFonts w:ascii="Arial" w:hAnsi="Arial" w:cs="Arial"/>
                <w:sz w:val="20"/>
                <w:szCs w:val="20"/>
              </w:rPr>
              <w:t xml:space="preserve">; reference levels </w:t>
            </w:r>
            <w:proofErr w:type="spellStart"/>
            <w:r>
              <w:rPr>
                <w:rFonts w:ascii="Arial" w:hAnsi="Arial" w:cs="Arial"/>
                <w:sz w:val="20"/>
                <w:szCs w:val="20"/>
              </w:rPr>
              <w:t>Guiwei</w:t>
            </w:r>
            <w:proofErr w:type="spellEnd"/>
            <w:r>
              <w:rPr>
                <w:rFonts w:ascii="Arial" w:hAnsi="Arial" w:cs="Arial"/>
                <w:sz w:val="20"/>
                <w:szCs w:val="20"/>
              </w:rPr>
              <w:t xml:space="preserve"> and mock; interaction = log2FC(Yurong) - log2FC(</w:t>
            </w:r>
            <w:proofErr w:type="spellStart"/>
            <w:r>
              <w:rPr>
                <w:rFonts w:ascii="Arial" w:hAnsi="Arial" w:cs="Arial"/>
                <w:sz w:val="20"/>
                <w:szCs w:val="20"/>
              </w:rPr>
              <w:t>Guiwei</w:t>
            </w:r>
            <w:proofErr w:type="spellEnd"/>
            <w:r>
              <w:rPr>
                <w:rFonts w:ascii="Arial" w:hAnsi="Arial" w:cs="Arial"/>
                <w:sz w:val="20"/>
                <w:szCs w:val="20"/>
              </w:rPr>
              <w:t>).</w:t>
            </w:r>
          </w:p>
        </w:tc>
      </w:tr>
      <w:tr w:rsidR="00D35566" w14:paraId="497F1F9C" w14:textId="77777777">
        <w:trPr>
          <w:jc w:val="center"/>
        </w:trPr>
        <w:tc>
          <w:tcPr>
            <w:tcW w:w="1659" w:type="dxa"/>
            <w:tcMar>
              <w:top w:w="60" w:type="dxa"/>
              <w:left w:w="60" w:type="dxa"/>
              <w:bottom w:w="60" w:type="dxa"/>
              <w:right w:w="60" w:type="dxa"/>
            </w:tcMar>
          </w:tcPr>
          <w:p w14:paraId="64C32790" w14:textId="77777777" w:rsidR="00D35566" w:rsidRDefault="00000000">
            <w:pPr>
              <w:rPr>
                <w:rFonts w:ascii="Arial" w:hAnsi="Arial" w:cs="Arial"/>
                <w:sz w:val="20"/>
                <w:szCs w:val="20"/>
              </w:rPr>
            </w:pPr>
            <w:r>
              <w:rPr>
                <w:rFonts w:ascii="Arial" w:hAnsi="Arial" w:cs="Arial"/>
                <w:sz w:val="20"/>
                <w:szCs w:val="20"/>
              </w:rPr>
              <w:t>Pathway and homolog screen</w:t>
            </w:r>
          </w:p>
        </w:tc>
        <w:tc>
          <w:tcPr>
            <w:tcW w:w="2124" w:type="dxa"/>
            <w:tcMar>
              <w:top w:w="60" w:type="dxa"/>
              <w:left w:w="60" w:type="dxa"/>
              <w:bottom w:w="60" w:type="dxa"/>
              <w:right w:w="60" w:type="dxa"/>
            </w:tcMar>
          </w:tcPr>
          <w:p w14:paraId="2DD1A2AB" w14:textId="77777777" w:rsidR="00D35566" w:rsidRDefault="00000000">
            <w:pPr>
              <w:rPr>
                <w:rFonts w:ascii="Arial" w:hAnsi="Arial" w:cs="Arial"/>
                <w:sz w:val="20"/>
                <w:szCs w:val="20"/>
              </w:rPr>
            </w:pPr>
            <w:r>
              <w:rPr>
                <w:rFonts w:ascii="Arial" w:hAnsi="Arial" w:cs="Arial"/>
                <w:sz w:val="20"/>
                <w:szCs w:val="20"/>
              </w:rPr>
              <w:t xml:space="preserve">Plant </w:t>
            </w:r>
            <w:proofErr w:type="spellStart"/>
            <w:r>
              <w:rPr>
                <w:rFonts w:ascii="Arial" w:hAnsi="Arial" w:cs="Arial"/>
                <w:sz w:val="20"/>
                <w:szCs w:val="20"/>
              </w:rPr>
              <w:t>Reactome</w:t>
            </w:r>
            <w:proofErr w:type="spellEnd"/>
            <w:r>
              <w:rPr>
                <w:rFonts w:ascii="Arial" w:hAnsi="Arial" w:cs="Arial"/>
                <w:sz w:val="20"/>
                <w:szCs w:val="20"/>
              </w:rPr>
              <w:t xml:space="preserve"> v24/</w:t>
            </w:r>
            <w:proofErr w:type="spellStart"/>
            <w:r>
              <w:rPr>
                <w:rFonts w:ascii="Arial" w:hAnsi="Arial" w:cs="Arial"/>
                <w:sz w:val="20"/>
                <w:szCs w:val="20"/>
              </w:rPr>
              <w:t>Gramene</w:t>
            </w:r>
            <w:proofErr w:type="spellEnd"/>
            <w:r>
              <w:rPr>
                <w:rFonts w:ascii="Arial" w:hAnsi="Arial" w:cs="Arial"/>
                <w:sz w:val="20"/>
                <w:szCs w:val="20"/>
              </w:rPr>
              <w:t xml:space="preserve"> 68; DIAMOND v2.1.8</w:t>
            </w:r>
          </w:p>
        </w:tc>
        <w:tc>
          <w:tcPr>
            <w:tcW w:w="5576" w:type="dxa"/>
            <w:tcMar>
              <w:top w:w="60" w:type="dxa"/>
              <w:left w:w="60" w:type="dxa"/>
              <w:bottom w:w="60" w:type="dxa"/>
              <w:right w:w="60" w:type="dxa"/>
            </w:tcMar>
          </w:tcPr>
          <w:p w14:paraId="5E5A4E6A" w14:textId="77777777" w:rsidR="00D35566" w:rsidRDefault="00000000">
            <w:pPr>
              <w:rPr>
                <w:rFonts w:ascii="Arial" w:hAnsi="Arial" w:cs="Arial"/>
                <w:sz w:val="20"/>
                <w:szCs w:val="20"/>
              </w:rPr>
            </w:pPr>
            <w:r>
              <w:rPr>
                <w:rFonts w:ascii="Arial" w:hAnsi="Arial" w:cs="Arial"/>
                <w:sz w:val="20"/>
                <w:szCs w:val="20"/>
              </w:rPr>
              <w:t xml:space="preserve">All significant pairwise DEGs used as inputs; DIAMOND </w:t>
            </w:r>
            <w:proofErr w:type="spellStart"/>
            <w:r>
              <w:rPr>
                <w:rFonts w:ascii="Arial" w:hAnsi="Arial" w:cs="Arial"/>
                <w:sz w:val="20"/>
                <w:szCs w:val="20"/>
              </w:rPr>
              <w:t>blastp</w:t>
            </w:r>
            <w:proofErr w:type="spellEnd"/>
            <w:r>
              <w:rPr>
                <w:rFonts w:ascii="Arial" w:hAnsi="Arial" w:cs="Arial"/>
                <w:sz w:val="20"/>
                <w:szCs w:val="20"/>
              </w:rPr>
              <w:t xml:space="preserve"> --sensitive -e 1e-5 --query-cover 50 --subject-cover 50 --max-target-seqs 5; best hit by bit score.</w:t>
            </w:r>
          </w:p>
        </w:tc>
      </w:tr>
      <w:tr w:rsidR="00D35566" w14:paraId="264900AC" w14:textId="77777777">
        <w:trPr>
          <w:jc w:val="center"/>
        </w:trPr>
        <w:tc>
          <w:tcPr>
            <w:tcW w:w="1659" w:type="dxa"/>
            <w:tcMar>
              <w:top w:w="60" w:type="dxa"/>
              <w:left w:w="60" w:type="dxa"/>
              <w:bottom w:w="60" w:type="dxa"/>
              <w:right w:w="60" w:type="dxa"/>
            </w:tcMar>
          </w:tcPr>
          <w:p w14:paraId="2CEC7B1D" w14:textId="77777777" w:rsidR="00D35566" w:rsidRDefault="00000000">
            <w:pPr>
              <w:rPr>
                <w:rFonts w:ascii="Arial" w:hAnsi="Arial" w:cs="Arial"/>
                <w:sz w:val="20"/>
                <w:szCs w:val="20"/>
              </w:rPr>
            </w:pPr>
            <w:r>
              <w:rPr>
                <w:rFonts w:ascii="Arial" w:hAnsi="Arial" w:cs="Arial"/>
                <w:sz w:val="20"/>
                <w:szCs w:val="20"/>
              </w:rPr>
              <w:t>Protein domains and motifs</w:t>
            </w:r>
          </w:p>
        </w:tc>
        <w:tc>
          <w:tcPr>
            <w:tcW w:w="2124" w:type="dxa"/>
            <w:tcMar>
              <w:top w:w="60" w:type="dxa"/>
              <w:left w:w="60" w:type="dxa"/>
              <w:bottom w:w="60" w:type="dxa"/>
              <w:right w:w="60" w:type="dxa"/>
            </w:tcMar>
          </w:tcPr>
          <w:p w14:paraId="073BE067" w14:textId="77777777" w:rsidR="00D35566" w:rsidRDefault="00000000">
            <w:pPr>
              <w:rPr>
                <w:rFonts w:ascii="Arial" w:hAnsi="Arial" w:cs="Arial"/>
                <w:sz w:val="20"/>
                <w:szCs w:val="20"/>
              </w:rPr>
            </w:pPr>
            <w:r>
              <w:rPr>
                <w:rFonts w:ascii="Arial" w:hAnsi="Arial" w:cs="Arial"/>
                <w:sz w:val="20"/>
                <w:szCs w:val="20"/>
              </w:rPr>
              <w:t xml:space="preserve">MEME Suite v5.5.5; </w:t>
            </w:r>
            <w:proofErr w:type="spellStart"/>
            <w:r>
              <w:rPr>
                <w:rFonts w:ascii="Arial" w:hAnsi="Arial" w:cs="Arial"/>
                <w:sz w:val="20"/>
                <w:szCs w:val="20"/>
              </w:rPr>
              <w:t>InterProScan</w:t>
            </w:r>
            <w:proofErr w:type="spellEnd"/>
            <w:r>
              <w:rPr>
                <w:rFonts w:ascii="Arial" w:hAnsi="Arial" w:cs="Arial"/>
                <w:sz w:val="20"/>
                <w:szCs w:val="20"/>
              </w:rPr>
              <w:t xml:space="preserve"> v5.65-97.0/</w:t>
            </w:r>
            <w:proofErr w:type="spellStart"/>
            <w:r>
              <w:rPr>
                <w:rFonts w:ascii="Arial" w:hAnsi="Arial" w:cs="Arial"/>
                <w:sz w:val="20"/>
                <w:szCs w:val="20"/>
              </w:rPr>
              <w:t>Pfam</w:t>
            </w:r>
            <w:proofErr w:type="spellEnd"/>
          </w:p>
        </w:tc>
        <w:tc>
          <w:tcPr>
            <w:tcW w:w="5576" w:type="dxa"/>
            <w:tcMar>
              <w:top w:w="60" w:type="dxa"/>
              <w:left w:w="60" w:type="dxa"/>
              <w:bottom w:w="60" w:type="dxa"/>
              <w:right w:w="60" w:type="dxa"/>
            </w:tcMar>
          </w:tcPr>
          <w:p w14:paraId="1F1C933B" w14:textId="77777777" w:rsidR="00D35566" w:rsidRDefault="00000000">
            <w:pPr>
              <w:rPr>
                <w:rFonts w:ascii="Arial" w:hAnsi="Arial" w:cs="Arial"/>
                <w:sz w:val="20"/>
                <w:szCs w:val="20"/>
              </w:rPr>
            </w:pPr>
            <w:r>
              <w:rPr>
                <w:rFonts w:ascii="Arial" w:hAnsi="Arial" w:cs="Arial"/>
                <w:sz w:val="20"/>
                <w:szCs w:val="20"/>
              </w:rPr>
              <w:t xml:space="preserve">MEME -protein -mod </w:t>
            </w:r>
            <w:proofErr w:type="spellStart"/>
            <w:r>
              <w:rPr>
                <w:rFonts w:ascii="Arial" w:hAnsi="Arial" w:cs="Arial"/>
                <w:sz w:val="20"/>
                <w:szCs w:val="20"/>
              </w:rPr>
              <w:t>zoops</w:t>
            </w:r>
            <w:proofErr w:type="spellEnd"/>
            <w:r>
              <w:rPr>
                <w:rFonts w:ascii="Arial" w:hAnsi="Arial" w:cs="Arial"/>
                <w:sz w:val="20"/>
                <w:szCs w:val="20"/>
              </w:rPr>
              <w:t xml:space="preserve"> -</w:t>
            </w:r>
            <w:proofErr w:type="spellStart"/>
            <w:r>
              <w:rPr>
                <w:rFonts w:ascii="Arial" w:hAnsi="Arial" w:cs="Arial"/>
                <w:sz w:val="20"/>
                <w:szCs w:val="20"/>
              </w:rPr>
              <w:t>nmotifs</w:t>
            </w:r>
            <w:proofErr w:type="spellEnd"/>
            <w:r>
              <w:rPr>
                <w:rFonts w:ascii="Arial" w:hAnsi="Arial" w:cs="Arial"/>
                <w:sz w:val="20"/>
                <w:szCs w:val="20"/>
              </w:rPr>
              <w:t xml:space="preserve"> 20 -</w:t>
            </w:r>
            <w:proofErr w:type="spellStart"/>
            <w:r>
              <w:rPr>
                <w:rFonts w:ascii="Arial" w:hAnsi="Arial" w:cs="Arial"/>
                <w:sz w:val="20"/>
                <w:szCs w:val="20"/>
              </w:rPr>
              <w:t>minw</w:t>
            </w:r>
            <w:proofErr w:type="spellEnd"/>
            <w:r>
              <w:rPr>
                <w:rFonts w:ascii="Arial" w:hAnsi="Arial" w:cs="Arial"/>
                <w:sz w:val="20"/>
                <w:szCs w:val="20"/>
              </w:rPr>
              <w:t xml:space="preserve"> 6 -</w:t>
            </w:r>
            <w:proofErr w:type="spellStart"/>
            <w:r>
              <w:rPr>
                <w:rFonts w:ascii="Arial" w:hAnsi="Arial" w:cs="Arial"/>
                <w:sz w:val="20"/>
                <w:szCs w:val="20"/>
              </w:rPr>
              <w:t>maxw</w:t>
            </w:r>
            <w:proofErr w:type="spellEnd"/>
            <w:r>
              <w:rPr>
                <w:rFonts w:ascii="Arial" w:hAnsi="Arial" w:cs="Arial"/>
                <w:sz w:val="20"/>
                <w:szCs w:val="20"/>
              </w:rPr>
              <w:t xml:space="preserve"> 50 -</w:t>
            </w:r>
            <w:proofErr w:type="spellStart"/>
            <w:r>
              <w:rPr>
                <w:rFonts w:ascii="Arial" w:hAnsi="Arial" w:cs="Arial"/>
                <w:sz w:val="20"/>
                <w:szCs w:val="20"/>
              </w:rPr>
              <w:t>evt</w:t>
            </w:r>
            <w:proofErr w:type="spellEnd"/>
            <w:r>
              <w:rPr>
                <w:rFonts w:ascii="Arial" w:hAnsi="Arial" w:cs="Arial"/>
                <w:sz w:val="20"/>
                <w:szCs w:val="20"/>
              </w:rPr>
              <w:t xml:space="preserve"> 0.05 -seed 2024; </w:t>
            </w:r>
            <w:proofErr w:type="spellStart"/>
            <w:r>
              <w:rPr>
                <w:rFonts w:ascii="Arial" w:hAnsi="Arial" w:cs="Arial"/>
                <w:sz w:val="20"/>
                <w:szCs w:val="20"/>
              </w:rPr>
              <w:t>InterProScan</w:t>
            </w:r>
            <w:proofErr w:type="spellEnd"/>
            <w:r>
              <w:rPr>
                <w:rFonts w:ascii="Arial" w:hAnsi="Arial" w:cs="Arial"/>
                <w:sz w:val="20"/>
                <w:szCs w:val="20"/>
              </w:rPr>
              <w:t xml:space="preserve"> -appl </w:t>
            </w:r>
            <w:proofErr w:type="spellStart"/>
            <w:r>
              <w:rPr>
                <w:rFonts w:ascii="Arial" w:hAnsi="Arial" w:cs="Arial"/>
                <w:sz w:val="20"/>
                <w:szCs w:val="20"/>
              </w:rPr>
              <w:t>Pfam</w:t>
            </w:r>
            <w:proofErr w:type="spellEnd"/>
            <w:r>
              <w:rPr>
                <w:rFonts w:ascii="Arial" w:hAnsi="Arial" w:cs="Arial"/>
                <w:sz w:val="20"/>
                <w:szCs w:val="20"/>
              </w:rPr>
              <w:t xml:space="preserve"> -f TSV -</w:t>
            </w:r>
            <w:proofErr w:type="spellStart"/>
            <w:r>
              <w:rPr>
                <w:rFonts w:ascii="Arial" w:hAnsi="Arial" w:cs="Arial"/>
                <w:sz w:val="20"/>
                <w:szCs w:val="20"/>
              </w:rPr>
              <w:t>goterms</w:t>
            </w:r>
            <w:proofErr w:type="spellEnd"/>
            <w:r>
              <w:rPr>
                <w:rFonts w:ascii="Arial" w:hAnsi="Arial" w:cs="Arial"/>
                <w:sz w:val="20"/>
                <w:szCs w:val="20"/>
              </w:rPr>
              <w:t xml:space="preserve"> -</w:t>
            </w:r>
            <w:proofErr w:type="spellStart"/>
            <w:r>
              <w:rPr>
                <w:rFonts w:ascii="Arial" w:hAnsi="Arial" w:cs="Arial"/>
                <w:sz w:val="20"/>
                <w:szCs w:val="20"/>
              </w:rPr>
              <w:t>iprlookup</w:t>
            </w:r>
            <w:proofErr w:type="spellEnd"/>
            <w:r>
              <w:rPr>
                <w:rFonts w:ascii="Arial" w:hAnsi="Arial" w:cs="Arial"/>
                <w:sz w:val="20"/>
                <w:szCs w:val="20"/>
              </w:rPr>
              <w:t>.</w:t>
            </w:r>
          </w:p>
        </w:tc>
      </w:tr>
      <w:tr w:rsidR="00D35566" w14:paraId="5E9C489C" w14:textId="77777777">
        <w:trPr>
          <w:jc w:val="center"/>
        </w:trPr>
        <w:tc>
          <w:tcPr>
            <w:tcW w:w="1659" w:type="dxa"/>
            <w:tcMar>
              <w:top w:w="60" w:type="dxa"/>
              <w:left w:w="60" w:type="dxa"/>
              <w:bottom w:w="60" w:type="dxa"/>
              <w:right w:w="60" w:type="dxa"/>
            </w:tcMar>
          </w:tcPr>
          <w:p w14:paraId="59AB8FD7" w14:textId="77777777" w:rsidR="00D35566" w:rsidRDefault="00000000">
            <w:pPr>
              <w:rPr>
                <w:rFonts w:ascii="Arial" w:hAnsi="Arial" w:cs="Arial"/>
                <w:sz w:val="20"/>
                <w:szCs w:val="20"/>
              </w:rPr>
            </w:pPr>
            <w:r>
              <w:rPr>
                <w:rFonts w:ascii="Arial" w:hAnsi="Arial" w:cs="Arial"/>
                <w:sz w:val="20"/>
                <w:szCs w:val="20"/>
              </w:rPr>
              <w:t>Promoter and cis-element analysis</w:t>
            </w:r>
          </w:p>
        </w:tc>
        <w:tc>
          <w:tcPr>
            <w:tcW w:w="2124" w:type="dxa"/>
            <w:tcMar>
              <w:top w:w="60" w:type="dxa"/>
              <w:left w:w="60" w:type="dxa"/>
              <w:bottom w:w="60" w:type="dxa"/>
              <w:right w:w="60" w:type="dxa"/>
            </w:tcMar>
          </w:tcPr>
          <w:p w14:paraId="25B9FE47" w14:textId="77777777" w:rsidR="00D35566" w:rsidRDefault="00000000">
            <w:pPr>
              <w:rPr>
                <w:rFonts w:ascii="Arial" w:hAnsi="Arial" w:cs="Arial"/>
                <w:sz w:val="20"/>
                <w:szCs w:val="20"/>
              </w:rPr>
            </w:pPr>
            <w:proofErr w:type="spellStart"/>
            <w:r>
              <w:rPr>
                <w:rFonts w:ascii="Arial" w:hAnsi="Arial" w:cs="Arial"/>
                <w:sz w:val="20"/>
                <w:szCs w:val="20"/>
              </w:rPr>
              <w:t>TBtools</w:t>
            </w:r>
            <w:proofErr w:type="spellEnd"/>
            <w:r>
              <w:rPr>
                <w:rFonts w:ascii="Arial" w:hAnsi="Arial" w:cs="Arial"/>
                <w:sz w:val="20"/>
                <w:szCs w:val="20"/>
              </w:rPr>
              <w:t xml:space="preserve">-II v2.096; </w:t>
            </w:r>
            <w:proofErr w:type="spellStart"/>
            <w:r>
              <w:rPr>
                <w:rFonts w:ascii="Arial" w:hAnsi="Arial" w:cs="Arial"/>
                <w:sz w:val="20"/>
                <w:szCs w:val="20"/>
              </w:rPr>
              <w:t>PlantCARE</w:t>
            </w:r>
            <w:proofErr w:type="spellEnd"/>
          </w:p>
        </w:tc>
        <w:tc>
          <w:tcPr>
            <w:tcW w:w="5576" w:type="dxa"/>
            <w:tcMar>
              <w:top w:w="60" w:type="dxa"/>
              <w:left w:w="60" w:type="dxa"/>
              <w:bottom w:w="60" w:type="dxa"/>
              <w:right w:w="60" w:type="dxa"/>
            </w:tcMar>
          </w:tcPr>
          <w:p w14:paraId="6B5CB518" w14:textId="77777777" w:rsidR="00D35566" w:rsidRDefault="00000000">
            <w:pPr>
              <w:rPr>
                <w:rFonts w:ascii="Arial" w:hAnsi="Arial" w:cs="Arial"/>
                <w:sz w:val="20"/>
                <w:szCs w:val="20"/>
              </w:rPr>
            </w:pPr>
            <w:r>
              <w:rPr>
                <w:rFonts w:ascii="Arial" w:hAnsi="Arial" w:cs="Arial"/>
                <w:sz w:val="20"/>
                <w:szCs w:val="20"/>
              </w:rPr>
              <w:t xml:space="preserve">Extract 2,000 bp strand-aware upstream promoters; </w:t>
            </w:r>
            <w:proofErr w:type="spellStart"/>
            <w:r>
              <w:rPr>
                <w:rFonts w:ascii="Arial" w:hAnsi="Arial" w:cs="Arial"/>
                <w:sz w:val="20"/>
                <w:szCs w:val="20"/>
              </w:rPr>
              <w:t>PlantCARE</w:t>
            </w:r>
            <w:proofErr w:type="spellEnd"/>
            <w:r>
              <w:rPr>
                <w:rFonts w:ascii="Arial" w:hAnsi="Arial" w:cs="Arial"/>
                <w:sz w:val="20"/>
                <w:szCs w:val="20"/>
              </w:rPr>
              <w:t xml:space="preserve"> elements filtered for stress, defense, hormone, drought, wound, anaerobic, and light-response terms; synonymous motif labels merged.</w:t>
            </w:r>
          </w:p>
        </w:tc>
      </w:tr>
      <w:tr w:rsidR="00D35566" w14:paraId="1E855622" w14:textId="77777777">
        <w:trPr>
          <w:jc w:val="center"/>
        </w:trPr>
        <w:tc>
          <w:tcPr>
            <w:tcW w:w="1659" w:type="dxa"/>
            <w:tcMar>
              <w:top w:w="60" w:type="dxa"/>
              <w:left w:w="60" w:type="dxa"/>
              <w:bottom w:w="60" w:type="dxa"/>
              <w:right w:w="60" w:type="dxa"/>
            </w:tcMar>
          </w:tcPr>
          <w:p w14:paraId="2C9A8248" w14:textId="77777777" w:rsidR="00D35566" w:rsidRDefault="00000000">
            <w:pPr>
              <w:rPr>
                <w:rFonts w:ascii="Arial" w:hAnsi="Arial" w:cs="Arial"/>
                <w:sz w:val="20"/>
                <w:szCs w:val="20"/>
              </w:rPr>
            </w:pPr>
            <w:r>
              <w:rPr>
                <w:rFonts w:ascii="Arial" w:hAnsi="Arial" w:cs="Arial"/>
                <w:sz w:val="20"/>
                <w:szCs w:val="20"/>
              </w:rPr>
              <w:t>Promoter background and figures</w:t>
            </w:r>
          </w:p>
        </w:tc>
        <w:tc>
          <w:tcPr>
            <w:tcW w:w="2124" w:type="dxa"/>
            <w:tcMar>
              <w:top w:w="60" w:type="dxa"/>
              <w:left w:w="60" w:type="dxa"/>
              <w:bottom w:w="60" w:type="dxa"/>
              <w:right w:w="60" w:type="dxa"/>
            </w:tcMar>
          </w:tcPr>
          <w:p w14:paraId="3E84D66E" w14:textId="77777777" w:rsidR="00D35566" w:rsidRDefault="00000000">
            <w:pPr>
              <w:rPr>
                <w:rFonts w:ascii="Arial" w:hAnsi="Arial" w:cs="Arial"/>
                <w:sz w:val="20"/>
                <w:szCs w:val="20"/>
              </w:rPr>
            </w:pPr>
            <w:r>
              <w:rPr>
                <w:rFonts w:ascii="Arial" w:hAnsi="Arial" w:cs="Arial"/>
                <w:sz w:val="20"/>
                <w:szCs w:val="20"/>
              </w:rPr>
              <w:t>Python v3.10.13; NumPy v1.26.4; pandas v2.1.4; SciPy v1.11.4; Matplotlib v3.8.2; ggplot2 v3.4.4</w:t>
            </w:r>
          </w:p>
        </w:tc>
        <w:tc>
          <w:tcPr>
            <w:tcW w:w="5576" w:type="dxa"/>
            <w:tcMar>
              <w:top w:w="60" w:type="dxa"/>
              <w:left w:w="60" w:type="dxa"/>
              <w:bottom w:w="60" w:type="dxa"/>
              <w:right w:w="60" w:type="dxa"/>
            </w:tcMar>
          </w:tcPr>
          <w:p w14:paraId="0922FE60" w14:textId="77777777" w:rsidR="00D35566" w:rsidRDefault="00000000">
            <w:pPr>
              <w:rPr>
                <w:rFonts w:ascii="Arial" w:hAnsi="Arial" w:cs="Arial"/>
                <w:sz w:val="20"/>
                <w:szCs w:val="20"/>
              </w:rPr>
            </w:pPr>
            <w:r>
              <w:rPr>
                <w:rFonts w:ascii="Arial" w:hAnsi="Arial" w:cs="Arial"/>
                <w:sz w:val="20"/>
                <w:szCs w:val="20"/>
              </w:rPr>
              <w:t>100,000 random sets of 18 x 2-kb promoters; GC = 34%; exact motifs plus reverse complements; empirical P values with +1 correction; Benjamini-Hochberg FDR; figures exported at 600 dpi where possible.</w:t>
            </w:r>
          </w:p>
        </w:tc>
      </w:tr>
    </w:tbl>
    <w:p w14:paraId="7C462519" w14:textId="77777777" w:rsidR="00D35566" w:rsidRDefault="00000000">
      <w:pPr>
        <w:pStyle w:val="Caption"/>
        <w:spacing w:after="0"/>
        <w:rPr>
          <w:rFonts w:ascii="Arial" w:hAnsi="Arial" w:cs="Arial"/>
          <w:b/>
          <w:bCs/>
          <w:sz w:val="22"/>
          <w:szCs w:val="22"/>
        </w:rPr>
      </w:pPr>
      <w:r>
        <w:rPr>
          <w:rFonts w:ascii="Arial" w:hAnsi="Arial" w:cs="Arial"/>
          <w:b/>
          <w:bCs/>
          <w:sz w:val="22"/>
          <w:szCs w:val="22"/>
        </w:rPr>
        <w:t>Table 7. Software versions and principal parameters specified for the reproducible 2024 RNA-seq reanalysis workflow.</w:t>
      </w:r>
    </w:p>
    <w:p w14:paraId="2A0A2C9D" w14:textId="77777777" w:rsidR="00D35566" w:rsidRDefault="00000000">
      <w:pPr>
        <w:pStyle w:val="BodyTextIndent1"/>
        <w:ind w:firstLine="0"/>
      </w:pPr>
      <w:r>
        <w:t>Note: The table documents the parameter set used for the RNA-seq reanalysis. If any pipeline component is changed, counts, differential-expression statistics, and figures should be regenerated from the same updated workflow.</w:t>
      </w:r>
    </w:p>
    <w:p w14:paraId="4D5174A0" w14:textId="77777777" w:rsidR="00EA4E90" w:rsidRDefault="00EA4E90">
      <w:pPr>
        <w:pStyle w:val="BodyTextIndent1"/>
        <w:ind w:firstLine="0"/>
        <w:rPr>
          <w:szCs w:val="22"/>
        </w:rPr>
      </w:pPr>
    </w:p>
    <w:p w14:paraId="635E5887" w14:textId="77777777" w:rsidR="00D35566" w:rsidRDefault="00000000">
      <w:pPr>
        <w:pStyle w:val="Heading1"/>
      </w:pPr>
      <w:r>
        <w:t>CONCLUSIONS</w:t>
      </w:r>
    </w:p>
    <w:p w14:paraId="3577168C" w14:textId="77777777" w:rsidR="00D35566" w:rsidRDefault="00000000">
      <w:pPr>
        <w:pStyle w:val="BodyTextIndent1"/>
      </w:pPr>
      <w:r>
        <w:t xml:space="preserve">By reanalyzing public RNA-seq data for </w:t>
      </w:r>
      <w:proofErr w:type="spellStart"/>
      <w:r>
        <w:t>Guiwei</w:t>
      </w:r>
      <w:proofErr w:type="spellEnd"/>
      <w:r>
        <w:t xml:space="preserve"> and Yurong lychee leaves after </w:t>
      </w:r>
      <w:r>
        <w:rPr>
          <w:i/>
        </w:rPr>
        <w:t xml:space="preserve">P. </w:t>
      </w:r>
      <w:proofErr w:type="spellStart"/>
      <w:r>
        <w:rPr>
          <w:i/>
        </w:rPr>
        <w:t>litchii</w:t>
      </w:r>
      <w:proofErr w:type="spellEnd"/>
      <w:r>
        <w:t xml:space="preserve"> inoculation, this study identifies cultivar-specific transcriptional patterns and prioritizes candidate genes with defense-related annotations, including lectin, pathogenesis-related protein, thaumatin/</w:t>
      </w:r>
      <w:proofErr w:type="spellStart"/>
      <w:r>
        <w:t>osmotin</w:t>
      </w:r>
      <w:proofErr w:type="spellEnd"/>
      <w:r>
        <w:t xml:space="preserve">-like, calcium-binding, and lipid-transfer protein families. The selected-gene interaction contrast highlights both </w:t>
      </w:r>
      <w:proofErr w:type="spellStart"/>
      <w:r>
        <w:t>Guiwei</w:t>
      </w:r>
      <w:proofErr w:type="spellEnd"/>
      <w:r>
        <w:t xml:space="preserve">- and Yurong-skewed responses, while promoter-background testing suggests that ARE, </w:t>
      </w:r>
      <w:proofErr w:type="spellStart"/>
      <w:r>
        <w:t>MeJA</w:t>
      </w:r>
      <w:proofErr w:type="spellEnd"/>
      <w:r>
        <w:t xml:space="preserve">-responsive, TCA, and TC-rich elements are enriched in the promoters of the selected candidates. These findings should be viewed as a hypothesis-generating resource for </w:t>
      </w:r>
      <w:proofErr w:type="spellStart"/>
      <w:r>
        <w:t>qRT</w:t>
      </w:r>
      <w:proofErr w:type="spellEnd"/>
      <w:r>
        <w:t>-PCR validation, functional assays, and marker development in lychee resistance research.</w:t>
      </w:r>
    </w:p>
    <w:p w14:paraId="34A8DB17" w14:textId="77777777" w:rsidR="00D35566" w:rsidRDefault="00000000">
      <w:pPr>
        <w:pStyle w:val="Heading1"/>
      </w:pPr>
      <w:r>
        <w:t>SUPPLEMENTARY MATERIALS</w:t>
      </w:r>
    </w:p>
    <w:p w14:paraId="4CE9E037" w14:textId="77777777" w:rsidR="00D35566" w:rsidRDefault="00000000">
      <w:pPr>
        <w:pStyle w:val="BodyTextIndent1"/>
      </w:pPr>
      <w:r>
        <w:t xml:space="preserve">Supplementary Table S1: Rationale for selection of the 18 </w:t>
      </w:r>
      <w:proofErr w:type="gramStart"/>
      <w:r>
        <w:t>candidate</w:t>
      </w:r>
      <w:proofErr w:type="gramEnd"/>
      <w:r>
        <w:t xml:space="preserve"> differentially expressed genes, including rounded log2FC evidence, adjusted-P threshold status, predicted annotations, representative homolog/domain information, known defense relevance, and reason retained.</w:t>
      </w:r>
    </w:p>
    <w:p w14:paraId="434B762C" w14:textId="77777777" w:rsidR="00D35566" w:rsidRDefault="00000000">
      <w:pPr>
        <w:pStyle w:val="BodyTextIndent1"/>
      </w:pPr>
      <w:r>
        <w:lastRenderedPageBreak/>
        <w:t xml:space="preserve">Supplementary File S2. Reproducible workflow command templates and code-availability package, including Bash, R, and Python script templates for raw-read processing, count-table generation, DESeq2 pairwise and interaction analyses, Plant </w:t>
      </w:r>
      <w:proofErr w:type="spellStart"/>
      <w:r>
        <w:t>Reactome</w:t>
      </w:r>
      <w:proofErr w:type="spellEnd"/>
      <w:r>
        <w:t>/homolog mapping, promoter-background simulation, and figure generation.</w:t>
      </w:r>
    </w:p>
    <w:p w14:paraId="538B14C1" w14:textId="3DBBBA7B" w:rsidR="00CB2DC2" w:rsidRDefault="00CB2DC2">
      <w:pPr>
        <w:pStyle w:val="BodyTextIndent1"/>
      </w:pPr>
      <w:r>
        <w:t xml:space="preserve">Supplemental materials are available at </w:t>
      </w:r>
      <w:r w:rsidRPr="00CB2DC2">
        <w:t>https://zenodo.org/records/20007391</w:t>
      </w:r>
    </w:p>
    <w:p w14:paraId="202A5A8E" w14:textId="77777777" w:rsidR="00D35566" w:rsidRDefault="00000000">
      <w:pPr>
        <w:pStyle w:val="BodyTextIndent1"/>
      </w:pPr>
      <w:r>
        <w:t xml:space="preserve">Data Availability Statement: The RNA-seq data analyzed in this study are publicly available in the NCBI Gene Expression Omnibus under accession GSE201243, with raw reads available through the linked SRA records and </w:t>
      </w:r>
      <w:proofErr w:type="spellStart"/>
      <w:r>
        <w:t>BioProject</w:t>
      </w:r>
      <w:proofErr w:type="spellEnd"/>
      <w:r>
        <w:t xml:space="preserve"> PRJNA830488. The reference genome resource is available through NCBI </w:t>
      </w:r>
      <w:proofErr w:type="spellStart"/>
      <w:r>
        <w:t>BioProject</w:t>
      </w:r>
      <w:proofErr w:type="spellEnd"/>
      <w:r>
        <w:t xml:space="preserve"> PRJNA747875 and the SCAU_Lch_v2.0 assembly record. Plant </w:t>
      </w:r>
      <w:proofErr w:type="spellStart"/>
      <w:r>
        <w:t>Reactome</w:t>
      </w:r>
      <w:proofErr w:type="spellEnd"/>
      <w:r>
        <w:t xml:space="preserve"> mapping resources are publicly available from the Plant </w:t>
      </w:r>
      <w:proofErr w:type="spellStart"/>
      <w:r>
        <w:t>Reactome</w:t>
      </w:r>
      <w:proofErr w:type="spellEnd"/>
      <w:r>
        <w:t xml:space="preserve"> download portal. Derived tables and command templates supporting the analyses are provided in the Supplementary Materials; additional intermediate files are available from the corresponding author upon reasonable request.</w:t>
      </w:r>
    </w:p>
    <w:p w14:paraId="13E0B84E" w14:textId="77777777" w:rsidR="00D35566" w:rsidRDefault="00000000">
      <w:pPr>
        <w:pStyle w:val="BodyTextIndent1"/>
      </w:pPr>
      <w:r>
        <w:t>Acknowledgments: The authors thank the researchers who generated and deposited the public RNA-seq dataset analyzed in this study.</w:t>
      </w:r>
    </w:p>
    <w:p w14:paraId="50E6A2C4" w14:textId="77777777" w:rsidR="007C6E5B" w:rsidRDefault="007C6E5B">
      <w:pPr>
        <w:pStyle w:val="BodyTextIndent1"/>
      </w:pPr>
    </w:p>
    <w:p w14:paraId="5D334A09" w14:textId="77777777" w:rsidR="00D35566" w:rsidRDefault="00000000">
      <w:pPr>
        <w:pStyle w:val="Heading1"/>
      </w:pPr>
      <w:r>
        <w:t>REFERENCES</w:t>
      </w:r>
    </w:p>
    <w:p w14:paraId="13AC1B55" w14:textId="77777777" w:rsidR="00D35566" w:rsidRDefault="00000000">
      <w:pPr>
        <w:pStyle w:val="ListParagraph"/>
        <w:numPr>
          <w:ilvl w:val="0"/>
          <w:numId w:val="1"/>
        </w:numPr>
        <w:spacing w:line="360" w:lineRule="auto"/>
        <w:ind w:left="360"/>
        <w:jc w:val="both"/>
        <w:rPr>
          <w:rFonts w:ascii="Arial" w:hAnsi="Arial" w:cs="Arial"/>
          <w:sz w:val="22"/>
        </w:rPr>
      </w:pPr>
      <w:r>
        <w:t>Morton, J.F. Lychee. In Fruits of Warm Climates; Creative Resource Systems, Inc.: Winterville, NC, USA, 1987; pp. 249-259.</w:t>
      </w:r>
    </w:p>
    <w:p w14:paraId="4CA13A1C" w14:textId="77777777" w:rsidR="00D35566" w:rsidRDefault="00000000">
      <w:pPr>
        <w:pStyle w:val="ListParagraph"/>
        <w:numPr>
          <w:ilvl w:val="0"/>
          <w:numId w:val="1"/>
        </w:numPr>
        <w:spacing w:line="360" w:lineRule="auto"/>
        <w:ind w:left="360"/>
        <w:jc w:val="both"/>
        <w:rPr>
          <w:rFonts w:ascii="Arial" w:hAnsi="Arial" w:cs="Arial"/>
          <w:sz w:val="22"/>
        </w:rPr>
      </w:pPr>
      <w:r>
        <w:t xml:space="preserve">Sun, J.; Gao, Z.; Zhang, X.; Zou, X.; Cao, L.; Wang, J. Transcriptome analysis of Phytophthora </w:t>
      </w:r>
      <w:proofErr w:type="spellStart"/>
      <w:r>
        <w:t>litchii</w:t>
      </w:r>
      <w:proofErr w:type="spellEnd"/>
      <w:r>
        <w:t xml:space="preserve"> reveals pathogenicity arsenals and confirms taxonomic status. </w:t>
      </w:r>
      <w:proofErr w:type="spellStart"/>
      <w:r>
        <w:t>PLoS</w:t>
      </w:r>
      <w:proofErr w:type="spellEnd"/>
      <w:r>
        <w:t xml:space="preserve"> ONE 2017, 12, e0178245. https://doi.org/10.1371/journal.pone.0178245.</w:t>
      </w:r>
    </w:p>
    <w:p w14:paraId="603F20C8" w14:textId="77777777" w:rsidR="00D35566" w:rsidRDefault="00000000">
      <w:pPr>
        <w:pStyle w:val="ListParagraph"/>
        <w:numPr>
          <w:ilvl w:val="0"/>
          <w:numId w:val="1"/>
        </w:numPr>
        <w:spacing w:line="360" w:lineRule="auto"/>
        <w:ind w:left="360"/>
        <w:jc w:val="both"/>
        <w:rPr>
          <w:rFonts w:ascii="Arial" w:hAnsi="Arial" w:cs="Arial"/>
          <w:sz w:val="22"/>
        </w:rPr>
      </w:pPr>
      <w:r>
        <w:t>Yi, C.; Jiang, Y.; Shi, J.; Qu, H.; Xue, S.; Duan, X.; Shi, J.; Prasad, N.K. ATP-regulation of antioxidant properties and phenolics in litchi fruit during browning and pathogen infection process. Food Chemistry 2010, 118, 42-47. https://doi.org/10.1016/j.foodchem.2009.04.074.</w:t>
      </w:r>
    </w:p>
    <w:p w14:paraId="70D985F9" w14:textId="77777777" w:rsidR="00D35566" w:rsidRDefault="00000000">
      <w:pPr>
        <w:pStyle w:val="ListParagraph"/>
        <w:numPr>
          <w:ilvl w:val="0"/>
          <w:numId w:val="1"/>
        </w:numPr>
        <w:spacing w:line="360" w:lineRule="auto"/>
        <w:ind w:left="360"/>
        <w:jc w:val="both"/>
        <w:rPr>
          <w:rFonts w:ascii="Arial" w:hAnsi="Arial" w:cs="Arial"/>
          <w:sz w:val="22"/>
        </w:rPr>
      </w:pPr>
      <w:r>
        <w:t xml:space="preserve">Hu, G.; Feng, J.; Xiang, X.; Wang, J.; </w:t>
      </w:r>
      <w:proofErr w:type="spellStart"/>
      <w:r>
        <w:t>Salojarvi</w:t>
      </w:r>
      <w:proofErr w:type="spellEnd"/>
      <w:r>
        <w:t>, J.; Liu, C.; Wu, Z.; Zhang, J.; Liang, X.; Jiang, Z.; et al. Two divergent haplotypes from a highly heterozygous lychee genome suggest independent domestication events for early and late-maturing cultivars. Nature Genetics 2022, 54, 73-83. https://doi.org/10.1038/s41588-021-00971-3.</w:t>
      </w:r>
    </w:p>
    <w:p w14:paraId="63F5A22F" w14:textId="77777777" w:rsidR="00D35566" w:rsidRDefault="00000000">
      <w:pPr>
        <w:pStyle w:val="ListParagraph"/>
        <w:numPr>
          <w:ilvl w:val="0"/>
          <w:numId w:val="1"/>
        </w:numPr>
        <w:spacing w:line="360" w:lineRule="auto"/>
        <w:ind w:left="360"/>
        <w:jc w:val="both"/>
        <w:rPr>
          <w:rFonts w:ascii="Arial" w:hAnsi="Arial" w:cs="Arial"/>
          <w:sz w:val="22"/>
        </w:rPr>
      </w:pPr>
      <w:r>
        <w:t xml:space="preserve">National Center for Biotechnology Information. Litchi chinensis </w:t>
      </w:r>
      <w:proofErr w:type="spellStart"/>
      <w:r>
        <w:t>BioProject</w:t>
      </w:r>
      <w:proofErr w:type="spellEnd"/>
      <w:r>
        <w:t xml:space="preserve"> PRJNA747875. Available online: https://www.ncbi.nlm.nih.gov/bioproject/PRJNA747875/ (accessed on 1 May 2026).</w:t>
      </w:r>
    </w:p>
    <w:p w14:paraId="615BC129" w14:textId="77777777" w:rsidR="00D35566" w:rsidRDefault="00000000">
      <w:pPr>
        <w:pStyle w:val="ListParagraph"/>
        <w:numPr>
          <w:ilvl w:val="0"/>
          <w:numId w:val="1"/>
        </w:numPr>
        <w:spacing w:line="360" w:lineRule="auto"/>
        <w:ind w:left="360"/>
        <w:jc w:val="both"/>
        <w:rPr>
          <w:rFonts w:ascii="Arial" w:hAnsi="Arial" w:cs="Arial"/>
          <w:sz w:val="22"/>
        </w:rPr>
      </w:pPr>
      <w:r>
        <w:lastRenderedPageBreak/>
        <w:t xml:space="preserve">Liu, H.; Yan, Q.; Jiang, Y.; Shi, F.; Chen, J.; Cai, C.; Ou, L. Identification of </w:t>
      </w:r>
      <w:proofErr w:type="spellStart"/>
      <w:r>
        <w:t>LcCDPKs</w:t>
      </w:r>
      <w:proofErr w:type="spellEnd"/>
      <w:r>
        <w:t xml:space="preserve"> and analysis of their expression patterns in response to downy mildew stresses in lychee. Journal of Fruit Science 2023, 40, 442-456. https://doi.org/10.13925/j.cnki.gsxb.20220307.</w:t>
      </w:r>
    </w:p>
    <w:p w14:paraId="180E24CD" w14:textId="77777777" w:rsidR="00D35566" w:rsidRDefault="00000000">
      <w:pPr>
        <w:pStyle w:val="ListParagraph"/>
        <w:numPr>
          <w:ilvl w:val="0"/>
          <w:numId w:val="1"/>
        </w:numPr>
        <w:spacing w:line="360" w:lineRule="auto"/>
        <w:ind w:left="360"/>
        <w:jc w:val="both"/>
        <w:rPr>
          <w:rFonts w:ascii="Arial" w:hAnsi="Arial" w:cs="Arial"/>
          <w:sz w:val="22"/>
        </w:rPr>
      </w:pPr>
      <w:r>
        <w:t xml:space="preserve">Li, P.; Li, W.; Zhou, X.; Situ, J.; Xie, L.; Xi, P.; Yang, B.; Kong, G.; Jiang, Z. </w:t>
      </w:r>
      <w:proofErr w:type="spellStart"/>
      <w:r>
        <w:t>Peronophythora</w:t>
      </w:r>
      <w:proofErr w:type="spellEnd"/>
      <w:r>
        <w:t xml:space="preserve"> </w:t>
      </w:r>
      <w:proofErr w:type="spellStart"/>
      <w:r>
        <w:t>litchii</w:t>
      </w:r>
      <w:proofErr w:type="spellEnd"/>
      <w:r>
        <w:t xml:space="preserve"> RXLR effector PlAvh202 destabilizes a host ethylene biosynthesis enzyme. Plant Physiology 2023, 193, 756-774. https://doi.org/10.1093/plphys/kiad311.</w:t>
      </w:r>
    </w:p>
    <w:p w14:paraId="71A69D51" w14:textId="77777777" w:rsidR="00D35566" w:rsidRDefault="00000000">
      <w:pPr>
        <w:pStyle w:val="ListParagraph"/>
        <w:numPr>
          <w:ilvl w:val="0"/>
          <w:numId w:val="1"/>
        </w:numPr>
        <w:spacing w:line="360" w:lineRule="auto"/>
        <w:ind w:left="360"/>
        <w:jc w:val="both"/>
        <w:rPr>
          <w:rFonts w:ascii="Arial" w:hAnsi="Arial" w:cs="Arial"/>
          <w:sz w:val="22"/>
        </w:rPr>
      </w:pPr>
      <w:r>
        <w:t xml:space="preserve">Sun, J.; Cao, L.; Li, H.; Wang, G.; Wang, S.; Li, F.; Zou, X.; Wang, J. Early responses given distinct tactics to infection of </w:t>
      </w:r>
      <w:proofErr w:type="spellStart"/>
      <w:r>
        <w:t>Peronophythora</w:t>
      </w:r>
      <w:proofErr w:type="spellEnd"/>
      <w:r>
        <w:t xml:space="preserve"> </w:t>
      </w:r>
      <w:proofErr w:type="spellStart"/>
      <w:r>
        <w:t>litchii</w:t>
      </w:r>
      <w:proofErr w:type="spellEnd"/>
      <w:r>
        <w:t xml:space="preserve"> in susceptible and resistant litchi cultivar. Scientific Reports 2019, 9, 2810. https://doi.org/10.1038/s41598-019-39100-w.</w:t>
      </w:r>
    </w:p>
    <w:p w14:paraId="1FEE2C41" w14:textId="77777777" w:rsidR="00D35566" w:rsidRDefault="00000000">
      <w:pPr>
        <w:pStyle w:val="ListParagraph"/>
        <w:numPr>
          <w:ilvl w:val="0"/>
          <w:numId w:val="1"/>
        </w:numPr>
        <w:spacing w:line="360" w:lineRule="auto"/>
        <w:ind w:left="360"/>
        <w:jc w:val="both"/>
        <w:rPr>
          <w:rFonts w:ascii="Arial" w:hAnsi="Arial" w:cs="Arial"/>
          <w:sz w:val="22"/>
        </w:rPr>
      </w:pPr>
      <w:r>
        <w:t>National Center for Biotechnology Information. GEO Accession GSE201243. Available online: https://www.ncbi.nlm.nih.gov/geo/query/acc.cgi?acc=GSE201243 (accessed on 1 May 2026).</w:t>
      </w:r>
    </w:p>
    <w:p w14:paraId="0F248ECF" w14:textId="77777777" w:rsidR="00D35566" w:rsidRDefault="00000000">
      <w:pPr>
        <w:pStyle w:val="ListParagraph"/>
        <w:numPr>
          <w:ilvl w:val="0"/>
          <w:numId w:val="1"/>
        </w:numPr>
        <w:spacing w:line="360" w:lineRule="auto"/>
        <w:ind w:left="360"/>
        <w:jc w:val="both"/>
        <w:rPr>
          <w:rFonts w:ascii="Arial" w:hAnsi="Arial" w:cs="Arial"/>
          <w:sz w:val="22"/>
        </w:rPr>
      </w:pPr>
      <w:r>
        <w:t xml:space="preserve">Naithani, S.; Gupta, P.; Preece, J.; </w:t>
      </w:r>
      <w:proofErr w:type="spellStart"/>
      <w:r>
        <w:t>D'Eustachio</w:t>
      </w:r>
      <w:proofErr w:type="spellEnd"/>
      <w:r>
        <w:t xml:space="preserve">, P.; Elser, J.; Garg, P.; Monaco, M.K.; </w:t>
      </w:r>
      <w:proofErr w:type="spellStart"/>
      <w:r>
        <w:t>Fabregat</w:t>
      </w:r>
      <w:proofErr w:type="spellEnd"/>
      <w:r>
        <w:t xml:space="preserve">, A.; Jaiswal, P. Plant </w:t>
      </w:r>
      <w:proofErr w:type="spellStart"/>
      <w:r>
        <w:t>Reactome</w:t>
      </w:r>
      <w:proofErr w:type="spellEnd"/>
      <w:r>
        <w:t xml:space="preserve"> Knowledgebase: empowering plant pathway exploration and OMICS data analysis. Nucleic Acids Research 2024, 52, D1538-D1547. https://doi.org/10.1093/nar/gkad1052.</w:t>
      </w:r>
    </w:p>
    <w:p w14:paraId="088762D6" w14:textId="77777777" w:rsidR="00D35566" w:rsidRDefault="00000000">
      <w:pPr>
        <w:pStyle w:val="ListParagraph"/>
        <w:numPr>
          <w:ilvl w:val="0"/>
          <w:numId w:val="1"/>
        </w:numPr>
        <w:spacing w:line="360" w:lineRule="auto"/>
        <w:ind w:left="360"/>
        <w:jc w:val="both"/>
        <w:rPr>
          <w:rFonts w:ascii="Arial" w:hAnsi="Arial" w:cs="Arial"/>
          <w:sz w:val="22"/>
        </w:rPr>
      </w:pPr>
      <w:proofErr w:type="spellStart"/>
      <w:r>
        <w:t>Marand</w:t>
      </w:r>
      <w:proofErr w:type="spellEnd"/>
      <w:r>
        <w:t>, A.P.; Eveland, A.L.; Kaufmann, K.; Springer, N.M. cis-Regulatory Elements in Plant Development, Adaptation, and Evolution. Annual Review of Plant Biology 2023, 74, 111-137. https://doi.org/10.1146/annurev-arplant-070122-030236.</w:t>
      </w:r>
    </w:p>
    <w:p w14:paraId="4CE751BB" w14:textId="77777777" w:rsidR="00D35566" w:rsidRDefault="00000000">
      <w:pPr>
        <w:pStyle w:val="ListParagraph"/>
        <w:numPr>
          <w:ilvl w:val="0"/>
          <w:numId w:val="1"/>
        </w:numPr>
        <w:spacing w:line="360" w:lineRule="auto"/>
        <w:ind w:left="360"/>
        <w:jc w:val="both"/>
        <w:rPr>
          <w:rFonts w:ascii="Arial" w:hAnsi="Arial" w:cs="Arial"/>
          <w:sz w:val="22"/>
        </w:rPr>
      </w:pPr>
      <w:r>
        <w:t>Esch, L.; Schaffrath, U. An update on jacalin-like lectins and their role in plant defense. International Journal of Molecular Sciences 2017, 18, 1592. https://doi.org/10.3390/ijms18071592.</w:t>
      </w:r>
    </w:p>
    <w:p w14:paraId="6137504B" w14:textId="77777777" w:rsidR="00D35566" w:rsidRDefault="00000000">
      <w:pPr>
        <w:pStyle w:val="ListParagraph"/>
        <w:numPr>
          <w:ilvl w:val="0"/>
          <w:numId w:val="1"/>
        </w:numPr>
        <w:spacing w:line="360" w:lineRule="auto"/>
        <w:ind w:left="360"/>
        <w:jc w:val="both"/>
        <w:rPr>
          <w:rFonts w:ascii="Arial" w:hAnsi="Arial" w:cs="Arial"/>
          <w:sz w:val="22"/>
        </w:rPr>
      </w:pPr>
      <w:r>
        <w:t xml:space="preserve">Berka, M.; Kopecka, R.; </w:t>
      </w:r>
      <w:proofErr w:type="spellStart"/>
      <w:r>
        <w:t>Berkova</w:t>
      </w:r>
      <w:proofErr w:type="spellEnd"/>
      <w:r>
        <w:t xml:space="preserve">, V.; </w:t>
      </w:r>
      <w:proofErr w:type="spellStart"/>
      <w:r>
        <w:t>Brzobohaty</w:t>
      </w:r>
      <w:proofErr w:type="spellEnd"/>
      <w:r>
        <w:t>, B.; Cerny, M. Regulation of heat shock proteins 70 and their role in plant immunity. Journal of Experimental Botany 2022, 73, 1894-1909. https://doi.org/10.1093/jxb/erab549.</w:t>
      </w:r>
    </w:p>
    <w:p w14:paraId="22103386" w14:textId="77777777" w:rsidR="00D35566" w:rsidRDefault="00000000">
      <w:pPr>
        <w:pStyle w:val="ListParagraph"/>
        <w:numPr>
          <w:ilvl w:val="0"/>
          <w:numId w:val="1"/>
        </w:numPr>
        <w:spacing w:line="360" w:lineRule="auto"/>
        <w:ind w:left="360"/>
        <w:jc w:val="both"/>
        <w:rPr>
          <w:rFonts w:ascii="Arial" w:hAnsi="Arial" w:cs="Arial"/>
          <w:sz w:val="22"/>
        </w:rPr>
      </w:pPr>
      <w:r>
        <w:t>Qin, Y.; Wang, M.C.; Tian, Y.C.; He, W.X.; Han, L.; Xia, G.M. Characterization of a novel cyclase-like gene family involved in controlling stress tolerance in rice. Plant Physiology 2015, 168, 30-41.</w:t>
      </w:r>
    </w:p>
    <w:p w14:paraId="62957332" w14:textId="77777777" w:rsidR="00D35566" w:rsidRDefault="00000000">
      <w:pPr>
        <w:pStyle w:val="ListParagraph"/>
        <w:numPr>
          <w:ilvl w:val="0"/>
          <w:numId w:val="1"/>
        </w:numPr>
        <w:spacing w:line="360" w:lineRule="auto"/>
        <w:ind w:left="360"/>
        <w:jc w:val="both"/>
        <w:rPr>
          <w:rFonts w:ascii="Arial" w:hAnsi="Arial" w:cs="Arial"/>
          <w:sz w:val="22"/>
        </w:rPr>
      </w:pPr>
      <w:r>
        <w:t xml:space="preserve">Edens, L.; Heslinga, L.; Klok, R.; Ledeboer, A.M.; Maat, J.; Toonen, M.Y.; Visser, C.; </w:t>
      </w:r>
      <w:proofErr w:type="spellStart"/>
      <w:r>
        <w:t>Verrips</w:t>
      </w:r>
      <w:proofErr w:type="spellEnd"/>
      <w:r>
        <w:t>, C.T. Cloning of cDNA encoding the sweet-tasting plant protein thaumatin and its expression in Escherichia coli. Gene 1982, 18, 1-12.</w:t>
      </w:r>
    </w:p>
    <w:p w14:paraId="1A712500" w14:textId="77777777" w:rsidR="00D35566" w:rsidRDefault="00000000">
      <w:pPr>
        <w:pStyle w:val="ListParagraph"/>
        <w:numPr>
          <w:ilvl w:val="0"/>
          <w:numId w:val="1"/>
        </w:numPr>
        <w:spacing w:line="360" w:lineRule="auto"/>
        <w:ind w:left="360"/>
        <w:jc w:val="both"/>
        <w:rPr>
          <w:rFonts w:ascii="Arial" w:hAnsi="Arial" w:cs="Arial"/>
          <w:sz w:val="22"/>
        </w:rPr>
      </w:pPr>
      <w:r>
        <w:lastRenderedPageBreak/>
        <w:t xml:space="preserve">Min, K.; Ha, S.C.; Hasegawa, P.M.; Bressan, R.A.; Yun, D.J.; Kim, K.K. Crystal structure of </w:t>
      </w:r>
      <w:proofErr w:type="spellStart"/>
      <w:r>
        <w:t>osmotin</w:t>
      </w:r>
      <w:proofErr w:type="spellEnd"/>
      <w:r>
        <w:t>, a plant antifungal protein. Proteins 2004, 54, 170-173. https://doi.org/10.1002/prot.10571.</w:t>
      </w:r>
    </w:p>
    <w:p w14:paraId="01A530B1" w14:textId="77777777" w:rsidR="00D35566" w:rsidRDefault="00000000">
      <w:pPr>
        <w:pStyle w:val="ListParagraph"/>
        <w:numPr>
          <w:ilvl w:val="0"/>
          <w:numId w:val="1"/>
        </w:numPr>
        <w:spacing w:line="360" w:lineRule="auto"/>
        <w:ind w:left="360"/>
        <w:jc w:val="both"/>
        <w:rPr>
          <w:rFonts w:ascii="Arial" w:hAnsi="Arial" w:cs="Arial"/>
          <w:sz w:val="22"/>
        </w:rPr>
      </w:pPr>
      <w:r>
        <w:t>Van Loon, L.C.; Rep, M.; Pieterse, C.M.J. Significance of inducible defense-related proteins in infected plants. Annual Review of Phytopathology 2006, 44, 135-162. https://doi.org/10.1146/annurev.phyto.44.070505.143425.</w:t>
      </w:r>
    </w:p>
    <w:p w14:paraId="3949B8EA" w14:textId="77777777" w:rsidR="00D35566" w:rsidRDefault="00000000">
      <w:pPr>
        <w:pStyle w:val="ListParagraph"/>
        <w:numPr>
          <w:ilvl w:val="0"/>
          <w:numId w:val="1"/>
        </w:numPr>
        <w:spacing w:line="360" w:lineRule="auto"/>
        <w:ind w:left="360"/>
        <w:jc w:val="both"/>
        <w:rPr>
          <w:rFonts w:ascii="Arial" w:hAnsi="Arial" w:cs="Arial"/>
          <w:sz w:val="22"/>
        </w:rPr>
      </w:pPr>
      <w:r>
        <w:t xml:space="preserve">Hattori, T.; Totsuka, M.; Hobo, T.; </w:t>
      </w:r>
      <w:proofErr w:type="spellStart"/>
      <w:r>
        <w:t>Kagaya</w:t>
      </w:r>
      <w:proofErr w:type="spellEnd"/>
      <w:r>
        <w:t>, Y.; Yamamoto-Toyoda, A. Experimentally determined sequence requirement of ACGT-containing abscisic acid response element. Plant and Cell Physiology 2002, 43, 136-140.</w:t>
      </w:r>
    </w:p>
    <w:p w14:paraId="5C47AED7" w14:textId="77777777" w:rsidR="00D35566" w:rsidRDefault="00000000">
      <w:pPr>
        <w:pStyle w:val="ListParagraph"/>
        <w:numPr>
          <w:ilvl w:val="0"/>
          <w:numId w:val="1"/>
        </w:numPr>
        <w:spacing w:line="360" w:lineRule="auto"/>
        <w:ind w:left="360"/>
        <w:jc w:val="both"/>
        <w:rPr>
          <w:rFonts w:ascii="Arial" w:hAnsi="Arial" w:cs="Arial"/>
          <w:sz w:val="22"/>
        </w:rPr>
      </w:pPr>
      <w:r>
        <w:t>Fujita, Y.; Fujita, M.; Shinozaki, K.; Yamaguchi-Shinozaki, K. ABA-mediated transcriptional regulation in response to osmotic stress in plants. Journal of Plant Research 2011, 124, 509-525. https://doi.org/10.1007/s10265-011-0412-3.</w:t>
      </w:r>
    </w:p>
    <w:p w14:paraId="450B5E7F" w14:textId="77777777" w:rsidR="00D35566" w:rsidRDefault="00000000">
      <w:pPr>
        <w:pStyle w:val="ListParagraph"/>
        <w:numPr>
          <w:ilvl w:val="0"/>
          <w:numId w:val="1"/>
        </w:numPr>
        <w:spacing w:line="360" w:lineRule="auto"/>
        <w:ind w:left="360"/>
        <w:jc w:val="both"/>
        <w:rPr>
          <w:rFonts w:ascii="Arial" w:hAnsi="Arial" w:cs="Arial"/>
          <w:sz w:val="22"/>
        </w:rPr>
      </w:pPr>
      <w:r>
        <w:t>Ingram, J.; Bartels, D. The molecular basis of dehydration tolerance in plants. Annual Review of Plant Physiology and Plant Molecular Biology 1996, 47, 377-403. https://doi.org/10.1146/annurev.arplant.47.1.377.</w:t>
      </w:r>
    </w:p>
    <w:p w14:paraId="603519A8" w14:textId="77777777" w:rsidR="00D35566" w:rsidRDefault="00000000">
      <w:pPr>
        <w:pStyle w:val="ListParagraph"/>
        <w:numPr>
          <w:ilvl w:val="0"/>
          <w:numId w:val="1"/>
        </w:numPr>
        <w:spacing w:line="360" w:lineRule="auto"/>
        <w:ind w:left="360"/>
        <w:jc w:val="both"/>
        <w:rPr>
          <w:rFonts w:ascii="Arial" w:hAnsi="Arial" w:cs="Arial"/>
          <w:sz w:val="22"/>
        </w:rPr>
      </w:pPr>
      <w:r>
        <w:t>Seki, H.; et al. Combined effects of multiple cis-acting elements in elicitor-mediated activation of PSCHS1 gene. Plant and Cell Physiology 1997, 38, 96-100.</w:t>
      </w:r>
    </w:p>
    <w:p w14:paraId="702634F8" w14:textId="77777777" w:rsidR="00D35566" w:rsidRDefault="00000000">
      <w:pPr>
        <w:pStyle w:val="ListParagraph"/>
        <w:numPr>
          <w:ilvl w:val="0"/>
          <w:numId w:val="1"/>
        </w:numPr>
        <w:spacing w:line="360" w:lineRule="auto"/>
        <w:ind w:left="360"/>
        <w:jc w:val="both"/>
        <w:rPr>
          <w:rFonts w:ascii="Arial" w:hAnsi="Arial" w:cs="Arial"/>
          <w:sz w:val="22"/>
        </w:rPr>
      </w:pPr>
      <w:r>
        <w:t xml:space="preserve">Zhang, Y.; et al. Maize </w:t>
      </w:r>
      <w:proofErr w:type="spellStart"/>
      <w:r>
        <w:t>MeJA</w:t>
      </w:r>
      <w:proofErr w:type="spellEnd"/>
      <w:r>
        <w:t>-responsive proteins identified by high-resolution 2-DE PAGE. Data in Brief 2015, 5, 129-133.</w:t>
      </w:r>
    </w:p>
    <w:p w14:paraId="04CB005D" w14:textId="77777777" w:rsidR="00D35566" w:rsidRDefault="00000000">
      <w:pPr>
        <w:pStyle w:val="ListParagraph"/>
        <w:numPr>
          <w:ilvl w:val="0"/>
          <w:numId w:val="1"/>
        </w:numPr>
        <w:spacing w:line="360" w:lineRule="auto"/>
        <w:ind w:left="360"/>
        <w:jc w:val="both"/>
        <w:rPr>
          <w:rFonts w:ascii="Arial" w:hAnsi="Arial" w:cs="Arial"/>
          <w:sz w:val="22"/>
        </w:rPr>
      </w:pPr>
      <w:r>
        <w:t xml:space="preserve">Banerjee, J.; Sahoo, D.K.; Dey, N.; Houtz, R.L.; Maiti, I.B. An intergenic region shared by At4g35985 and At4g35987 in Arabidopsis thaliana is a tissue-specific and stress-inducible bidirectional promoter analyzed in transgenic Arabidopsis and tobacco plants. </w:t>
      </w:r>
      <w:proofErr w:type="spellStart"/>
      <w:r>
        <w:t>PLoS</w:t>
      </w:r>
      <w:proofErr w:type="spellEnd"/>
      <w:r>
        <w:t xml:space="preserve"> ONE 2013, 8, e79622. https://doi.org/10.1371/journal.pone.0079622.</w:t>
      </w:r>
    </w:p>
    <w:p w14:paraId="7AD9A368" w14:textId="77777777" w:rsidR="00D35566" w:rsidRDefault="00000000">
      <w:pPr>
        <w:pStyle w:val="ListParagraph"/>
        <w:numPr>
          <w:ilvl w:val="0"/>
          <w:numId w:val="1"/>
        </w:numPr>
        <w:spacing w:line="360" w:lineRule="auto"/>
        <w:ind w:left="360"/>
        <w:jc w:val="both"/>
        <w:rPr>
          <w:rFonts w:ascii="Arial" w:hAnsi="Arial" w:cs="Arial"/>
          <w:sz w:val="22"/>
        </w:rPr>
      </w:pPr>
      <w:r>
        <w:t xml:space="preserve">Qian, Y.; et al. Genome-wide identification, classification and expression analysis of the </w:t>
      </w:r>
      <w:proofErr w:type="spellStart"/>
      <w:r>
        <w:t>JmjC</w:t>
      </w:r>
      <w:proofErr w:type="spellEnd"/>
      <w:r>
        <w:t xml:space="preserve"> domain-containing histone demethylase gene family in maize. BMC Genomics 2019, 20, 256.</w:t>
      </w:r>
    </w:p>
    <w:p w14:paraId="0A5ED2C2" w14:textId="77777777" w:rsidR="00D35566" w:rsidRDefault="00000000">
      <w:pPr>
        <w:pStyle w:val="ListParagraph"/>
        <w:numPr>
          <w:ilvl w:val="0"/>
          <w:numId w:val="1"/>
        </w:numPr>
        <w:spacing w:line="360" w:lineRule="auto"/>
        <w:ind w:left="360"/>
        <w:jc w:val="both"/>
        <w:rPr>
          <w:rFonts w:ascii="Arial" w:hAnsi="Arial" w:cs="Arial"/>
          <w:sz w:val="22"/>
        </w:rPr>
      </w:pPr>
      <w:r>
        <w:t>Genome Warehouse. Litchi chinensis SCAU_Lch_v2.0 assembly record (GCA_019925255.1). National Genomics Data Center, China National Center for Bioinformation. Available online: https://ngdc.cncb.ac.cn/gwh/ (accessed on 1 May 2026).</w:t>
      </w:r>
    </w:p>
    <w:p w14:paraId="72C80742" w14:textId="77777777" w:rsidR="00D35566" w:rsidRDefault="00000000">
      <w:pPr>
        <w:pStyle w:val="ListParagraph"/>
        <w:numPr>
          <w:ilvl w:val="0"/>
          <w:numId w:val="1"/>
        </w:numPr>
        <w:spacing w:line="360" w:lineRule="auto"/>
        <w:ind w:left="360"/>
        <w:jc w:val="both"/>
        <w:rPr>
          <w:rFonts w:ascii="Arial" w:hAnsi="Arial" w:cs="Arial"/>
          <w:sz w:val="22"/>
        </w:rPr>
      </w:pPr>
      <w:r>
        <w:t>Andrews, S. FastQC: A Quality Control Tool for High Throughput Sequence Data. Babraham Bioinformatics, Cambridge, UK, 2010.</w:t>
      </w:r>
    </w:p>
    <w:p w14:paraId="7ECB6450" w14:textId="77777777" w:rsidR="00D35566" w:rsidRDefault="00000000">
      <w:pPr>
        <w:pStyle w:val="ListParagraph"/>
        <w:numPr>
          <w:ilvl w:val="0"/>
          <w:numId w:val="1"/>
        </w:numPr>
        <w:spacing w:line="360" w:lineRule="auto"/>
        <w:ind w:left="360"/>
        <w:jc w:val="both"/>
        <w:rPr>
          <w:rFonts w:ascii="Arial" w:hAnsi="Arial" w:cs="Arial"/>
          <w:sz w:val="22"/>
        </w:rPr>
      </w:pPr>
      <w:r>
        <w:lastRenderedPageBreak/>
        <w:t xml:space="preserve">Bolger, A.M.; Lohse, M.; </w:t>
      </w:r>
      <w:proofErr w:type="spellStart"/>
      <w:r>
        <w:t>Usadel</w:t>
      </w:r>
      <w:proofErr w:type="spellEnd"/>
      <w:r>
        <w:t xml:space="preserve">, B. </w:t>
      </w:r>
      <w:proofErr w:type="spellStart"/>
      <w:r>
        <w:t>Trimmomatic</w:t>
      </w:r>
      <w:proofErr w:type="spellEnd"/>
      <w:r>
        <w:t>: A flexible trimmer for Illumina sequence data. Bioinformatics 2014, 30, 2114-2120. https://doi.org/10.1093/bioinformatics/btu170.</w:t>
      </w:r>
    </w:p>
    <w:p w14:paraId="5BD43C22" w14:textId="77777777" w:rsidR="00D35566" w:rsidRDefault="00000000">
      <w:pPr>
        <w:pStyle w:val="ListParagraph"/>
        <w:numPr>
          <w:ilvl w:val="0"/>
          <w:numId w:val="1"/>
        </w:numPr>
        <w:spacing w:line="360" w:lineRule="auto"/>
        <w:ind w:left="360"/>
        <w:jc w:val="both"/>
        <w:rPr>
          <w:rFonts w:ascii="Arial" w:hAnsi="Arial" w:cs="Arial"/>
          <w:sz w:val="22"/>
        </w:rPr>
      </w:pPr>
      <w:r>
        <w:t>Kim, D.; Pertea, G.; Trapnell, C.; Pimentel, H.; Kelley, R.; Salzberg, S.L. TopHat2: Accurate alignment of transcriptomes in the presence of insertions, deletions and gene fusions. Genome Biology 2013, 14, R36. https://doi.org/10.1186/gb-2013-14-4-r36.</w:t>
      </w:r>
    </w:p>
    <w:p w14:paraId="7813D3EB" w14:textId="77777777" w:rsidR="00D35566" w:rsidRDefault="00000000">
      <w:pPr>
        <w:pStyle w:val="ListParagraph"/>
        <w:numPr>
          <w:ilvl w:val="0"/>
          <w:numId w:val="1"/>
        </w:numPr>
        <w:spacing w:line="360" w:lineRule="auto"/>
        <w:ind w:left="360"/>
        <w:jc w:val="both"/>
        <w:rPr>
          <w:rFonts w:ascii="Arial" w:hAnsi="Arial" w:cs="Arial"/>
          <w:sz w:val="22"/>
        </w:rPr>
      </w:pPr>
      <w:r>
        <w:t xml:space="preserve">Anders, S.; </w:t>
      </w:r>
      <w:proofErr w:type="spellStart"/>
      <w:r>
        <w:t>Pyl</w:t>
      </w:r>
      <w:proofErr w:type="spellEnd"/>
      <w:r>
        <w:t xml:space="preserve">, P.T.; Huber, W. </w:t>
      </w:r>
      <w:proofErr w:type="spellStart"/>
      <w:r>
        <w:t>HTSeq</w:t>
      </w:r>
      <w:proofErr w:type="spellEnd"/>
      <w:r>
        <w:t>--a Python framework to work with high-throughput sequencing data. Bioinformatics 2015, 31, 166-169. https://doi.org/10.1093/bioinformatics/btu638.</w:t>
      </w:r>
    </w:p>
    <w:p w14:paraId="2BB5C9F8" w14:textId="77777777" w:rsidR="00D35566" w:rsidRDefault="00000000">
      <w:pPr>
        <w:pStyle w:val="ListParagraph"/>
        <w:numPr>
          <w:ilvl w:val="0"/>
          <w:numId w:val="1"/>
        </w:numPr>
        <w:spacing w:line="360" w:lineRule="auto"/>
        <w:ind w:left="360"/>
        <w:jc w:val="both"/>
        <w:rPr>
          <w:rFonts w:ascii="Arial" w:hAnsi="Arial" w:cs="Arial"/>
          <w:sz w:val="22"/>
        </w:rPr>
      </w:pPr>
      <w:r>
        <w:t>Love, M.I.; Huber, W.; Anders, S. Moderated estimation of fold change and dispersion for RNA-seq data with DESeq2. Genome Biology 2014, 15, 550. https://doi.org/10.1186/s13059-014-0550-8.</w:t>
      </w:r>
    </w:p>
    <w:p w14:paraId="781202A3" w14:textId="77777777" w:rsidR="00D35566" w:rsidRDefault="00000000">
      <w:pPr>
        <w:pStyle w:val="ListParagraph"/>
        <w:numPr>
          <w:ilvl w:val="0"/>
          <w:numId w:val="1"/>
        </w:numPr>
        <w:spacing w:line="360" w:lineRule="auto"/>
        <w:ind w:left="360"/>
        <w:jc w:val="both"/>
        <w:rPr>
          <w:rFonts w:ascii="Arial" w:hAnsi="Arial" w:cs="Arial"/>
          <w:sz w:val="22"/>
        </w:rPr>
      </w:pPr>
      <w:proofErr w:type="spellStart"/>
      <w:r>
        <w:t>Buchfink</w:t>
      </w:r>
      <w:proofErr w:type="spellEnd"/>
      <w:r>
        <w:t>, B.; Xie, C.; Huson, D.H. Fast and sensitive protein alignment using DIAMOND. Nature Methods 2015, 12, 59-60. https://doi.org/10.1038/nmeth.3176.</w:t>
      </w:r>
    </w:p>
    <w:p w14:paraId="65FC155C" w14:textId="77777777" w:rsidR="00D35566" w:rsidRDefault="00000000">
      <w:pPr>
        <w:pStyle w:val="ListParagraph"/>
        <w:numPr>
          <w:ilvl w:val="0"/>
          <w:numId w:val="1"/>
        </w:numPr>
        <w:spacing w:line="360" w:lineRule="auto"/>
        <w:ind w:left="360"/>
        <w:jc w:val="both"/>
        <w:rPr>
          <w:rFonts w:ascii="Arial" w:hAnsi="Arial" w:cs="Arial"/>
          <w:sz w:val="22"/>
        </w:rPr>
      </w:pPr>
      <w:r>
        <w:t xml:space="preserve">Jones, P.; Binns, D.; Chang, H.Y.; Fraser, M.; Li, W.; </w:t>
      </w:r>
      <w:proofErr w:type="spellStart"/>
      <w:r>
        <w:t>McAnulla</w:t>
      </w:r>
      <w:proofErr w:type="spellEnd"/>
      <w:r>
        <w:t xml:space="preserve">, C.; McWilliam, H.; Maslen, J.; Mitchell, A.; Nuka, G.; et al. </w:t>
      </w:r>
      <w:proofErr w:type="spellStart"/>
      <w:r>
        <w:t>InterProScan</w:t>
      </w:r>
      <w:proofErr w:type="spellEnd"/>
      <w:r>
        <w:t xml:space="preserve"> 5: genome-scale protein function classification. Bioinformatics 2014, 30, 1236-1240. https://doi.org/10.1093/bioinformatics/btu031.</w:t>
      </w:r>
    </w:p>
    <w:p w14:paraId="12CC44B7" w14:textId="77777777" w:rsidR="00D35566" w:rsidRDefault="00000000">
      <w:pPr>
        <w:pStyle w:val="ListParagraph"/>
        <w:numPr>
          <w:ilvl w:val="0"/>
          <w:numId w:val="1"/>
        </w:numPr>
        <w:spacing w:line="360" w:lineRule="auto"/>
        <w:ind w:left="360"/>
        <w:jc w:val="both"/>
        <w:rPr>
          <w:rFonts w:ascii="Arial" w:hAnsi="Arial" w:cs="Arial"/>
          <w:sz w:val="22"/>
        </w:rPr>
      </w:pPr>
      <w:r>
        <w:t xml:space="preserve">Chen, C.; Chen, H.; Zhang, Y.; Thomas, H.R.; Frank, M.H.; He, Y.; Xia, R. </w:t>
      </w:r>
      <w:proofErr w:type="spellStart"/>
      <w:r>
        <w:t>TBtools</w:t>
      </w:r>
      <w:proofErr w:type="spellEnd"/>
      <w:r>
        <w:t>: An integrative toolkit developed for interactive analyses of big biological data. Molecular Plant 2020, 13, 1194-1202. https://doi.org/10.1016/j.molp.2020.06.009.</w:t>
      </w:r>
    </w:p>
    <w:p w14:paraId="4174CF3C" w14:textId="77777777" w:rsidR="00D35566" w:rsidRDefault="00000000">
      <w:pPr>
        <w:pStyle w:val="ListParagraph"/>
        <w:numPr>
          <w:ilvl w:val="0"/>
          <w:numId w:val="1"/>
        </w:numPr>
        <w:spacing w:line="360" w:lineRule="auto"/>
        <w:ind w:left="360"/>
        <w:jc w:val="both"/>
        <w:rPr>
          <w:rFonts w:ascii="Arial" w:hAnsi="Arial" w:cs="Arial"/>
          <w:sz w:val="22"/>
        </w:rPr>
      </w:pPr>
      <w:r>
        <w:t>Bailey, T.L.; Elkan, C. Fitting a mixture model by expectation maximization to discover motifs in biopolymers. In Proceedings of the Second International Conference on Intelligent Systems for Molecular Biology, Stanford, CA, USA, 14-17 August 1994; AAAI Press: Menlo Park, CA, USA, 1994; pp. 28-36.</w:t>
      </w:r>
    </w:p>
    <w:p w14:paraId="393F17D3" w14:textId="77777777" w:rsidR="00D35566" w:rsidRDefault="00000000">
      <w:pPr>
        <w:pStyle w:val="ListParagraph"/>
        <w:numPr>
          <w:ilvl w:val="0"/>
          <w:numId w:val="1"/>
        </w:numPr>
        <w:spacing w:line="360" w:lineRule="auto"/>
        <w:ind w:left="360"/>
        <w:jc w:val="both"/>
        <w:rPr>
          <w:rFonts w:ascii="Arial" w:hAnsi="Arial" w:cs="Arial"/>
          <w:sz w:val="22"/>
        </w:rPr>
      </w:pPr>
      <w:r>
        <w:t xml:space="preserve">Lescot, M.; </w:t>
      </w:r>
      <w:proofErr w:type="spellStart"/>
      <w:r>
        <w:t>Dehais</w:t>
      </w:r>
      <w:proofErr w:type="spellEnd"/>
      <w:r>
        <w:t xml:space="preserve">, P.; Thijs, G.; Marchal, K.; Moreau, Y.; Van de Peer, Y.; Rouze, P.; </w:t>
      </w:r>
      <w:proofErr w:type="spellStart"/>
      <w:r>
        <w:t>Rombauts</w:t>
      </w:r>
      <w:proofErr w:type="spellEnd"/>
      <w:r>
        <w:t xml:space="preserve">, S. </w:t>
      </w:r>
      <w:proofErr w:type="spellStart"/>
      <w:r>
        <w:t>PlantCARE</w:t>
      </w:r>
      <w:proofErr w:type="spellEnd"/>
      <w:r>
        <w:t>, a database of plant cis-acting regulatory elements and a portal to tools for in silico analysis of promoter sequences. Nucleic Acids Research 2002, 30, 325-327. https://doi.org/10.1093/nar/30.1.325.</w:t>
      </w:r>
    </w:p>
    <w:p w14:paraId="4481CA20" w14:textId="77777777" w:rsidR="00D35566" w:rsidRDefault="00000000">
      <w:pPr>
        <w:pStyle w:val="ListParagraph"/>
        <w:numPr>
          <w:ilvl w:val="0"/>
          <w:numId w:val="1"/>
        </w:numPr>
        <w:spacing w:line="360" w:lineRule="auto"/>
        <w:ind w:left="360"/>
        <w:jc w:val="both"/>
        <w:rPr>
          <w:rFonts w:ascii="Arial" w:hAnsi="Arial" w:cs="Arial"/>
          <w:sz w:val="22"/>
        </w:rPr>
      </w:pPr>
      <w:r>
        <w:t>Wickham, H. ggplot2: Elegant Graphics for Data Analysis; Springer-Verlag: New York, NY, USA, 2016.</w:t>
      </w:r>
    </w:p>
    <w:sectPr w:rsidR="00D35566">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lnNumType w:countBy="1" w:distance="283" w:restart="continuou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370C" w14:textId="77777777" w:rsidR="005E206D" w:rsidRDefault="005E206D">
      <w:r>
        <w:separator/>
      </w:r>
    </w:p>
  </w:endnote>
  <w:endnote w:type="continuationSeparator" w:id="0">
    <w:p w14:paraId="23B58980" w14:textId="77777777" w:rsidR="005E206D" w:rsidRDefault="005E2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Noto Sans SC">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18CC" w14:textId="77777777" w:rsidR="00D35566" w:rsidRDefault="00D355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122361"/>
      <w:docPartObj>
        <w:docPartGallery w:val="Page Numbers (Bottom of Page)"/>
        <w:docPartUnique/>
      </w:docPartObj>
    </w:sdtPr>
    <w:sdtContent>
      <w:p w14:paraId="0E6A9E00" w14:textId="77777777" w:rsidR="00D35566" w:rsidRDefault="00000000">
        <w:pPr>
          <w:pStyle w:val="Footer"/>
          <w:jc w:val="right"/>
        </w:pPr>
        <w:r>
          <w:fldChar w:fldCharType="begin"/>
        </w:r>
        <w:r>
          <w:instrText xml:space="preserve"> PAGE </w:instrText>
        </w:r>
        <w:r>
          <w:fldChar w:fldCharType="separate"/>
        </w:r>
        <w:r>
          <w:t>14</w:t>
        </w:r>
        <w:r>
          <w:fldChar w:fldCharType="end"/>
        </w:r>
      </w:p>
    </w:sdtContent>
  </w:sdt>
  <w:p w14:paraId="2B3C2FF5" w14:textId="77777777" w:rsidR="00D35566" w:rsidRDefault="00D35566">
    <w:pPr>
      <w:pStyle w:val="Footer"/>
    </w:pPr>
  </w:p>
  <w:p w14:paraId="3F088832" w14:textId="77777777" w:rsidR="00D35566" w:rsidRDefault="00D3556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861865"/>
      <w:docPartObj>
        <w:docPartGallery w:val="Page Numbers (Bottom of Page)"/>
        <w:docPartUnique/>
      </w:docPartObj>
    </w:sdtPr>
    <w:sdtContent>
      <w:p w14:paraId="6A17D37F" w14:textId="77777777" w:rsidR="00D35566" w:rsidRDefault="00000000">
        <w:pPr>
          <w:pStyle w:val="Footer"/>
          <w:jc w:val="right"/>
        </w:pPr>
        <w:r>
          <w:fldChar w:fldCharType="begin"/>
        </w:r>
        <w:r>
          <w:instrText xml:space="preserve"> PAGE </w:instrText>
        </w:r>
        <w:r>
          <w:fldChar w:fldCharType="separate"/>
        </w:r>
        <w:r>
          <w:t>14</w:t>
        </w:r>
        <w:r>
          <w:fldChar w:fldCharType="end"/>
        </w:r>
      </w:p>
    </w:sdtContent>
  </w:sdt>
  <w:p w14:paraId="2F198F59" w14:textId="77777777" w:rsidR="00D35566" w:rsidRDefault="00D35566">
    <w:pPr>
      <w:pStyle w:val="Footer"/>
    </w:pPr>
  </w:p>
  <w:p w14:paraId="029D0581" w14:textId="77777777" w:rsidR="00D35566" w:rsidRDefault="00D355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F5144" w14:textId="77777777" w:rsidR="005E206D" w:rsidRDefault="005E206D">
      <w:r>
        <w:separator/>
      </w:r>
    </w:p>
  </w:footnote>
  <w:footnote w:type="continuationSeparator" w:id="0">
    <w:p w14:paraId="79EA1705" w14:textId="77777777" w:rsidR="005E206D" w:rsidRDefault="005E2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2DD3" w14:textId="77777777" w:rsidR="00D35566" w:rsidRDefault="00D355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6DA2" w14:textId="77777777" w:rsidR="00D35566" w:rsidRDefault="00D35566">
    <w:pPr>
      <w:pStyle w:val="Header"/>
    </w:pPr>
  </w:p>
  <w:p w14:paraId="6AB5DDF4" w14:textId="77777777" w:rsidR="00D35566" w:rsidRDefault="00D3556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07D0" w14:textId="77777777" w:rsidR="00D35566" w:rsidRDefault="00D35566">
    <w:pPr>
      <w:pStyle w:val="Header"/>
    </w:pPr>
  </w:p>
  <w:p w14:paraId="3B619400" w14:textId="77777777" w:rsidR="00D35566" w:rsidRDefault="00D355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B7BB4"/>
    <w:multiLevelType w:val="multilevel"/>
    <w:tmpl w:val="147C535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421A317D"/>
    <w:multiLevelType w:val="multilevel"/>
    <w:tmpl w:val="80A6F6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6A91BEC"/>
    <w:multiLevelType w:val="multilevel"/>
    <w:tmpl w:val="D93206C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41124666">
    <w:abstractNumId w:val="2"/>
  </w:num>
  <w:num w:numId="2" w16cid:durableId="1829249273">
    <w:abstractNumId w:val="0"/>
  </w:num>
  <w:num w:numId="3" w16cid:durableId="1597324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C0MAZSBqamxuaGxko6SsGpxcWZ+XkgBYa1AJQGYsosAAAA"/>
  </w:docVars>
  <w:rsids>
    <w:rsidRoot w:val="00D35566"/>
    <w:rsid w:val="002B6C54"/>
    <w:rsid w:val="003C0AD1"/>
    <w:rsid w:val="00527CF6"/>
    <w:rsid w:val="005E206D"/>
    <w:rsid w:val="007C6E5B"/>
    <w:rsid w:val="00CB2DC2"/>
    <w:rsid w:val="00D35566"/>
    <w:rsid w:val="00EA4E90"/>
    <w:rsid w:val="00F711EA"/>
    <w:rsid w:val="00FB6480"/>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59EA0BDE"/>
  <w15:docId w15:val="{4A25EF7A-EF45-C74C-A170-2A27A3E0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sz w:val="24"/>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AF"/>
    <w:rPr>
      <w:rFonts w:eastAsia="Times New Roman" w:cs="Times New Roman"/>
      <w:szCs w:val="24"/>
      <w:lang w:eastAsia="zh-CN"/>
    </w:rPr>
  </w:style>
  <w:style w:type="paragraph" w:styleId="Heading1">
    <w:name w:val="heading 1"/>
    <w:basedOn w:val="Normal"/>
    <w:link w:val="Heading1Char"/>
    <w:uiPriority w:val="9"/>
    <w:qFormat/>
    <w:rsid w:val="00042455"/>
    <w:pPr>
      <w:spacing w:line="360" w:lineRule="auto"/>
      <w:outlineLvl w:val="0"/>
    </w:pPr>
    <w:rPr>
      <w:rFonts w:cs="Arial"/>
      <w:b/>
      <w:bCs/>
      <w:szCs w:val="20"/>
    </w:rPr>
  </w:style>
  <w:style w:type="paragraph" w:styleId="Heading3">
    <w:name w:val="heading 3"/>
    <w:basedOn w:val="Normal"/>
    <w:next w:val="Normal"/>
    <w:link w:val="Heading3Char"/>
    <w:uiPriority w:val="9"/>
    <w:unhideWhenUsed/>
    <w:qFormat/>
    <w:rsid w:val="0069291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DA501B"/>
  </w:style>
  <w:style w:type="character" w:customStyle="1" w:styleId="FooterChar">
    <w:name w:val="Footer Char"/>
    <w:basedOn w:val="DefaultParagraphFont"/>
    <w:link w:val="Footer"/>
    <w:uiPriority w:val="99"/>
    <w:qFormat/>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qFormat/>
    <w:rsid w:val="00A023CD"/>
    <w:rPr>
      <w:color w:val="605E5C"/>
      <w:shd w:val="clear" w:color="auto" w:fill="E1DFDD"/>
    </w:rPr>
  </w:style>
  <w:style w:type="character" w:styleId="CommentReference">
    <w:name w:val="annotation reference"/>
    <w:basedOn w:val="DefaultParagraphFont"/>
    <w:uiPriority w:val="99"/>
    <w:semiHidden/>
    <w:unhideWhenUsed/>
    <w:qFormat/>
    <w:rsid w:val="00EA6D99"/>
    <w:rPr>
      <w:sz w:val="16"/>
      <w:szCs w:val="16"/>
    </w:rPr>
  </w:style>
  <w:style w:type="character" w:customStyle="1" w:styleId="CommentTextChar">
    <w:name w:val="Comment Text Char"/>
    <w:basedOn w:val="DefaultParagraphFont"/>
    <w:link w:val="CommentText"/>
    <w:uiPriority w:val="99"/>
    <w:semiHidden/>
    <w:qFormat/>
    <w:rsid w:val="00EA6D99"/>
    <w:rPr>
      <w:sz w:val="20"/>
      <w:szCs w:val="20"/>
    </w:rPr>
  </w:style>
  <w:style w:type="character" w:customStyle="1" w:styleId="CommentSubjectChar">
    <w:name w:val="Comment Subject Char"/>
    <w:basedOn w:val="CommentTextChar"/>
    <w:link w:val="CommentSubject"/>
    <w:uiPriority w:val="99"/>
    <w:semiHidden/>
    <w:qFormat/>
    <w:rsid w:val="00EA6D99"/>
    <w:rPr>
      <w:b/>
      <w:bCs/>
      <w:sz w:val="20"/>
      <w:szCs w:val="20"/>
    </w:rPr>
  </w:style>
  <w:style w:type="character" w:customStyle="1" w:styleId="BalloonTextChar">
    <w:name w:val="Balloon Text Char"/>
    <w:basedOn w:val="DefaultParagraphFont"/>
    <w:link w:val="BalloonText"/>
    <w:uiPriority w:val="99"/>
    <w:semiHidden/>
    <w:qFormat/>
    <w:rsid w:val="005E725D"/>
    <w:rPr>
      <w:rFonts w:ascii="Tahoma" w:hAnsi="Tahoma" w:cs="Tahoma"/>
      <w:sz w:val="16"/>
      <w:szCs w:val="16"/>
    </w:rPr>
  </w:style>
  <w:style w:type="character" w:styleId="UnresolvedMention">
    <w:name w:val="Unresolved Mention"/>
    <w:basedOn w:val="DefaultParagraphFont"/>
    <w:uiPriority w:val="99"/>
    <w:semiHidden/>
    <w:unhideWhenUsed/>
    <w:qFormat/>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 w:type="character" w:styleId="Emphasis">
    <w:name w:val="Emphasis"/>
    <w:basedOn w:val="DefaultParagraphFont"/>
    <w:uiPriority w:val="20"/>
    <w:qFormat/>
    <w:rsid w:val="00F3717B"/>
    <w:rPr>
      <w:i/>
      <w:iCs/>
    </w:rPr>
  </w:style>
  <w:style w:type="character" w:customStyle="1" w:styleId="meta-item">
    <w:name w:val="meta-item"/>
    <w:basedOn w:val="DefaultParagraphFont"/>
    <w:qFormat/>
    <w:rsid w:val="00586F4E"/>
  </w:style>
  <w:style w:type="character" w:styleId="PlaceholderText">
    <w:name w:val="Placeholder Text"/>
    <w:basedOn w:val="DefaultParagraphFont"/>
    <w:uiPriority w:val="99"/>
    <w:semiHidden/>
    <w:qFormat/>
    <w:rsid w:val="009B40FB"/>
    <w:rPr>
      <w:color w:val="808080"/>
    </w:rPr>
  </w:style>
  <w:style w:type="character" w:customStyle="1" w:styleId="Heading1Char">
    <w:name w:val="Heading 1 Char"/>
    <w:basedOn w:val="DefaultParagraphFont"/>
    <w:link w:val="Heading1"/>
    <w:uiPriority w:val="9"/>
    <w:qFormat/>
    <w:rsid w:val="00042455"/>
    <w:rPr>
      <w:rFonts w:ascii="Arial" w:eastAsia="Times New Roman" w:hAnsi="Arial" w:cs="Arial"/>
      <w:b/>
      <w:bCs/>
      <w:sz w:val="22"/>
      <w:szCs w:val="20"/>
      <w:lang w:eastAsia="zh-CN"/>
    </w:rPr>
  </w:style>
  <w:style w:type="character" w:customStyle="1" w:styleId="highwire-citation-authors">
    <w:name w:val="highwire-citation-authors"/>
    <w:basedOn w:val="DefaultParagraphFont"/>
    <w:qFormat/>
    <w:rsid w:val="00DB3BB1"/>
  </w:style>
  <w:style w:type="character" w:customStyle="1" w:styleId="highwire-citation-author">
    <w:name w:val="highwire-citation-author"/>
    <w:basedOn w:val="DefaultParagraphFont"/>
    <w:qFormat/>
    <w:rsid w:val="00DB3BB1"/>
  </w:style>
  <w:style w:type="character" w:customStyle="1" w:styleId="nlm-given-names">
    <w:name w:val="nlm-given-names"/>
    <w:basedOn w:val="DefaultParagraphFont"/>
    <w:qFormat/>
    <w:rsid w:val="00DB3BB1"/>
  </w:style>
  <w:style w:type="character" w:customStyle="1" w:styleId="nlm-surname">
    <w:name w:val="nlm-surname"/>
    <w:basedOn w:val="DefaultParagraphFont"/>
    <w:qFormat/>
    <w:rsid w:val="00DB3BB1"/>
  </w:style>
  <w:style w:type="character" w:customStyle="1" w:styleId="highwire-cite-metadata-journal">
    <w:name w:val="highwire-cite-metadata-journal"/>
    <w:basedOn w:val="DefaultParagraphFont"/>
    <w:qFormat/>
    <w:rsid w:val="00DB3BB1"/>
  </w:style>
  <w:style w:type="character" w:customStyle="1" w:styleId="highwire-cite-metadata-date">
    <w:name w:val="highwire-cite-metadata-date"/>
    <w:basedOn w:val="DefaultParagraphFont"/>
    <w:qFormat/>
    <w:rsid w:val="00DB3BB1"/>
  </w:style>
  <w:style w:type="character" w:customStyle="1" w:styleId="highwire-cite-metadata-volume">
    <w:name w:val="highwire-cite-metadata-volume"/>
    <w:basedOn w:val="DefaultParagraphFont"/>
    <w:qFormat/>
    <w:rsid w:val="00DB3BB1"/>
  </w:style>
  <w:style w:type="character" w:customStyle="1" w:styleId="highwire-cite-metadata-issue">
    <w:name w:val="highwire-cite-metadata-issue"/>
    <w:basedOn w:val="DefaultParagraphFont"/>
    <w:qFormat/>
    <w:rsid w:val="00DB3BB1"/>
  </w:style>
  <w:style w:type="character" w:customStyle="1" w:styleId="highwire-cite-metadata-pages">
    <w:name w:val="highwire-cite-metadata-pages"/>
    <w:basedOn w:val="DefaultParagraphFont"/>
    <w:qFormat/>
    <w:rsid w:val="00DB3BB1"/>
  </w:style>
  <w:style w:type="character" w:customStyle="1" w:styleId="authors">
    <w:name w:val="authors"/>
    <w:basedOn w:val="DefaultParagraphFont"/>
    <w:qFormat/>
    <w:rsid w:val="007469C4"/>
  </w:style>
  <w:style w:type="character" w:customStyle="1" w:styleId="Title1">
    <w:name w:val="Title1"/>
    <w:basedOn w:val="DefaultParagraphFont"/>
    <w:qFormat/>
    <w:rsid w:val="007469C4"/>
  </w:style>
  <w:style w:type="character" w:customStyle="1" w:styleId="source">
    <w:name w:val="source"/>
    <w:basedOn w:val="DefaultParagraphFont"/>
    <w:qFormat/>
    <w:rsid w:val="007469C4"/>
  </w:style>
  <w:style w:type="character" w:customStyle="1" w:styleId="TitleChar">
    <w:name w:val="Title Char"/>
    <w:basedOn w:val="DefaultParagraphFont"/>
    <w:link w:val="Title"/>
    <w:uiPriority w:val="10"/>
    <w:qFormat/>
    <w:rsid w:val="00042455"/>
    <w:rPr>
      <w:rFonts w:ascii="Arial" w:eastAsia="Times New Roman" w:hAnsi="Arial" w:cs="Arial"/>
      <w:b/>
      <w:bCs/>
      <w:sz w:val="32"/>
      <w:szCs w:val="28"/>
      <w:lang w:eastAsia="zh-CN"/>
    </w:rPr>
  </w:style>
  <w:style w:type="character" w:customStyle="1" w:styleId="Heading3Char">
    <w:name w:val="Heading 3 Char"/>
    <w:basedOn w:val="DefaultParagraphFont"/>
    <w:link w:val="Heading3"/>
    <w:uiPriority w:val="9"/>
    <w:qFormat/>
    <w:rsid w:val="00692914"/>
    <w:rPr>
      <w:rFonts w:asciiTheme="majorHAnsi" w:eastAsiaTheme="majorEastAsia" w:hAnsiTheme="majorHAnsi" w:cstheme="majorBidi"/>
      <w:color w:val="1F3763" w:themeColor="accent1" w:themeShade="7F"/>
      <w:szCs w:val="24"/>
      <w:lang w:eastAsia="zh-CN"/>
    </w:rPr>
  </w:style>
  <w:style w:type="character" w:customStyle="1" w:styleId="reference-accessdate">
    <w:name w:val="reference-accessdate"/>
    <w:basedOn w:val="DefaultParagraphFont"/>
    <w:qFormat/>
    <w:rsid w:val="003160C0"/>
  </w:style>
  <w:style w:type="character" w:customStyle="1" w:styleId="nowrap">
    <w:name w:val="nowrap"/>
    <w:basedOn w:val="DefaultParagraphFont"/>
    <w:qFormat/>
    <w:rsid w:val="003160C0"/>
  </w:style>
  <w:style w:type="character" w:customStyle="1" w:styleId="nova-legacy-c-buttonlabel">
    <w:name w:val="nova-legacy-c-button__label"/>
    <w:basedOn w:val="DefaultParagraphFont"/>
    <w:qFormat/>
    <w:rsid w:val="008330AA"/>
  </w:style>
  <w:style w:type="character" w:customStyle="1" w:styleId="Title2">
    <w:name w:val="Title2"/>
    <w:basedOn w:val="DefaultParagraphFont"/>
    <w:qFormat/>
    <w:rsid w:val="005640AF"/>
  </w:style>
  <w:style w:type="character" w:customStyle="1" w:styleId="journal">
    <w:name w:val="journal"/>
    <w:basedOn w:val="DefaultParagraphFont"/>
    <w:qFormat/>
    <w:rsid w:val="005640AF"/>
  </w:style>
  <w:style w:type="character" w:customStyle="1" w:styleId="volume">
    <w:name w:val="volume"/>
    <w:basedOn w:val="DefaultParagraphFont"/>
    <w:qFormat/>
    <w:rsid w:val="005640AF"/>
  </w:style>
  <w:style w:type="character" w:customStyle="1" w:styleId="pages">
    <w:name w:val="pages"/>
    <w:basedOn w:val="DefaultParagraphFont"/>
    <w:qFormat/>
    <w:rsid w:val="005640AF"/>
  </w:style>
  <w:style w:type="character" w:customStyle="1" w:styleId="year">
    <w:name w:val="year"/>
    <w:basedOn w:val="DefaultParagraphFont"/>
    <w:qFormat/>
    <w:rsid w:val="005640AF"/>
  </w:style>
  <w:style w:type="character" w:customStyle="1" w:styleId="hgkelc">
    <w:name w:val="hgkelc"/>
    <w:basedOn w:val="DefaultParagraphFont"/>
    <w:qFormat/>
    <w:rsid w:val="00E0030B"/>
  </w:style>
  <w:style w:type="paragraph" w:customStyle="1" w:styleId="Heading">
    <w:name w:val="Heading"/>
    <w:basedOn w:val="Normal"/>
    <w:next w:val="BodyText"/>
    <w:qFormat/>
    <w:pPr>
      <w:keepNext/>
      <w:spacing w:before="240" w:after="120"/>
    </w:pPr>
    <w:rPr>
      <w:rFonts w:ascii="Liberation Sans" w:eastAsia="Noto Sans SC"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next w:val="Normal"/>
    <w:uiPriority w:val="35"/>
    <w:unhideWhenUsed/>
    <w:qFormat/>
    <w:rsid w:val="00B51FAD"/>
    <w:pPr>
      <w:spacing w:after="200"/>
    </w:pPr>
    <w:rPr>
      <w:iCs/>
      <w:color w:val="000000" w:themeColor="text1"/>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A501B"/>
    <w:pPr>
      <w:suppressLineNumbers/>
      <w:tabs>
        <w:tab w:val="center" w:pos="4680"/>
        <w:tab w:val="right" w:pos="9360"/>
      </w:tabs>
    </w:pPr>
    <w:rPr>
      <w:rFonts w:eastAsia="SimSun" w:cstheme="minorBidi"/>
      <w:szCs w:val="22"/>
      <w:lang w:eastAsia="en-US"/>
    </w:rPr>
  </w:style>
  <w:style w:type="paragraph" w:styleId="Footer">
    <w:name w:val="footer"/>
    <w:basedOn w:val="Normal"/>
    <w:link w:val="FooterChar"/>
    <w:uiPriority w:val="99"/>
    <w:unhideWhenUsed/>
    <w:rsid w:val="00DA501B"/>
    <w:pPr>
      <w:suppressLineNumbers/>
      <w:tabs>
        <w:tab w:val="center" w:pos="4680"/>
        <w:tab w:val="right" w:pos="9360"/>
      </w:tabs>
    </w:pPr>
    <w:rPr>
      <w:rFonts w:eastAsia="SimSun" w:cstheme="minorBidi"/>
      <w:szCs w:val="22"/>
      <w:lang w:eastAsia="en-US"/>
    </w:rPr>
  </w:style>
  <w:style w:type="paragraph" w:styleId="CommentText">
    <w:name w:val="annotation text"/>
    <w:basedOn w:val="Normal"/>
    <w:link w:val="CommentTextChar"/>
    <w:uiPriority w:val="99"/>
    <w:semiHidden/>
    <w:unhideWhenUsed/>
    <w:rsid w:val="00EA6D99"/>
    <w:rPr>
      <w:rFonts w:eastAsia="SimSun" w:cstheme="minorBidi"/>
      <w:sz w:val="20"/>
      <w:szCs w:val="20"/>
      <w:lang w:eastAsia="en-US"/>
    </w:rPr>
  </w:style>
  <w:style w:type="paragraph" w:styleId="CommentSubject">
    <w:name w:val="annotation subject"/>
    <w:basedOn w:val="CommentText"/>
    <w:next w:val="CommentText"/>
    <w:link w:val="CommentSubjectChar"/>
    <w:uiPriority w:val="99"/>
    <w:semiHidden/>
    <w:unhideWhenUsed/>
    <w:qFormat/>
    <w:rsid w:val="00EA6D99"/>
    <w:rPr>
      <w:b/>
      <w:bCs/>
    </w:rPr>
  </w:style>
  <w:style w:type="paragraph" w:styleId="BalloonText">
    <w:name w:val="Balloon Text"/>
    <w:basedOn w:val="Normal"/>
    <w:link w:val="BalloonTextChar"/>
    <w:uiPriority w:val="99"/>
    <w:semiHidden/>
    <w:unhideWhenUsed/>
    <w:qFormat/>
    <w:rsid w:val="005E725D"/>
    <w:rPr>
      <w:rFonts w:ascii="Tahoma" w:eastAsia="SimSun" w:hAnsi="Tahoma" w:cs="Tahoma"/>
      <w:sz w:val="16"/>
      <w:szCs w:val="16"/>
      <w:lang w:eastAsia="en-US"/>
    </w:rPr>
  </w:style>
  <w:style w:type="paragraph" w:styleId="ListParagraph">
    <w:name w:val="List Paragraph"/>
    <w:basedOn w:val="Normal"/>
    <w:uiPriority w:val="34"/>
    <w:qFormat/>
    <w:rsid w:val="008C5676"/>
    <w:pPr>
      <w:ind w:left="720"/>
      <w:contextualSpacing/>
    </w:pPr>
    <w:rPr>
      <w:rFonts w:eastAsia="SimSun" w:cstheme="minorBidi"/>
      <w:szCs w:val="22"/>
      <w:lang w:eastAsia="en-US"/>
    </w:rPr>
  </w:style>
  <w:style w:type="paragraph" w:styleId="Title">
    <w:name w:val="Title"/>
    <w:basedOn w:val="Normal"/>
    <w:next w:val="Normal"/>
    <w:link w:val="TitleChar"/>
    <w:uiPriority w:val="10"/>
    <w:qFormat/>
    <w:rsid w:val="00042455"/>
    <w:pPr>
      <w:suppressLineNumbers/>
      <w:jc w:val="center"/>
    </w:pPr>
    <w:rPr>
      <w:rFonts w:cs="Arial"/>
      <w:b/>
      <w:bCs/>
      <w:sz w:val="32"/>
      <w:szCs w:val="28"/>
    </w:rPr>
  </w:style>
  <w:style w:type="paragraph" w:customStyle="1" w:styleId="BodyTextIndent1">
    <w:name w:val="Body Text Indent1"/>
    <w:basedOn w:val="Normal"/>
    <w:qFormat/>
    <w:rsid w:val="00FF2A3B"/>
    <w:pPr>
      <w:spacing w:line="360" w:lineRule="auto"/>
      <w:ind w:firstLine="360"/>
      <w:jc w:val="both"/>
    </w:pPr>
    <w:rPr>
      <w:rFonts w:ascii="Arial" w:hAnsi="Arial" w:cs="Arial"/>
      <w:sz w:val="22"/>
      <w:szCs w:val="20"/>
    </w:rPr>
  </w:style>
  <w:style w:type="paragraph" w:styleId="NormalWeb">
    <w:name w:val="Normal (Web)"/>
    <w:basedOn w:val="Normal"/>
    <w:uiPriority w:val="99"/>
    <w:semiHidden/>
    <w:unhideWhenUsed/>
    <w:qFormat/>
    <w:rsid w:val="003160C0"/>
    <w:pPr>
      <w:spacing w:beforeAutospacing="1" w:afterAutospacing="1"/>
    </w:pPr>
  </w:style>
  <w:style w:type="paragraph" w:customStyle="1" w:styleId="nova-legacy-e-listitem">
    <w:name w:val="nova-legacy-e-list__item"/>
    <w:basedOn w:val="Normal"/>
    <w:qFormat/>
    <w:rsid w:val="008330AA"/>
    <w:pPr>
      <w:spacing w:beforeAutospacing="1" w:afterAutospacing="1"/>
    </w:pPr>
  </w:style>
  <w:style w:type="paragraph" w:styleId="TableofFigures">
    <w:name w:val="table of figures"/>
    <w:basedOn w:val="Normal"/>
    <w:next w:val="Normal"/>
    <w:uiPriority w:val="99"/>
    <w:unhideWhenUsed/>
    <w:rsid w:val="00F11F62"/>
  </w:style>
  <w:style w:type="table" w:styleId="TableGrid">
    <w:name w:val="Table Grid"/>
    <w:basedOn w:val="TableNormal"/>
    <w:uiPriority w:val="39"/>
    <w:rsid w:val="00263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72EA3"/>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4472C4" w:themeColor="accent1"/>
        </w:tcBorders>
      </w:tcPr>
    </w:tblStylePr>
    <w:tblStylePr w:type="lastRow">
      <w:rPr>
        <w:b/>
        <w:bCs/>
      </w:rPr>
      <w:tblPr/>
      <w:tcPr>
        <w:tcBorders>
          <w:top w:val="double" w:sz="2" w:space="0" w:color="4472C4" w:themeColor="accent1"/>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72EA3"/>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2EA3"/>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C000" w:themeColor="accent4"/>
        </w:tcBorders>
      </w:tcPr>
    </w:tblStylePr>
    <w:tblStylePr w:type="lastRow">
      <w:rPr>
        <w:b/>
        <w:bCs/>
      </w:rPr>
      <w:tblPr/>
      <w:tcPr>
        <w:tcBorders>
          <w:top w:val="double" w:sz="2" w:space="0" w:color="FFC000" w:themeColor="accent4"/>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72EA3"/>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5B9BD5" w:themeColor="accent5"/>
        </w:tcBorders>
      </w:tcPr>
    </w:tblStylePr>
    <w:tblStylePr w:type="lastRow">
      <w:rPr>
        <w:b/>
        <w:bCs/>
      </w:rPr>
      <w:tblPr/>
      <w:tcPr>
        <w:tcBorders>
          <w:top w:val="double" w:sz="2" w:space="0" w:color="5B9BD5" w:themeColor="accent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2EA3"/>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70AD47" w:themeColor="accent6"/>
        </w:tcBorders>
      </w:tcPr>
    </w:tblStylePr>
    <w:tblStylePr w:type="lastRow">
      <w:rPr>
        <w:b/>
        <w:bCs/>
      </w:rPr>
      <w:tblPr/>
      <w:tcPr>
        <w:tcBorders>
          <w:top w:val="double" w:sz="2" w:space="0" w:color="70AD47" w:themeColor="accent6"/>
        </w:tcBorders>
      </w:tcPr>
    </w:tblStylePr>
    <w:tblStylePr w:type="firstCol">
      <w:rPr>
        <w:b/>
        <w:bCs/>
      </w:rPr>
    </w:tblStylePr>
    <w:tblStylePr w:type="lastCol">
      <w:rPr>
        <w:b/>
        <w:bCs/>
      </w:rPr>
    </w:tblStylePr>
  </w:style>
  <w:style w:type="table" w:styleId="PlainTable1">
    <w:name w:val="Plain Table 1"/>
    <w:basedOn w:val="TableNormal"/>
    <w:uiPriority w:val="41"/>
    <w:rsid w:val="00172EA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2510E-E483-AE47-A075-06210F41D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5789</TotalTime>
  <Pages>26</Pages>
  <Words>6964</Words>
  <Characters>45816</Characters>
  <Application>Microsoft Office Word</Application>
  <DocSecurity>0</DocSecurity>
  <Lines>978</Lines>
  <Paragraphs>425</Paragraphs>
  <ScaleCrop>false</ScaleCrop>
  <HeadingPairs>
    <vt:vector size="2" baseType="variant">
      <vt:variant>
        <vt:lpstr>Title</vt:lpstr>
      </vt:variant>
      <vt:variant>
        <vt:i4>1</vt:i4>
      </vt:variant>
    </vt:vector>
  </HeadingPairs>
  <TitlesOfParts>
    <vt:vector size="1" baseType="lpstr">
      <vt:lpstr>Gene Expression Analysis For Lychee Under The Influence Of Peronophythora Litchii</vt:lpstr>
    </vt:vector>
  </TitlesOfParts>
  <Manager/>
  <Company/>
  <LinksUpToDate>false</LinksUpToDate>
  <CharactersWithSpaces>52326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Integrative Bioinformatics Framework for Transcriptomic Reanalysis Reveals Regulatory Architectures in the Lychee Response to Peronophythora</dc:title>
  <dc:subject/>
  <dc:creator>Eric Zhuang</dc:creator>
  <cp:keywords/>
  <dc:description/>
  <cp:lastModifiedBy>Richard Zhuang</cp:lastModifiedBy>
  <cp:revision>122</cp:revision>
  <cp:lastPrinted>2023-12-26T02:05:00Z</cp:lastPrinted>
  <dcterms:created xsi:type="dcterms:W3CDTF">2021-11-24T18:54:00Z</dcterms:created>
  <dcterms:modified xsi:type="dcterms:W3CDTF">2026-05-03T15:24:00Z</dcterms:modified>
  <cp:category/>
  <dc:language>en-US</dc:language>
</cp:coreProperties>
</file>