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Information 1</w:t>
      </w:r>
    </w:p>
    <w:p>
      <w:pPr>
        <w:jc w:val="center"/>
      </w:pPr>
      <w:r>
        <w:rPr>
          <w:b/>
          <w:i w:val="0"/>
        </w:rPr>
        <w:t xml:space="preserve">A registered genome-wide analysis identifies robust, context-dependent transcriptional responses of lychee to </w:t>
      </w:r>
      <w:r>
        <w:rPr>
          <w:b/>
          <w:i/>
        </w:rPr>
        <w:t>Peronophythora litchii</w:t>
      </w:r>
    </w:p>
    <w:p>
      <w:pPr>
        <w:spacing w:line="240" w:lineRule="auto"/>
        <w:jc w:val="center"/>
      </w:pPr>
      <w:r>
        <w:t>Eric Zhuang</w:t>
        <w:br/>
        <w:t>NYU Langone Health, New York, New York, USA</w:t>
      </w:r>
    </w:p>
    <w:p>
      <w:pPr>
        <w:pStyle w:val="Heading1"/>
      </w:pPr>
      <w:r>
        <w:t>Contents</w:t>
      </w:r>
    </w:p>
    <w:p>
      <w:pPr>
        <w:spacing w:line="276" w:lineRule="auto"/>
      </w:pPr>
      <w:r>
        <w:t xml:space="preserve">Figures S1–S3, machine-readable Tables S1–S18, all figure source data, the registered protocol and amendment log, analysis code, workflows, configurations, tests, metadata, and environment specifications are available exclusively in the version-specific Zenodo record at </w:t>
      </w:r>
      <w:hyperlink r:id="rId11">
        <w:r>
          <w:rPr>
            <w:color w:val="0563C1"/>
            <w:u w:val="single"/>
          </w:rPr>
          <w:t>https://zenodo.org/records/22436625</w:t>
        </w:r>
      </w:hyperlink>
      <w:r>
        <w:t>. Their table and figure captions are listed below.</w:t>
      </w:r>
    </w:p>
    <w:p>
      <w:pPr>
        <w:pStyle w:val="Heading2"/>
      </w:pPr>
      <w:r>
        <w:t>Supplementary table captions</w:t>
      </w:r>
    </w:p>
    <w:p>
      <w:pPr>
        <w:spacing w:line="276" w:lineRule="auto"/>
      </w:pPr>
      <w:r>
        <w:t>The following captions correspond to the machine-readable TSV files archived in the Zenodo record.</w:t>
      </w:r>
    </w:p>
    <w:p>
      <w:pPr>
        <w:pStyle w:val="ListBullet"/>
        <w:spacing w:line="240" w:lineRule="auto" w:after="40"/>
      </w:pPr>
      <w:r>
        <w:rPr>
          <w:b/>
        </w:rPr>
        <w:t xml:space="preserve">Table S1. </w:t>
      </w:r>
      <w:r>
        <w:t>Biological-unit registry.</w:t>
      </w:r>
    </w:p>
    <w:p>
      <w:pPr>
        <w:pStyle w:val="ListBullet"/>
        <w:spacing w:line="240" w:lineRule="auto" w:after="40"/>
      </w:pPr>
      <w:r>
        <w:rPr>
          <w:b/>
        </w:rPr>
        <w:t xml:space="preserve">Table S2. </w:t>
      </w:r>
      <w:r>
        <w:t>Per-library quality control.</w:t>
      </w:r>
    </w:p>
    <w:p>
      <w:pPr>
        <w:pStyle w:val="ListBullet"/>
        <w:spacing w:line="240" w:lineRule="auto" w:after="40"/>
      </w:pPr>
      <w:r>
        <w:rPr>
          <w:b/>
        </w:rPr>
        <w:t xml:space="preserve">Table S3. </w:t>
      </w:r>
      <w:r>
        <w:t>Genome-wide discovery statistics.</w:t>
      </w:r>
    </w:p>
    <w:p>
      <w:pPr>
        <w:pStyle w:val="ListBullet"/>
        <w:spacing w:line="240" w:lineRule="auto" w:after="40"/>
      </w:pPr>
      <w:r>
        <w:rPr>
          <w:b/>
        </w:rPr>
        <w:t xml:space="preserve">Table S4. </w:t>
      </w:r>
      <w:r>
        <w:t>Robustness file manifest.</w:t>
      </w:r>
    </w:p>
    <w:p>
      <w:pPr>
        <w:pStyle w:val="ListBullet"/>
        <w:spacing w:line="240" w:lineRule="auto" w:after="40"/>
      </w:pPr>
      <w:r>
        <w:rPr>
          <w:b/>
        </w:rPr>
        <w:t xml:space="preserve">Table S5. </w:t>
      </w:r>
      <w:r>
        <w:t>All external frozen tests.</w:t>
      </w:r>
    </w:p>
    <w:p>
      <w:pPr>
        <w:pStyle w:val="ListBullet"/>
        <w:spacing w:line="240" w:lineRule="auto" w:after="40"/>
      </w:pPr>
      <w:r>
        <w:rPr>
          <w:b/>
        </w:rPr>
        <w:t xml:space="preserve">Table S6. </w:t>
      </w:r>
      <w:r>
        <w:t>Pathway and signature tests.</w:t>
      </w:r>
    </w:p>
    <w:p>
      <w:pPr>
        <w:pStyle w:val="ListBullet"/>
        <w:spacing w:line="240" w:lineRule="auto" w:after="40"/>
      </w:pPr>
      <w:r>
        <w:rPr>
          <w:b/>
        </w:rPr>
        <w:t xml:space="preserve">Table S7. </w:t>
      </w:r>
      <w:r>
        <w:t>Conditional differential-transcript-usage results.</w:t>
      </w:r>
    </w:p>
    <w:p>
      <w:pPr>
        <w:pStyle w:val="ListBullet"/>
        <w:spacing w:line="240" w:lineRule="auto" w:after="40"/>
      </w:pPr>
      <w:r>
        <w:rPr>
          <w:b/>
        </w:rPr>
        <w:t xml:space="preserve">Table S8. </w:t>
      </w:r>
      <w:r>
        <w:t>Candidate annotation and orthology evidence.</w:t>
      </w:r>
    </w:p>
    <w:p>
      <w:pPr>
        <w:pStyle w:val="ListBullet"/>
        <w:spacing w:line="240" w:lineRule="auto" w:after="40"/>
      </w:pPr>
      <w:r>
        <w:rPr>
          <w:b/>
        </w:rPr>
        <w:t xml:space="preserve">Table S9. </w:t>
      </w:r>
      <w:r>
        <w:t>Small-RNA reference-gate outcome.</w:t>
      </w:r>
    </w:p>
    <w:p>
      <w:pPr>
        <w:pStyle w:val="ListBullet"/>
        <w:spacing w:line="240" w:lineRule="auto" w:after="40"/>
      </w:pPr>
      <w:r>
        <w:rPr>
          <w:b/>
        </w:rPr>
        <w:t xml:space="preserve">Table S10. </w:t>
      </w:r>
      <w:r>
        <w:t>Motif-background tests and sensitivity results.</w:t>
      </w:r>
    </w:p>
    <w:p>
      <w:pPr>
        <w:pStyle w:val="ListBullet"/>
        <w:spacing w:line="240" w:lineRule="auto" w:after="40"/>
      </w:pPr>
      <w:r>
        <w:rPr>
          <w:b/>
        </w:rPr>
        <w:t xml:space="preserve">Table S11. </w:t>
      </w:r>
      <w:r>
        <w:t>Accession-aware evidence registry.</w:t>
      </w:r>
    </w:p>
    <w:p>
      <w:pPr>
        <w:pStyle w:val="ListBullet"/>
        <w:spacing w:line="240" w:lineRule="auto" w:after="40"/>
      </w:pPr>
      <w:r>
        <w:rPr>
          <w:b/>
        </w:rPr>
        <w:t xml:space="preserve">Table S12. </w:t>
      </w:r>
      <w:r>
        <w:t>Scripts, environments, and command inventory.</w:t>
      </w:r>
    </w:p>
    <w:p>
      <w:pPr>
        <w:pStyle w:val="ListBullet"/>
        <w:spacing w:line="240" w:lineRule="auto" w:after="40"/>
      </w:pPr>
      <w:r>
        <w:rPr>
          <w:b/>
        </w:rPr>
        <w:t xml:space="preserve">Table S13. </w:t>
      </w:r>
      <w:r>
        <w:t>Protocol amendment and deviation log.</w:t>
      </w:r>
    </w:p>
    <w:p>
      <w:pPr>
        <w:pStyle w:val="ListBullet"/>
        <w:spacing w:line="240" w:lineRule="auto" w:after="40"/>
      </w:pPr>
      <w:r>
        <w:rPr>
          <w:b/>
        </w:rPr>
        <w:t xml:space="preserve">Table S14. </w:t>
      </w:r>
      <w:r>
        <w:t>Legacy within-cultivar audit.</w:t>
      </w:r>
    </w:p>
    <w:p>
      <w:pPr>
        <w:pStyle w:val="ListBullet"/>
        <w:spacing w:line="240" w:lineRule="auto" w:after="40"/>
      </w:pPr>
      <w:r>
        <w:rPr>
          <w:b/>
        </w:rPr>
        <w:t xml:space="preserve">Table S15. </w:t>
      </w:r>
      <w:r>
        <w:t>Controlled promoter-motif background comparison.</w:t>
      </w:r>
    </w:p>
    <w:p>
      <w:pPr>
        <w:pStyle w:val="ListBullet"/>
        <w:spacing w:line="240" w:lineRule="auto" w:after="40"/>
      </w:pPr>
      <w:r>
        <w:rPr>
          <w:b/>
        </w:rPr>
        <w:t xml:space="preserve">Table S16a. </w:t>
      </w:r>
      <w:r>
        <w:t>Reconstructed dataset-search queries.</w:t>
      </w:r>
    </w:p>
    <w:p>
      <w:pPr>
        <w:pStyle w:val="ListBullet"/>
        <w:spacing w:line="240" w:lineRule="auto" w:after="40"/>
      </w:pPr>
      <w:r>
        <w:rPr>
          <w:b/>
        </w:rPr>
        <w:t xml:space="preserve">Table S16b. </w:t>
      </w:r>
      <w:r>
        <w:t>Dataset eligibility decisions.</w:t>
      </w:r>
    </w:p>
    <w:p>
      <w:pPr>
        <w:pStyle w:val="ListBullet"/>
        <w:spacing w:line="240" w:lineRule="auto" w:after="40"/>
      </w:pPr>
      <w:r>
        <w:rPr>
          <w:b/>
        </w:rPr>
        <w:t xml:space="preserve">Table S17. </w:t>
      </w:r>
      <w:r>
        <w:t>Exact software versions.</w:t>
      </w:r>
    </w:p>
    <w:p>
      <w:pPr>
        <w:pStyle w:val="ListBullet"/>
        <w:spacing w:line="240" w:lineRule="auto" w:after="40"/>
      </w:pPr>
      <w:r>
        <w:rPr>
          <w:b/>
        </w:rPr>
        <w:t xml:space="preserve">Table S18. </w:t>
      </w:r>
      <w:r>
        <w:t>Power-simulation minimum detectable effects.</w:t>
      </w:r>
    </w:p>
    <w:p>
      <w:pPr>
        <w:pStyle w:val="Heading2"/>
      </w:pPr>
      <w:r>
        <w:t>Supplementary figure captions</w:t>
      </w:r>
    </w:p>
    <w:p>
      <w:pPr>
        <w:pStyle w:val="ListBullet"/>
        <w:spacing w:line="240" w:lineRule="auto"/>
      </w:pPr>
      <w:r>
        <w:t>Figure S1: Replicate-level normalized counts for the two cross-context-supported genes, twelve Tier B genes, and two legacy highlights.</w:t>
      </w:r>
    </w:p>
    <w:p>
      <w:pPr>
        <w:pStyle w:val="ListBullet"/>
        <w:spacing w:line="240" w:lineRule="auto"/>
      </w:pPr>
      <w:r>
        <w:t>Figure S2: Parametric detection probability for cultivar-by-infection effects under genome-wide discovery and candidate-family external adjustment.</w:t>
      </w:r>
    </w:p>
    <w:p>
      <w:pPr>
        <w:pStyle w:val="ListBullet"/>
        <w:spacing w:line="240" w:lineRule="auto"/>
      </w:pPr>
      <w:r>
        <w:t>Figure S3: Exploratory PRJNA1090613 signed-signature estimate, shown separately because cohort metadata did not support its inclusion in the confirmatory evaluation.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5473317"/>
            <wp:docPr id="1" name="Picture 1" descr="Replicate-level normalized counts for the two cross-context-supported genes, twelve Tier B genes, and two legacy highlights. Points are individual deposited libraries; bars show cultivar-treatment media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73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S1. </w:t>
      </w:r>
      <w:r>
        <w:rPr>
          <w:b w:val="0"/>
          <w:i w:val="0"/>
        </w:rPr>
        <w:t>Replicate-level normalized counts for the two cross-context-supported genes, twelve Tier B genes, and two legacy highlights. Points are individual deposited libraries; bars show cultivar-treatment medians.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3137482"/>
            <wp:docPr id="2" name="Picture 2" descr="Parametric detection probability for cultivar-by-infection effects under genome-wide discovery and candidate-family external adjustment. Curves show the overall result and mean-expression quartiles; the dashed line marks 80% pow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3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S2. </w:t>
      </w:r>
      <w:r>
        <w:rPr>
          <w:b w:val="0"/>
          <w:i w:val="0"/>
        </w:rPr>
        <w:t>Parametric detection probability for cultivar-by-infection effects under genome-wide discovery and candidate-family external adjustment. Curves show the overall result and mean-expression quartiles; the dashed line marks 80% power.</w:t>
      </w:r>
    </w:p>
    <w:p>
      <w:pPr>
        <w:keepNext/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989320" cy="2386513"/>
            <wp:docPr id="3" name="Picture 3" descr="Exploratory PRJNA1090613 signed-signature estimate, shown separately because cohort metadata did not support its inclusion in the confirmatory evalu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8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S3. </w:t>
      </w:r>
      <w:r>
        <w:rPr>
          <w:b w:val="0"/>
          <w:i w:val="0"/>
        </w:rPr>
        <w:t>Exploratory PRJNA1090613 signed-signature estimate, shown separately because cohort metadata did not support its inclusion in the confirmatory evaluation.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Discover Plants —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60"/>
    </w:pPr>
    <w:rPr>
      <w:rFonts w:ascii="Times New Roman" w:hAnsi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zenodo.org/records/22436625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1</dc:title>
  <dc:subject>A registered genome-wide analysis identifies robust, context-dependent transcriptional responses of lychee to Peronophythora litchii</dc:subject>
  <dc:creator>Eric Zhuang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