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widowControl/>
        <w:spacing w:line="240" w:lineRule="auto" w:before="0" w:after="160"/>
      </w:pPr>
      <w:r>
        <w:rPr>
          <w:rFonts w:ascii="Times New Roman" w:hAnsi="Times New Roman"/>
          <w:b/>
          <w:color w:val="000000"/>
          <w:sz w:val="24"/>
        </w:rPr>
        <w:t xml:space="preserve">Manuscript type: </w:t>
      </w:r>
      <w:r>
        <w:rPr>
          <w:rFonts w:ascii="Times New Roman" w:hAnsi="Times New Roman"/>
          <w:i w:val="0"/>
          <w:color w:val="000000"/>
          <w:sz w:val="24"/>
        </w:rPr>
        <w:t>original paper</w:t>
      </w:r>
    </w:p>
    <w:p>
      <w:pPr>
        <w:widowControl/>
        <w:spacing w:line="240" w:lineRule="auto" w:before="0" w:after="160"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Differences among lychee cultivars in responses to </w:t>
      </w:r>
      <w:r>
        <w:rPr>
          <w:rFonts w:ascii="Times New Roman" w:hAnsi="Times New Roman"/>
          <w:b/>
          <w:i/>
          <w:color w:val="000000"/>
          <w:sz w:val="28"/>
        </w:rPr>
        <w:t>Phytophthora litchii</w:t>
      </w:r>
      <w:r>
        <w:rPr>
          <w:rFonts w:ascii="Times New Roman" w:hAnsi="Times New Roman"/>
          <w:b/>
          <w:i w:val="0"/>
          <w:color w:val="000000"/>
          <w:sz w:val="28"/>
        </w:rPr>
        <w:t xml:space="preserve"> nominate cell-wall and carbohydrate-associated candidates</w:t>
      </w:r>
    </w:p>
    <w:p>
      <w:pPr>
        <w:widowControl/>
        <w:spacing w:line="240" w:lineRule="auto" w:before="0" w:after="120"/>
      </w:pPr>
      <w:r>
        <w:rPr>
          <w:rFonts w:ascii="Times New Roman" w:hAnsi="Times New Roman"/>
          <w:b/>
          <w:color w:val="000000"/>
          <w:sz w:val="24"/>
        </w:rPr>
        <w:t>Eric Zhuang*</w:t>
      </w:r>
    </w:p>
    <w:p>
      <w:pPr>
        <w:widowControl/>
        <w:spacing w:line="240" w:lineRule="auto" w:before="0" w:after="120"/>
      </w:pPr>
      <w:r>
        <w:rPr>
          <w:rFonts w:ascii="Times New Roman" w:hAnsi="Times New Roman"/>
          <w:i/>
          <w:color w:val="000000"/>
          <w:sz w:val="24"/>
        </w:rPr>
        <w:t>NYU Langone Health, New York, New York, USA</w:t>
      </w:r>
    </w:p>
    <w:p>
      <w:pPr>
        <w:widowControl/>
        <w:spacing w:line="240" w:lineRule="auto" w:before="0" w:after="60"/>
      </w:pPr>
      <w:r>
        <w:rPr>
          <w:rFonts w:ascii="Times New Roman" w:hAnsi="Times New Roman"/>
          <w:b/>
          <w:color w:val="000000"/>
          <w:sz w:val="24"/>
        </w:rPr>
        <w:t>Authors' data</w:t>
      </w:r>
      <w:r>
        <w:rPr>
          <w:rFonts w:ascii="Times New Roman" w:hAnsi="Times New Roman"/>
          <w:i w:val="0"/>
          <w:color w:val="000000"/>
          <w:sz w:val="2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First name(s)</w:t>
            </w:r>
          </w:p>
        </w:tc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Surname(s)</w:t>
            </w:r>
          </w:p>
        </w:tc>
        <w:tc>
          <w:tcPr>
            <w:tcW w:type="dxa" w:w="32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E-mail</w:t>
            </w:r>
          </w:p>
        </w:tc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ORCID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Eric</w:t>
            </w:r>
          </w:p>
        </w:tc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Zhuang</w:t>
            </w:r>
          </w:p>
        </w:tc>
        <w:tc>
          <w:tcPr>
            <w:tcW w:type="dxa" w:w="32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eric.zhuang@nyulangone.org</w:t>
            </w:r>
          </w:p>
        </w:tc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0009-0001-9050-0214</w:t>
            </w:r>
          </w:p>
        </w:tc>
      </w:tr>
    </w:tbl>
    <w:p>
      <w:pPr>
        <w:widowControl/>
        <w:spacing w:line="240" w:lineRule="auto" w:before="0" w:after="120"/>
      </w:pPr>
      <w:r>
        <w:rPr>
          <w:rFonts w:ascii="Times New Roman" w:hAnsi="Times New Roman"/>
          <w:b/>
          <w:color w:val="000000"/>
          <w:sz w:val="24"/>
        </w:rPr>
        <w:t xml:space="preserve">*Corresponding author: </w:t>
      </w:r>
      <w:r>
        <w:rPr>
          <w:rFonts w:ascii="Times New Roman" w:hAnsi="Times New Roman"/>
          <w:i/>
          <w:color w:val="000000"/>
          <w:sz w:val="24"/>
        </w:rPr>
        <w:t>eric.zhuang@nyulangone.org</w:t>
      </w:r>
    </w:p>
    <w:p>
      <w:pPr>
        <w:widowControl/>
        <w:spacing w:line="240" w:lineRule="auto" w:before="0" w:after="120"/>
      </w:pPr>
      <w:r>
        <w:rPr>
          <w:rFonts w:ascii="Times New Roman" w:hAnsi="Times New Roman"/>
          <w:b/>
          <w:color w:val="000000"/>
          <w:sz w:val="24"/>
        </w:rPr>
        <w:t xml:space="preserve">Citation (publication details to be assigned):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Zhuang E.: Differences among lychee cultivars in responses to </w:t>
      </w:r>
      <w:r>
        <w:rPr>
          <w:rFonts w:ascii="Times New Roman" w:hAnsi="Times New Roman"/>
          <w:b w:val="0"/>
          <w:i/>
          <w:color w:val="000000"/>
          <w:sz w:val="24"/>
        </w:rPr>
        <w:t>Phytophthora litchii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nominate cell-wall and carbohydrate-associated candidates. Plant Protection Science.</w:t>
      </w:r>
    </w:p>
    <w:p>
      <w:pPr>
        <w:widowControl/>
        <w:spacing w:line="240" w:lineRule="auto" w:before="0"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Abstract: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Litchi downy blight, caused by the oomycete </w:t>
      </w:r>
      <w:r>
        <w:rPr>
          <w:rFonts w:ascii="Times New Roman" w:hAnsi="Times New Roman"/>
          <w:b w:val="0"/>
          <w:i/>
          <w:color w:val="000000"/>
          <w:sz w:val="20"/>
        </w:rPr>
        <w:t>Phytophthora litchii</w:t>
      </w:r>
      <w:r>
        <w:rPr>
          <w:rFonts w:ascii="Times New Roman" w:hAnsi="Times New Roman"/>
          <w:b w:val="0"/>
          <w:i w:val="0"/>
          <w:color w:val="000000"/>
          <w:sz w:val="20"/>
        </w:rPr>
        <w:t>, affects young leaves, inflorescences and fruit of lychee (</w:t>
      </w:r>
      <w:r>
        <w:rPr>
          <w:rFonts w:ascii="Times New Roman" w:hAnsi="Times New Roman"/>
          <w:b w:val="0"/>
          <w:i/>
          <w:color w:val="000000"/>
          <w:sz w:val="20"/>
        </w:rPr>
        <w:t>Litchi chinensis</w:t>
      </w:r>
      <w:r>
        <w:rPr>
          <w:rFonts w:ascii="Times New Roman" w:hAnsi="Times New Roman"/>
          <w:b w:val="0"/>
          <w:i w:val="0"/>
          <w:color w:val="000000"/>
          <w:sz w:val="20"/>
        </w:rPr>
        <w:t>). We assembled five public sequencing cohorts for discovery, cross-context evaluation and auxiliary analyses of cultivar-dependent infection responses. Discovery in Guiwei and Yurong1 leaves tested 19445 expressed genes. Two hundred and six genes passed the DESeq2 discovery rule and mapping and gene-model quality control; 16 remained stable under alternative quantification, statistical analysis, expression filtering, leave-one-library-out analysis and mapping checks. Twelve were prioritised in Tier B, with provisional annotations related to sugar transport, starch metabolism, cell-wall remodelling, lipid signalling and RNA metabolism. In an independent pericarp time course, LITCHI005518, a putative alpha-xylosidase, and LITCHI001963 showed same-direction cultivar-dependent effects, whereas five genes reversed direction. Neither externally supported gene passed all internal robustness criteria. The frozen 206-gene signature showed tissue-dependent infection responses in Feizixiao. Most of 18 earlier candidates responded within at least one cultivar, but none passed the genome-wide cultivar-interaction criterion. These results distinguish general infection responses from cultivar-dependent effects and nominate context-qualified candidates for experimental validation.</w:t>
      </w:r>
    </w:p>
    <w:p>
      <w:pPr>
        <w:widowControl/>
        <w:spacing w:line="240" w:lineRule="auto" w:before="0" w:after="120"/>
      </w:pPr>
      <w:r>
        <w:rPr>
          <w:rFonts w:ascii="Times New Roman" w:hAnsi="Times New Roman"/>
          <w:b/>
          <w:color w:val="000000"/>
          <w:sz w:val="24"/>
        </w:rPr>
        <w:t xml:space="preserve">Number of characters including spaces: </w:t>
      </w:r>
      <w:r>
        <w:rPr>
          <w:rFonts w:ascii="Times New Roman" w:hAnsi="Times New Roman"/>
          <w:b w:val="0"/>
          <w:color w:val="000000"/>
          <w:sz w:val="24"/>
        </w:rPr>
        <w:t>41,118</w:t>
      </w:r>
    </w:p>
    <w:p>
      <w:pPr>
        <w:widowControl/>
        <w:spacing w:line="240" w:lineRule="auto" w:before="0" w:after="100"/>
      </w:pPr>
      <w:r>
        <w:rPr>
          <w:rFonts w:ascii="Times New Roman" w:hAnsi="Times New Roman"/>
          <w:b/>
          <w:color w:val="000000"/>
          <w:sz w:val="24"/>
        </w:rPr>
        <w:t xml:space="preserve">Acknowledgement and AI disclosure: </w:t>
      </w:r>
      <w:r>
        <w:rPr>
          <w:rFonts w:ascii="Times New Roman" w:hAnsi="Times New Roman"/>
          <w:b w:val="0"/>
          <w:color w:val="000000"/>
          <w:sz w:val="24"/>
        </w:rPr>
        <w:t>OpenAI Codex (GPT-5; accessed 22 September 2026) assisted with language editing, manuscript condensation and structuring, and journal-specific document formatting. It did not generate or manipulate research data, results, interpretations, conclusions, figures, images or graphical elements. The author reviewed and takes responsibility for all content.</w:t>
      </w:r>
    </w:p>
    <w:p>
      <w:pPr>
        <w:widowControl/>
        <w:spacing w:line="240" w:lineRule="auto" w:before="0" w:after="100"/>
      </w:pPr>
      <w:r>
        <w:rPr>
          <w:rFonts w:ascii="Times New Roman" w:hAnsi="Times New Roman"/>
          <w:b/>
          <w:color w:val="000000"/>
          <w:sz w:val="24"/>
        </w:rPr>
        <w:t xml:space="preserve">Funding acknowledgement statement: </w:t>
      </w:r>
      <w:r>
        <w:rPr>
          <w:rFonts w:ascii="Times New Roman" w:hAnsi="Times New Roman"/>
          <w:i w:val="0"/>
          <w:color w:val="000000"/>
          <w:sz w:val="24"/>
        </w:rPr>
        <w:t>This work received no external funding.</w:t>
      </w:r>
    </w:p>
    <w:p>
      <w:pPr>
        <w:widowControl/>
        <w:spacing w:line="240" w:lineRule="auto" w:before="0" w:after="100"/>
      </w:pPr>
      <w:r>
        <w:rPr>
          <w:rFonts w:ascii="Times New Roman" w:hAnsi="Times New Roman"/>
          <w:b/>
          <w:color w:val="000000"/>
          <w:sz w:val="24"/>
        </w:rPr>
        <w:t xml:space="preserve">Conflict of interest: </w:t>
      </w:r>
      <w:r>
        <w:rPr>
          <w:rFonts w:ascii="Times New Roman" w:hAnsi="Times New Roman"/>
          <w:i w:val="0"/>
          <w:color w:val="000000"/>
          <w:sz w:val="24"/>
        </w:rPr>
        <w:t>The author declares no conflict of interest.</w:t>
      </w:r>
    </w:p>
    <w:p>
      <w:pPr>
        <w:widowControl/>
        <w:spacing w:line="240" w:lineRule="auto" w:before="0" w:after="100"/>
      </w:pPr>
      <w:r>
        <w:rPr>
          <w:rFonts w:ascii="Times New Roman" w:hAnsi="Times New Roman"/>
          <w:b/>
          <w:color w:val="000000"/>
          <w:sz w:val="24"/>
        </w:rPr>
        <w:t xml:space="preserve">Ethics statement: </w:t>
      </w:r>
      <w:r>
        <w:rPr>
          <w:rFonts w:ascii="Times New Roman" w:hAnsi="Times New Roman"/>
          <w:i w:val="0"/>
          <w:color w:val="000000"/>
          <w:sz w:val="24"/>
        </w:rPr>
        <w:t>This reanalysis used public plant sequencing data and involved no new human, animal or field experiments; ethics approval was not required.</w:t>
      </w:r>
    </w:p>
    <w:p>
      <w:pPr>
        <w:widowControl/>
        <w:spacing w:line="240" w:lineRule="auto" w:before="0" w:after="0"/>
      </w:pPr>
      <w:r>
        <w:rPr>
          <w:rFonts w:ascii="Times New Roman" w:hAnsi="Times New Roman"/>
          <w:b/>
          <w:color w:val="000000"/>
          <w:sz w:val="24"/>
        </w:rPr>
        <w:t xml:space="preserve">Data and code availability: </w:t>
      </w:r>
      <w:r>
        <w:rPr>
          <w:rFonts w:ascii="Times New Roman" w:hAnsi="Times New Roman"/>
          <w:i w:val="0"/>
          <w:color w:val="000000"/>
          <w:sz w:val="24"/>
        </w:rPr>
        <w:t>Data accessions, complete results, figure source data, the registered protocol and code are archived at https://zenodo.org/records/22436625 and supplied in the supplementary archive.</w:t>
      </w:r>
    </w:p>
    <w:sectPr w:rsidR="00FC46C9" w:rsidRPr="00FE6C1E" w:rsidSect="000931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D2395" w14:textId="77777777" w:rsidR="00F67472" w:rsidRDefault="00F67472" w:rsidP="001B4AC5">
      <w:r>
        <w:separator/>
      </w:r>
    </w:p>
  </w:endnote>
  <w:endnote w:type="continuationSeparator" w:id="0">
    <w:p w14:paraId="19485DBC" w14:textId="77777777" w:rsidR="00F67472" w:rsidRDefault="00F67472" w:rsidP="001B4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07859" w14:textId="77777777" w:rsidR="00D20D20" w:rsidRDefault="00D20D20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187C6" w14:textId="77777777" w:rsidR="00D20D20" w:rsidRPr="00233AC0" w:rsidRDefault="00233AC0" w:rsidP="003436DC">
    <w:pPr>
      <w:pStyle w:val="Zpat"/>
      <w:jc w:val="center"/>
      <w:rPr>
        <w:rFonts w:asciiTheme="minorHAnsi" w:hAnsiTheme="minorHAnsi"/>
        <w:color w:val="7F7F7F" w:themeColor="text1" w:themeTint="80"/>
        <w:sz w:val="22"/>
        <w:szCs w:val="22"/>
      </w:rPr>
      <w:suppressLineNumbers/>
    </w:pPr>
    <w:hyperlink r:id="rId1" w:history="1">
      <w:r w:rsidRPr="00233AC0">
        <w:rPr>
          <w:rStyle w:val="Hypertextovodkaz"/>
          <w:rFonts w:asciiTheme="minorHAnsi" w:hAnsiTheme="minorHAnsi"/>
          <w:color w:val="7F7F7F" w:themeColor="text1" w:themeTint="80"/>
          <w:sz w:val="22"/>
          <w:szCs w:val="22"/>
          <w:u w:val="none"/>
        </w:rPr>
        <w:t>WWW.AGRICULTUREJOURNALS.CZ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2C4AF" w14:textId="77777777" w:rsidR="00D20D20" w:rsidRDefault="00D20D20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7C07B" w14:textId="77777777" w:rsidR="00F67472" w:rsidRDefault="00F67472" w:rsidP="001B4AC5">
      <w:r>
        <w:separator/>
      </w:r>
    </w:p>
  </w:footnote>
  <w:footnote w:type="continuationSeparator" w:id="0">
    <w:p w14:paraId="64A382CB" w14:textId="77777777" w:rsidR="00F67472" w:rsidRDefault="00F67472" w:rsidP="001B4A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15E4A" w14:textId="77777777" w:rsidR="00D20D20" w:rsidRDefault="00D20D20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C751C" w14:textId="77777777" w:rsidR="001B4AC5" w:rsidRDefault="00704511" w:rsidP="001B4AC5">
    <w:pPr>
      <w:pStyle w:val="Zhlav"/>
      <w:jc w:val="right"/>
      <w:rPr>
        <w:color w:val="7F7F7F"/>
        <w:sz w:val="22"/>
        <w:szCs w:val="22"/>
      </w:rPr>
      <w:suppressLineNumbers/>
    </w:pPr>
    <w:r>
      <w:rPr>
        <w:noProof/>
        <w:lang w:eastAsia="cs-CZ"/>
      </w:rPr>
      <w:drawing>
        <wp:inline distT="0" distB="0" distL="0" distR="0" wp14:anchorId="2BFE703E" wp14:editId="5B24B724">
          <wp:extent cx="2400300" cy="247650"/>
          <wp:effectExtent l="0" t="0" r="0" b="0"/>
          <wp:docPr id="1" name="Obrázek 1" title="CAAS logo" descr="Czech Academy of Agricultural Science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ázek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00300" cy="247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B4AC5">
      <w:tab/>
    </w:r>
    <w:r w:rsidR="001B4AC5">
      <w:tab/>
    </w:r>
    <w:r w:rsidR="00D20D20">
      <w:rPr>
        <w:color w:val="7F7F7F"/>
        <w:sz w:val="22"/>
        <w:szCs w:val="22"/>
      </w:rPr>
      <w:t>TI</w:t>
    </w:r>
    <w:r w:rsidR="00C96797">
      <w:rPr>
        <w:color w:val="7F7F7F"/>
        <w:sz w:val="22"/>
        <w:szCs w:val="22"/>
      </w:rPr>
      <w:t>T</w:t>
    </w:r>
    <w:r w:rsidR="00D20D20">
      <w:rPr>
        <w:color w:val="7F7F7F"/>
        <w:sz w:val="22"/>
        <w:szCs w:val="22"/>
      </w:rPr>
      <w:t>LE PAGE</w:t>
    </w:r>
    <w:r w:rsidR="001B4AC5" w:rsidRPr="005A75C2">
      <w:rPr>
        <w:color w:val="7F7F7F"/>
        <w:sz w:val="22"/>
        <w:szCs w:val="22"/>
      </w:rPr>
      <w:t xml:space="preserve"> </w:t>
    </w:r>
  </w:p>
  <w:p w14:paraId="4BC58285" w14:textId="77777777" w:rsidR="00D30757" w:rsidRDefault="00D30757" w:rsidP="001B4AC5">
    <w:pPr>
      <w:pStyle w:val="Zhlav"/>
      <w:jc w:val="right"/>
      <w:suppressLineNumbers/>
    </w:pPr>
  </w:p>
  <w:p w14:paraId="732D0FDD" w14:textId="77777777" w:rsidR="001B4AC5" w:rsidRDefault="001B4AC5">
    <w:pPr>
      <w:pStyle w:val="Zhlav"/>
      <w:suppressLineNumbers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6F1C8" w14:textId="77777777" w:rsidR="00D20D20" w:rsidRDefault="00D20D20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1549"/>
    <w:multiLevelType w:val="hybridMultilevel"/>
    <w:tmpl w:val="93CA2D6A"/>
    <w:lvl w:ilvl="0" w:tplc="0405000F">
      <w:start w:val="1"/>
      <w:numFmt w:val="decimal"/>
      <w:lvlText w:val="%1."/>
      <w:lvlJc w:val="left"/>
      <w:pPr>
        <w:ind w:left="360" w:hanging="360"/>
      </w:p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7A4DE4"/>
    <w:multiLevelType w:val="multilevel"/>
    <w:tmpl w:val="D56E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045ADD"/>
    <w:multiLevelType w:val="multilevel"/>
    <w:tmpl w:val="2D48AF7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38253105"/>
    <w:multiLevelType w:val="hybridMultilevel"/>
    <w:tmpl w:val="14985948"/>
    <w:lvl w:ilvl="0" w:tplc="0405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2F3D8A"/>
    <w:multiLevelType w:val="multilevel"/>
    <w:tmpl w:val="0D62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08130A"/>
    <w:multiLevelType w:val="multilevel"/>
    <w:tmpl w:val="27B0D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6453438">
    <w:abstractNumId w:val="1"/>
  </w:num>
  <w:num w:numId="2" w16cid:durableId="651830009">
    <w:abstractNumId w:val="5"/>
  </w:num>
  <w:num w:numId="3" w16cid:durableId="483818708">
    <w:abstractNumId w:val="0"/>
  </w:num>
  <w:num w:numId="4" w16cid:durableId="490605822">
    <w:abstractNumId w:val="4"/>
  </w:num>
  <w:num w:numId="5" w16cid:durableId="970287859">
    <w:abstractNumId w:val="2"/>
  </w:num>
  <w:num w:numId="6" w16cid:durableId="19695546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UxMTewNDO3MLIwNbdQ0lEKTi0uzszPAykwqwUATa5BwiwAAAA="/>
  </w:docVars>
  <w:rsids>
    <w:rsidRoot w:val="007E0B13"/>
    <w:rsid w:val="0007763C"/>
    <w:rsid w:val="00093119"/>
    <w:rsid w:val="001B4AC5"/>
    <w:rsid w:val="00233AC0"/>
    <w:rsid w:val="002B298A"/>
    <w:rsid w:val="003436DC"/>
    <w:rsid w:val="00365A55"/>
    <w:rsid w:val="00385E8E"/>
    <w:rsid w:val="003A53ED"/>
    <w:rsid w:val="00484389"/>
    <w:rsid w:val="004A284E"/>
    <w:rsid w:val="004B110E"/>
    <w:rsid w:val="004B7D29"/>
    <w:rsid w:val="004D7429"/>
    <w:rsid w:val="004F7A75"/>
    <w:rsid w:val="005A75C2"/>
    <w:rsid w:val="005E566F"/>
    <w:rsid w:val="006770AF"/>
    <w:rsid w:val="006E3A02"/>
    <w:rsid w:val="00704511"/>
    <w:rsid w:val="007C3E12"/>
    <w:rsid w:val="007E0B13"/>
    <w:rsid w:val="00833714"/>
    <w:rsid w:val="00887BB4"/>
    <w:rsid w:val="008F6BEA"/>
    <w:rsid w:val="00983312"/>
    <w:rsid w:val="009E4B31"/>
    <w:rsid w:val="009F1B8B"/>
    <w:rsid w:val="00A739F2"/>
    <w:rsid w:val="00AC1E90"/>
    <w:rsid w:val="00AC6123"/>
    <w:rsid w:val="00AD5AE7"/>
    <w:rsid w:val="00AF7E2D"/>
    <w:rsid w:val="00B862BE"/>
    <w:rsid w:val="00BA2114"/>
    <w:rsid w:val="00BD19B5"/>
    <w:rsid w:val="00BE79B6"/>
    <w:rsid w:val="00BF2D47"/>
    <w:rsid w:val="00C96797"/>
    <w:rsid w:val="00CC507B"/>
    <w:rsid w:val="00D20D20"/>
    <w:rsid w:val="00D30757"/>
    <w:rsid w:val="00DC2F87"/>
    <w:rsid w:val="00DF1617"/>
    <w:rsid w:val="00E32019"/>
    <w:rsid w:val="00E36AFB"/>
    <w:rsid w:val="00E37352"/>
    <w:rsid w:val="00E60573"/>
    <w:rsid w:val="00ED0B4D"/>
    <w:rsid w:val="00F2002A"/>
    <w:rsid w:val="00F247A1"/>
    <w:rsid w:val="00F32B56"/>
    <w:rsid w:val="00F67472"/>
    <w:rsid w:val="00F86914"/>
    <w:rsid w:val="00FA0829"/>
    <w:rsid w:val="00FB0748"/>
    <w:rsid w:val="00FB119F"/>
    <w:rsid w:val="00FC46C9"/>
    <w:rsid w:val="00FE6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,"/>
  <w:listSeparator w:val=","/>
  <w14:docId w14:val="59A5A189"/>
  <w15:docId w15:val="{A9BDDD0A-E552-40FA-A63A-5BC126438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F7E2D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color w:val="000000"/>
      <w:sz w:val="24"/>
      <w:lang w:eastAsia="zh-CN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slodku">
    <w:name w:val="line number"/>
    <w:basedOn w:val="Standardnpsmoodstavce"/>
    <w:uiPriority w:val="99"/>
    <w:semiHidden/>
    <w:unhideWhenUsed/>
    <w:rsid w:val="00093119"/>
  </w:style>
  <w:style w:type="character" w:styleId="Hypertextovodkaz">
    <w:name w:val="Hyperlink"/>
    <w:uiPriority w:val="99"/>
    <w:unhideWhenUsed/>
    <w:rsid w:val="00ED0B4D"/>
    <w:rPr>
      <w:color w:val="0000FF"/>
      <w:u w:val="single"/>
    </w:rPr>
  </w:style>
  <w:style w:type="paragraph" w:styleId="Normlnweb">
    <w:name w:val="Normal (Web)"/>
    <w:basedOn w:val="Normln"/>
    <w:uiPriority w:val="99"/>
    <w:semiHidden/>
    <w:unhideWhenUsed/>
    <w:rsid w:val="009E4B31"/>
    <w:pPr>
      <w:overflowPunct/>
      <w:autoSpaceDE/>
      <w:autoSpaceDN/>
      <w:adjustRightInd/>
      <w:spacing w:after="240"/>
      <w:textAlignment w:val="auto"/>
    </w:pPr>
    <w:rPr>
      <w:szCs w:val="24"/>
      <w:lang w:eastAsia="cs-CZ"/>
    </w:rPr>
  </w:style>
  <w:style w:type="paragraph" w:styleId="Odstavecseseznamem">
    <w:name w:val="List Paragraph"/>
    <w:basedOn w:val="Normln"/>
    <w:uiPriority w:val="34"/>
    <w:qFormat/>
    <w:rsid w:val="00FC46C9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1B4AC5"/>
    <w:pPr>
      <w:tabs>
        <w:tab w:val="center" w:pos="4536"/>
        <w:tab w:val="right" w:pos="9072"/>
      </w:tabs>
    </w:pPr>
  </w:style>
  <w:style w:type="character" w:customStyle="1" w:styleId="ZhlavChar">
    <w:name w:val="Záhlaví Char"/>
    <w:link w:val="Zhlav"/>
    <w:uiPriority w:val="99"/>
    <w:rsid w:val="001B4AC5"/>
    <w:rPr>
      <w:rFonts w:ascii="Times New Roman" w:hAnsi="Times New Roman" w:cs="Times New Roman"/>
      <w:sz w:val="24"/>
      <w:szCs w:val="20"/>
      <w:lang w:eastAsia="zh-CN"/>
    </w:rPr>
  </w:style>
  <w:style w:type="paragraph" w:styleId="Zpat">
    <w:name w:val="footer"/>
    <w:basedOn w:val="Normln"/>
    <w:link w:val="ZpatChar"/>
    <w:uiPriority w:val="99"/>
    <w:unhideWhenUsed/>
    <w:rsid w:val="001B4AC5"/>
    <w:pPr>
      <w:tabs>
        <w:tab w:val="center" w:pos="4536"/>
        <w:tab w:val="right" w:pos="9072"/>
      </w:tabs>
    </w:pPr>
  </w:style>
  <w:style w:type="character" w:customStyle="1" w:styleId="ZpatChar">
    <w:name w:val="Zápatí Char"/>
    <w:link w:val="Zpat"/>
    <w:uiPriority w:val="99"/>
    <w:rsid w:val="001B4AC5"/>
    <w:rPr>
      <w:rFonts w:ascii="Times New Roman" w:hAnsi="Times New Roman" w:cs="Times New Roman"/>
      <w:sz w:val="24"/>
      <w:szCs w:val="20"/>
      <w:lang w:eastAsia="zh-CN"/>
    </w:rPr>
  </w:style>
  <w:style w:type="character" w:customStyle="1" w:styleId="Nevyeenzmnka1">
    <w:name w:val="Nevyřešená zmínka1"/>
    <w:uiPriority w:val="99"/>
    <w:semiHidden/>
    <w:unhideWhenUsed/>
    <w:rsid w:val="003436DC"/>
    <w:rPr>
      <w:color w:val="605E5C"/>
      <w:shd w:val="clear" w:color="auto" w:fill="E1DFDD"/>
    </w:rPr>
  </w:style>
  <w:style w:type="character" w:styleId="Sledovanodkaz">
    <w:name w:val="FollowedHyperlink"/>
    <w:uiPriority w:val="99"/>
    <w:semiHidden/>
    <w:unhideWhenUsed/>
    <w:rsid w:val="003436DC"/>
    <w:rPr>
      <w:color w:val="954F72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233AC0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233AC0"/>
    <w:rPr>
      <w:rFonts w:ascii="Tahoma" w:hAnsi="Tahoma" w:cs="Tahoma"/>
      <w:sz w:val="16"/>
      <w:szCs w:val="16"/>
      <w:lang w:eastAsia="zh-CN"/>
    </w:rPr>
  </w:style>
  <w:style w:type="table" w:styleId="Mkatabulky">
    <w:name w:val="Table Grid"/>
    <w:basedOn w:val="Normlntabulka"/>
    <w:uiPriority w:val="59"/>
    <w:rsid w:val="008337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6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2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0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8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03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2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9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33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4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0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5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7395">
          <w:marLeft w:val="0"/>
          <w:marRight w:val="0"/>
          <w:marTop w:val="0"/>
          <w:marBottom w:val="0"/>
          <w:divBdr>
            <w:top w:val="single" w:sz="2" w:space="18" w:color="D6D9DC"/>
            <w:left w:val="single" w:sz="2" w:space="18" w:color="D6D9DC"/>
            <w:bottom w:val="single" w:sz="2" w:space="18" w:color="D6D9DC"/>
            <w:right w:val="single" w:sz="2" w:space="18" w:color="D6D9DC"/>
          </w:divBdr>
          <w:divsChild>
            <w:div w:id="13623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1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53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54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7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24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128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751562">
                                          <w:marLeft w:val="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600000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single" w:sz="12" w:space="8" w:color="FFEB8E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7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email@domain.xyz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agriculturejournals.cz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Users\PC%20Obyvak\Desktop\Title%20page_template_CAAS.dot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Title page_template_CAAS</Template>
  <TotalTime>15</TotalTime>
  <Pages>1</Pages>
  <Words>117</Words>
  <Characters>835</Characters>
  <Application>Microsoft Office Word</Application>
  <DocSecurity>0</DocSecurity>
  <Lines>18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Links>
    <vt:vector size="6" baseType="variant">
      <vt:variant>
        <vt:i4>3997718</vt:i4>
      </vt:variant>
      <vt:variant>
        <vt:i4>0</vt:i4>
      </vt:variant>
      <vt:variant>
        <vt:i4>0</vt:i4>
      </vt:variant>
      <vt:variant>
        <vt:i4>5</vt:i4>
      </vt:variant>
      <vt:variant>
        <vt:lpwstr>mailto:email@domain.xyz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 Zhuang</dc:creator>
  <cp:lastModifiedBy>Eric Zhuang</cp:lastModifiedBy>
  <cp:revision>5</cp:revision>
  <dcterms:created xsi:type="dcterms:W3CDTF">2025-05-09T15:17:00Z</dcterms:created>
  <dcterms:modified xsi:type="dcterms:W3CDTF">2025-05-09T15:42:00Z</dcterms:modified>
  <dc:title>Differences among lychee cultivars in responses to Phytophthora litchii nominate cell-wall and carbohydrate-associated candidates</dc:title>
  <dc:subject>Plant Protection Science submission</dc:subject>
  <cp:keywords>oomycete disease; host response; differential expression; transcript usage; reproducible bioinformatics; crop improvement</cp:keywords>
  <dc:description/>
  <cp:category>Original paper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f941b8ca4db096cbf7ba979bef5790b8dbc5d5c9a0350e5d5de47891d7f3f60e</vt:lpwstr>
  </property>
</Properties>
</file>