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p14 w15">
  <w:body>
    <w:p>
      <w:pPr>
        <w:pStyle w:val="Title"/>
        <w:spacing w:before="0" w:after="136"/>
        <w:ind w:hanging="0"/>
        <w:jc w:val="center"/>
        <w:rPr>
          <w:rFonts w:ascii="Arial" w:hAnsi="Arial" w:eastAsia="Arial" w:cs="Arial"/>
          <w:b/>
          <w:bCs/>
          <w:i w:val="false"/>
          <w:i w:val="false"/>
          <w:iCs w:val="false"/>
          <w:sz w:val="32"/>
          <w:szCs w:val="32"/>
        </w:rPr>
      </w:pPr>
      <w:r>
        <w:rPr>
          <w:rFonts w:eastAsia="Arial" w:cs="Arial" w:ascii="Arial" w:hAnsi="Arial"/>
          <w:b/>
          <w:bCs/>
          <w:sz w:val="32"/>
          <w:szCs w:val="32"/>
        </w:rPr>
        <w:t xml:space="preserve">Genome-wide interaction reanalysis reveals context-specific lychee responses to </w:t>
      </w:r>
      <w:r>
        <w:rPr>
          <w:rFonts w:eastAsia="Arial" w:cs="Arial" w:ascii="Arial" w:hAnsi="Arial"/>
          <w:b/>
          <w:bCs/>
          <w:sz w:val="32"/>
          <w:szCs w:val="32"/>
          <w:i/>
          <w:iCs/>
        </w:rPr>
        <w:t>Peronophythora litchii</w:t>
      </w:r>
    </w:p>
    <w:p>
      <w:pPr>
        <w:pStyle w:val="Normal"/>
        <w:spacing w:before="0" w:after="147"/>
        <w:ind w:hanging="0"/>
        <w:jc w:val="center"/>
        <w:rPr>
          <w:rFonts w:ascii="Arial" w:hAnsi="Arial" w:eastAsia="Arial" w:cs="Arial"/>
          <w:b w:val="false"/>
          <w:bCs w:val="false"/>
          <w:i w:val="false"/>
          <w:i w:val="false"/>
          <w:iCs w:val="false"/>
          <w:sz w:val="22"/>
          <w:szCs w:val="22"/>
        </w:rPr>
      </w:pPr>
      <w:r>
        <w:rPr>
          <w:rFonts w:eastAsia="Arial" w:cs="Arial" w:ascii="Arial" w:hAnsi="Arial"/>
          <w:b w:val="false"/>
          <w:bCs w:val="false"/>
          <w:i w:val="false"/>
          <w:iCs w:val="false"/>
          <w:sz w:val="22"/>
          <w:szCs w:val="22"/>
        </w:rPr>
        <w:t>Eric Zhuang</w:t>
      </w:r>
    </w:p>
    <w:p>
      <w:pPr>
        <w:pStyle w:val="Heading1"/>
        <w:spacing w:before="159" w:after="68"/>
        <w:ind w:hanging="0"/>
        <w:jc w:val="start"/>
        <w:rPr>
          <w:rFonts w:ascii="Arial" w:hAnsi="Arial" w:eastAsia="Arial" w:cs="Arial"/>
          <w:b/>
          <w:bCs/>
          <w:i w:val="false"/>
          <w:i w:val="false"/>
          <w:iCs w:val="false"/>
          <w:sz w:val="22"/>
          <w:szCs w:val="22"/>
        </w:rPr>
      </w:pPr>
      <w:r>
        <w:rPr>
          <w:rFonts w:eastAsia="Arial" w:cs="Arial" w:ascii="Arial" w:hAnsi="Arial"/>
          <w:b/>
          <w:bCs/>
          <w:i w:val="false"/>
          <w:iCs w:val="false"/>
          <w:sz w:val="22"/>
          <w:szCs w:val="22"/>
        </w:rPr>
        <w:t>ABSTRACT</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Background</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Public lychee RNA-seq cohorts contain resistant/susceptible, tissue, time, and infection contrasts, but prior selected-gene analyses did not provide a genome-wide cultivar-by-infection discovery coupled to a prospective external-evidence firewall.</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Methods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We locked PRJNA830488 as discovery and fitted a genome-wide negative-binomial model with cultivar, infection, and cultivar-by-infection terms. Candidates required genome-wide Benjamini-Hochberg q&lt;0.05, absolute interaction log2 fold change at least log2(1.5), and uniform mapping/model quality. We froze genes, signed weights, pathways, and conditional transcript-usage results before opening external outcomes. Internal robustness covered independent quantification, edgeR, expression-filter sensitivity, leave-one-library-out analyses, and observed mapping sensitivity. Frozen evaluation used PRJNA450886 as the primary cross-context study; PRJNA922966 and PRJNA1090613 retained transfer or exploratory roles. Annotation, promoter motifs, small-RNA eligibility, and accession-aware literature were maintained as separate orthogonal classes.</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Results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All 12 discovery libraries passed the technical inclusion gates. Among 19445 expressed genes, 262 met the genome-wide interaction threshold and 206 remained after uniform mapping/model QC. 16 frozen genes and 1 frozen pathway passed all internal robustness gates. In the locked 24-h PRJNA450886 evaluation, 2 genes and 0 pathways were cross-context supported, while 5 genes were contradictory. The frozen signature result was estimate 0.109, 95% CI -0.079 to 0.297, q=0.349. Deterministic integration produced 0 Tier A genes, 12 Tier B genes, and 0 Tier C pathways; 65 entities were retired.</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Conclusions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evidence layers identify the exact scope of computational discoveries that are internally stable and, where observed, transport across a different tissue and resistant comparator. Cross-context support is not direct replication, and neither sequence annotation nor motif evidence establishes causality.</w:t>
      </w:r>
    </w:p>
    <w:p>
      <w:pPr>
        <w:pStyle w:val="BodyTextIndent1"/>
        <w:spacing w:before="0" w:after="125"/>
        <w:ind w:hanging="0"/>
        <w:jc w:val="both"/>
        <w:rPr>
          <w:rFonts w:ascii="Arial" w:hAnsi="Arial" w:eastAsia="Arial" w:cs="Arial"/>
          <w:b w:val="false"/>
          <w:bCs w:val="false"/>
          <w:i w:val="false"/>
          <w:i w:val="false"/>
          <w:iCs w:val="false"/>
          <w:sz w:val="21"/>
          <w:szCs w:val="21"/>
        </w:rPr>
      </w:pPr>
      <w:r>
        <w:rPr>
          <w:rFonts w:eastAsia="Arial" w:cs="Arial"/>
          <w:b w:val="false"/>
          <w:bCs w:val="false"/>
          <w:sz w:val="21"/>
          <w:szCs w:val="21"/>
        </w:rPr>
        <w:t xml:space="preserve">Keywords: lychee; </w:t>
      </w:r>
      <w:r>
        <w:rPr>
          <w:rFonts w:eastAsia="Arial" w:cs="Arial"/>
          <w:b w:val="false"/>
          <w:bCs w:val="false"/>
          <w:sz w:val="21"/>
          <w:szCs w:val="21"/>
          <w:i/>
          <w:iCs/>
        </w:rPr>
        <w:t>Litchi chinensis</w:t>
      </w:r>
      <w:r>
        <w:rPr>
          <w:rFonts w:eastAsia="Arial" w:cs="Arial"/>
          <w:b w:val="false"/>
          <w:bCs w:val="false"/>
          <w:sz w:val="21"/>
          <w:szCs w:val="21"/>
        </w:rPr>
        <w:t xml:space="preserve">; </w:t>
      </w:r>
      <w:r>
        <w:rPr>
          <w:rFonts w:eastAsia="Arial" w:cs="Arial"/>
          <w:b w:val="false"/>
          <w:bCs w:val="false"/>
          <w:sz w:val="21"/>
          <w:szCs w:val="21"/>
          <w:i/>
          <w:iCs/>
        </w:rPr>
        <w:t>Peronophythora litchii</w:t>
      </w:r>
      <w:r>
        <w:rPr>
          <w:rFonts w:eastAsia="Arial" w:cs="Arial"/>
          <w:b w:val="false"/>
          <w:bCs w:val="false"/>
          <w:sz w:val="21"/>
          <w:szCs w:val="21"/>
        </w:rPr>
        <w:t>; RNA-seq; genome-wide interaction; cross-context validation; transcript usage; reproducibility</w:t>
      </w:r>
    </w:p>
    <w:p>
      <w:pPr>
        <w:pStyle w:val="Heading1"/>
        <w:spacing w:before="159" w:after="68"/>
        <w:ind w:hanging="0"/>
        <w:jc w:val="start"/>
        <w:rPr>
          <w:rFonts w:ascii="Arial" w:hAnsi="Arial" w:eastAsia="Arial" w:cs="Arial"/>
          <w:b/>
          <w:bCs/>
          <w:i w:val="false"/>
          <w:i w:val="false"/>
          <w:iCs w:val="false"/>
          <w:sz w:val="22"/>
          <w:szCs w:val="22"/>
        </w:rPr>
      </w:pPr>
      <w:r>
        <w:rPr>
          <w:rFonts w:eastAsia="Arial" w:cs="Arial" w:ascii="Arial" w:hAnsi="Arial"/>
          <w:b/>
          <w:bCs/>
          <w:i w:val="false"/>
          <w:iCs w:val="false"/>
          <w:sz w:val="22"/>
          <w:szCs w:val="22"/>
        </w:rPr>
        <w:t>INTRODUCTION</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sz w:val="22"/>
          <w:szCs w:val="22"/>
        </w:rPr>
        <w:t>Lychee (</w:t>
      </w:r>
      <w:r>
        <w:rPr>
          <w:rFonts w:eastAsia="Arial" w:cs="Arial"/>
          <w:b w:val="false"/>
          <w:bCs w:val="false"/>
          <w:sz w:val="22"/>
          <w:szCs w:val="22"/>
          <w:i/>
          <w:iCs/>
        </w:rPr>
        <w:t>Litchi chinensis</w:t>
      </w:r>
      <w:r>
        <w:rPr>
          <w:rFonts w:eastAsia="Arial" w:cs="Arial"/>
          <w:b w:val="false"/>
          <w:bCs w:val="false"/>
          <w:sz w:val="22"/>
          <w:szCs w:val="22"/>
        </w:rPr>
        <w:t xml:space="preserve">) production is constrained by downy blight caused by the oomycete </w:t>
      </w:r>
      <w:r>
        <w:rPr>
          <w:rFonts w:eastAsia="Arial" w:cs="Arial"/>
          <w:b w:val="false"/>
          <w:bCs w:val="false"/>
          <w:sz w:val="22"/>
          <w:szCs w:val="22"/>
          <w:i/>
          <w:iCs/>
        </w:rPr>
        <w:t>Peronophythora litchii</w:t>
      </w:r>
      <w:r>
        <w:rPr>
          <w:rFonts w:eastAsia="Arial" w:cs="Arial"/>
          <w:b w:val="false"/>
          <w:bCs w:val="false"/>
          <w:sz w:val="22"/>
          <w:szCs w:val="22"/>
        </w:rPr>
        <w:t>. Public transcriptomic studies have profiled infection responses across cultivars, tissues, and time points, creating an opportunity to distinguish genome-wide cultivar-dependent responses from broad infection effects.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principal discovery series, GSE201243/PRJNA830488, contains Guiwei and Yurong1 leaf libraries under mock and infected conditions at 24 h. Earlier interpretation of this accession emphasized selected genes and promoter elements. Such selected-feature analyses cannot control a genome-wide multiplicity family and risk using the same cohort for both selection and apparent confirmation.</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We therefore implemented a discovery/validation firewall. Dataset roles, models, thresholds, empty-set behavior, and evidence vocabulary were frozen prospectively. Discovery refers only to the locked genome-wide interaction in PRJNA830488; robustness refers only to sensitivity within that study; external evidence is cross-context unless the biological estimand is directly replicated; and orthogonal evidence remains separate from expression support.</w:t>
      </w:r>
    </w:p>
    <w:p>
      <w:pPr>
        <w:pStyle w:val="Heading1"/>
        <w:spacing w:before="159" w:after="68"/>
        <w:ind w:hanging="0"/>
        <w:jc w:val="start"/>
        <w:rPr>
          <w:rFonts w:ascii="Arial" w:hAnsi="Arial" w:eastAsia="Arial" w:cs="Arial"/>
          <w:b/>
          <w:bCs/>
          <w:i w:val="false"/>
          <w:i w:val="false"/>
          <w:iCs w:val="false"/>
          <w:sz w:val="22"/>
          <w:szCs w:val="22"/>
        </w:rPr>
      </w:pPr>
      <w:r>
        <w:rPr>
          <w:rFonts w:eastAsia="Arial" w:cs="Arial" w:ascii="Arial" w:hAnsi="Arial"/>
          <w:b/>
          <w:bCs/>
          <w:i w:val="false"/>
          <w:iCs w:val="false"/>
          <w:sz w:val="22"/>
          <w:szCs w:val="22"/>
        </w:rPr>
        <w:t>RELATED WORK</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Sun et al. analyzed Guiwei and Heiye pericarp at 6, 24, and 48 h (PRJNA450886; doi:10.1038/s41598-019-39100-w) and reported distinct early response programs. Because that accession is the present primary external cohort, its paper is prior interpretation rather than independent validation. The GSE222650/651 Feizixiao small-RNA and mRNA studies provide condition-matched tissue contrasts but no shared BioSample accessions, so they cannot support specimen-level pairing. Molecular studies of the PlAvh202 effector (doi:10.1093/plphys/kiad311) and a pathogen transcriptome (doi:10.1371/journal.pone.0178245) provide biological context without automatically supporting a specific frozen host gene.</w:t>
      </w:r>
    </w:p>
    <w:p>
      <w:pPr>
        <w:pStyle w:val="Heading1"/>
        <w:spacing w:before="159" w:after="68"/>
        <w:ind w:hanging="0"/>
        <w:jc w:val="start"/>
        <w:rPr>
          <w:rFonts w:ascii="Arial" w:hAnsi="Arial" w:eastAsia="Arial" w:cs="Arial"/>
          <w:b/>
          <w:bCs/>
          <w:i w:val="false"/>
          <w:i w:val="false"/>
          <w:iCs w:val="false"/>
          <w:sz w:val="22"/>
          <w:szCs w:val="22"/>
        </w:rPr>
      </w:pPr>
      <w:r>
        <w:rPr>
          <w:rFonts w:eastAsia="Arial" w:cs="Arial" w:ascii="Arial" w:hAnsi="Arial"/>
          <w:b/>
          <w:bCs/>
          <w:i w:val="false"/>
          <w:iCs w:val="false"/>
          <w:sz w:val="22"/>
          <w:szCs w:val="22"/>
        </w:rPr>
        <w:t>MATERIALS AND METHODS</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Study design and evidence definitions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protocol and amendments are in analysis/preregistration. PRJNA830488 was the only discovery cohort. PRJNA450886 was primary cross-context evaluation, PRJNA922966 tested generic tissue/infection transfer, PRJNA922965 was orthogonal small RNA, and PRJNA1090613 remained exploratory because time and resistance metadata were unresolved. No external result could alter frozen membership or weights.</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Dataset provenance and eligibility</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NCBI and GEO metadata were reconciled into a biological-unit registry. Inferential q values are conditional on deposited-library independence because source-tree, pooling, harvest, and extraction independence were not reported for the discovery libraries. The primary model required at least three included libraries in every cultivar-treatment cell.</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References and preprocessing</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Host and pathogen references were combined with prefixed contig names. Paired reads were checked with FastQC, trimmed with fastp, aligned by STAR two-pass mapping, counted with featureCounts, and quantified independently with Salmon. Technical exclusion required fewer than 10 million surviving pairs or less than 40% unique alignment. GenMap-based exon uniqueness and observed candidate-level mapping checks were fixed before discovery.</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Discovery interaction model</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DESeq2 fitted counts with formula ~ cultivar + treatment + cultivar:treatment, using Guiwei and mock as reference levels. The primary coefficient was cultivarYurong1.treatmentinfected: positive values indicate a stronger infected-minus-mock response in Yurong1 than Guiwei. Genes required count ≥10 in at least three libraries, genome-wide BH q&lt;0.05, and |log2FC|≥log2(1.5). apeglm-shrunken interaction effects defined signed signature weights.</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Pathways and transcript usage</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Plant Reactome memberships were transported from one-to-one reciprocal-best Oryza protein matches. Pathway discovery used the frozen mapping and genome-wide interaction statistic. Transcript usage used Salmon abundances and a conditional inferential gate; no post hoc substitute was permitted if the gate failed.</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Internal robustness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Frozen genes were required to retain direction under Salmon gene aggregation, edgeR quasi-likelihood testing, a CPM filter, and leave-one-library-out fits. Predeclared correlation, effect-difference, q-value, leave-one-out, uniform mapping, and observed mapping-sensitivity gates were combined conjunctively, without an additive score. Frozen pathways required camera, roast, leading-edge deletion, and expression/length-matched null gates.</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External frozen evaluation</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PRJNA450886 used ~ cultivar*treatment*time. The primary estimand was resistant-minus-susceptible cultivar-by-infection at 24 h; 6 and 48 h were secondary. Frozen candidate tests used BH adjustment across candidate-by-contrast families, an absolute log2FC threshold of log2(1.5), confidence intervals excluding zero, and discovery-direction agreement. PRJNA922966 used ~ tissue + treatment + tissue:treatment. PRJNA1090613 could not promote a final tier.</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Annotation and orthogonal evidence</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Representative proteins were selected by longest CDS with lexicographic transcript tie-breaking. Reviewed Swiss-Prot release 2026_02 DIAMOND matches, targeted InterPro/Pfam matches, and one-to-one Oryza orthology were separate classes. High-confidence computational annotation required at least two classes, ≥70% supported sequence coverage, and no detected architecture conflict.</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official PmiREN bulk archive was audited before small-RNA analysis. Its frozen gate was NOT_TESTABLE_REFERENCE_ABSENT; no study-derived novel-miRNA reference was substituted. Motif discovery used JASPAR 2026 Plants, strand-aware 1-kb and 2-kb promoters, 100 expression/GC-matched backgrounds, AME as primary, FIMO as sensitivity, and cognate-TF expression. Only discovery-frozen robust PWMs were transported to an independently selected PRJNA450886 response set.</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Deterministic tiers and multiplicity</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Tier A required gene discovery, complete internal robustness, primary cross-context support, no mapping/annotation failure, and at least one attributable orthogonal class. Tier B required discovery and robustness with partial or non-testable external evidence. Tier C was reserved for a robust, externally supported frozen pathway without a qualifying Tier A member. Contradictory direction or mapping/annotation failure retired an entity. Zero Tier A candidates was allowed.</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Reproducibility</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Snakemake workflows enforce staged discovery, external unlock, one STAR sorting job at a time, verified cleanup, and SHA-256 manifests. The resolved environment, synthetic fixtures, resource releases, all plotted source data, and protocol amendments accompany the results.</w:t>
      </w:r>
    </w:p>
    <w:p>
      <w:pPr>
        <w:pStyle w:val="Heading1"/>
        <w:spacing w:before="159" w:after="68"/>
        <w:ind w:hanging="0"/>
        <w:jc w:val="start"/>
        <w:rPr>
          <w:rFonts w:ascii="Arial" w:hAnsi="Arial" w:eastAsia="Arial" w:cs="Arial"/>
          <w:b/>
          <w:bCs/>
          <w:i w:val="false"/>
          <w:i w:val="false"/>
          <w:iCs w:val="false"/>
          <w:sz w:val="22"/>
          <w:szCs w:val="22"/>
        </w:rPr>
      </w:pPr>
      <w:r>
        <w:rPr>
          <w:rFonts w:eastAsia="Arial" w:cs="Arial" w:ascii="Arial" w:hAnsi="Arial"/>
          <w:b/>
          <w:bCs/>
          <w:i w:val="false"/>
          <w:iCs w:val="false"/>
          <w:sz w:val="22"/>
          <w:szCs w:val="22"/>
        </w:rPr>
        <w:t>RESULTS</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Provenance and discovery-data quality</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All 12 PRJNA830488 libraries passed the fixed technical gate. The combined-reference alignment, per-library QC, PCA, sample distances, and uniform gene mappability are shown in Figure 2 and Supplementary S2.</w:t>
      </w:r>
    </w:p>
    <w:p>
      <w:pPr>
        <w:pStyle w:val="Normal"/>
        <w:ind w:hanging="0"/>
        <w:jc w:val="center"/>
        <w:rPr/>
      </w:pPr>
      <w:r>
        <w:rPr/>
        <w:drawing>
          <wp:inline distT="0" distB="0" distL="0" distR="0">
            <wp:extent cx="5831840" cy="2813685"/>
            <wp:effectExtent l="0" t="0" r="0" b="0"/>
            <wp:docPr id="1" name="Image1" descr="Figure 1. Locked dataset roles and discovery/validation firewall." title="Figure 1. Locked dataset roles and discovery/validation firewall."/>
            <wp:cNvGraphicFramePr>
              <a:graphicFrameLocks noChangeAspect="1"/>
            </wp:cNvGraphicFramePr>
            <a:graphic>
              <a:graphicData uri="http://schemas.openxmlformats.org/drawingml/2006/picture">
                <pic:pic>
                  <pic:nvPicPr>
                    <pic:cNvPr id="1" name="Image1" descr="Figure 1. Locked dataset roles and discovery/validation firewall." title="Figure 1. Locked dataset roles and discovery/validation firewall."/>
                    <pic:cNvPicPr>
                      <a:picLocks noChangeAspect="1" noChangeArrowheads="1"/>
                    </pic:cNvPicPr>
                  </pic:nvPicPr>
                  <pic:blipFill>
                    <a:blip r:embed="rId2"/>
                    <a:stretch>
                      <a:fillRect/>
                    </a:stretch>
                  </pic:blipFill>
                  <pic:spPr bwMode="auto">
                    <a:xfrm>
                      <a:off x="0" y="0"/>
                      <a:ext cx="5831840" cy="2813685"/>
                    </a:xfrm>
                    <a:prstGeom prst="rect">
                      <a:avLst/>
                    </a:prstGeom>
                  </pic:spPr>
                </pic:pic>
              </a:graphicData>
            </a:graphic>
          </wp:inline>
        </w:drawing>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Figure 1. Locked dataset roles and discovery/validation firewall.</w:t>
      </w:r>
    </w:p>
    <w:p>
      <w:pPr>
        <w:pStyle w:val="Normal"/>
        <w:ind w:hanging="0"/>
        <w:jc w:val="center"/>
        <w:rPr/>
      </w:pPr>
      <w:r>
        <w:rPr/>
        <w:drawing>
          <wp:inline distT="0" distB="0" distL="0" distR="0">
            <wp:extent cx="5831840" cy="3547745"/>
            <wp:effectExtent l="0" t="0" r="0" b="0"/>
            <wp:docPr id="2" name="Image2" descr="Figure 2. Discovery QC and genome-wide interaction." title="Figure 2. Discovery QC and genome-wide interaction."/>
            <wp:cNvGraphicFramePr>
              <a:graphicFrameLocks noChangeAspect="1"/>
            </wp:cNvGraphicFramePr>
            <a:graphic>
              <a:graphicData uri="http://schemas.openxmlformats.org/drawingml/2006/picture">
                <pic:pic>
                  <pic:nvPicPr>
                    <pic:cNvPr id="2" name="Image2" descr="Figure 2. Discovery QC and genome-wide interaction." title="Figure 2. Discovery QC and genome-wide interaction."/>
                    <pic:cNvPicPr>
                      <a:picLocks noChangeAspect="1" noChangeArrowheads="1"/>
                    </pic:cNvPicPr>
                  </pic:nvPicPr>
                  <pic:blipFill>
                    <a:blip r:embed="rId3"/>
                    <a:stretch>
                      <a:fillRect/>
                    </a:stretch>
                  </pic:blipFill>
                  <pic:spPr bwMode="auto">
                    <a:xfrm>
                      <a:off x="0" y="0"/>
                      <a:ext cx="5831840" cy="3547745"/>
                    </a:xfrm>
                    <a:prstGeom prst="rect">
                      <a:avLst/>
                    </a:prstGeom>
                  </pic:spPr>
                </pic:pic>
              </a:graphicData>
            </a:graphic>
          </wp:inline>
        </w:drawing>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Figure 2. Discovery QC and genome-wide interaction.</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Genome-wide cultivar-by-infection discovery</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Of 19445 expressed genes, 262 passed the statistical interaction threshold before uniform mapping/model QC and 206 were frozen as discoveries. 6 pathways were frozen at the primary pathway threshold. Positive interaction effects indicate stronger infection response in Yurong1; negative effects indicate stronger response in Guiwei.</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Internal robustness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16 of 206 frozen genes passed every quantification, statistical-method, filter, leave-one-out, and mapping gate. 1 of 6 frozen pathways passed the four conjunctive pathway robustness gates.</w:t>
      </w:r>
    </w:p>
    <w:p>
      <w:pPr>
        <w:pStyle w:val="Normal"/>
        <w:ind w:hanging="0"/>
        <w:jc w:val="center"/>
        <w:rPr/>
      </w:pPr>
      <w:r>
        <w:rPr/>
        <w:drawing>
          <wp:inline distT="0" distB="0" distL="0" distR="0">
            <wp:extent cx="5831840" cy="4607560"/>
            <wp:effectExtent l="0" t="0" r="0" b="0"/>
            <wp:docPr id="3" name="Image3" descr="Figure 3. Independent internal robustness layers." title="Figure 3. Independent internal robustness layers."/>
            <wp:cNvGraphicFramePr>
              <a:graphicFrameLocks noChangeAspect="1"/>
            </wp:cNvGraphicFramePr>
            <a:graphic>
              <a:graphicData uri="http://schemas.openxmlformats.org/drawingml/2006/picture">
                <pic:pic>
                  <pic:nvPicPr>
                    <pic:cNvPr id="3" name="Image3" descr="Figure 3. Independent internal robustness layers." title="Figure 3. Independent internal robustness layers."/>
                    <pic:cNvPicPr>
                      <a:picLocks noChangeAspect="1" noChangeArrowheads="1"/>
                    </pic:cNvPicPr>
                  </pic:nvPicPr>
                  <pic:blipFill>
                    <a:blip r:embed="rId4"/>
                    <a:stretch>
                      <a:fillRect/>
                    </a:stretch>
                  </pic:blipFill>
                  <pic:spPr bwMode="auto">
                    <a:xfrm>
                      <a:off x="0" y="0"/>
                      <a:ext cx="5831840" cy="4607560"/>
                    </a:xfrm>
                    <a:prstGeom prst="rect">
                      <a:avLst/>
                    </a:prstGeom>
                  </pic:spPr>
                </pic:pic>
              </a:graphicData>
            </a:graphic>
          </wp:inline>
        </w:drawing>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Figure 3. Independent internal robustness layers.</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Primary external cross-context evaluation</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At the locked PRJNA450886 24-h contrast, 2 frozen genes were cross-context supported, 5 were contradictory, and the remainder were unsupported or not testable under the fixed threshold. The frozen signed-signature result was estimate 0.109, 95% CI -0.079 to 0.297, q=0.349. No result is labeled direct replication because tissue and resistant comparator differ.</w:t>
      </w:r>
    </w:p>
    <w:p>
      <w:pPr>
        <w:pStyle w:val="Normal"/>
        <w:ind w:hanging="0"/>
        <w:jc w:val="center"/>
        <w:rPr/>
      </w:pPr>
      <w:r>
        <w:rPr/>
        <w:drawing>
          <wp:inline distT="0" distB="0" distL="0" distR="0">
            <wp:extent cx="5831840" cy="4220845"/>
            <wp:effectExtent l="0" t="0" r="0" b="0"/>
            <wp:docPr id="4" name="Image4" descr="Figure 4. External frozen evaluation." title="Figure 4. External frozen evaluation."/>
            <wp:cNvGraphicFramePr>
              <a:graphicFrameLocks noChangeAspect="1"/>
            </wp:cNvGraphicFramePr>
            <a:graphic>
              <a:graphicData uri="http://schemas.openxmlformats.org/drawingml/2006/picture">
                <pic:pic>
                  <pic:nvPicPr>
                    <pic:cNvPr id="4" name="Image4" descr="Figure 4. External frozen evaluation." title="Figure 4. External frozen evaluation."/>
                    <pic:cNvPicPr>
                      <a:picLocks noChangeAspect="1" noChangeArrowheads="1"/>
                    </pic:cNvPicPr>
                  </pic:nvPicPr>
                  <pic:blipFill>
                    <a:blip r:embed="rId5"/>
                    <a:stretch>
                      <a:fillRect/>
                    </a:stretch>
                  </pic:blipFill>
                  <pic:spPr bwMode="auto">
                    <a:xfrm>
                      <a:off x="0" y="0"/>
                      <a:ext cx="5831840" cy="4220845"/>
                    </a:xfrm>
                    <a:prstGeom prst="rect">
                      <a:avLst/>
                    </a:prstGeom>
                  </pic:spPr>
                </pic:pic>
              </a:graphicData>
            </a:graphic>
          </wp:inline>
        </w:drawing>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Figure 4. External frozen evaluation.</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Frozen pathways and signature</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0 frozen pathways passed camera, roast, fgsea, leading-edge deletion, and matched-null external gates in PRJNA450886. Transfer-study and exploratory outcomes are retained in electronic Table 4 and Supplementary S5-S6 without changing frozen definitions.</w:t>
      </w:r>
    </w:p>
    <w:p>
      <w:pPr>
        <w:pStyle w:val="Normal"/>
        <w:ind w:hanging="0"/>
        <w:jc w:val="center"/>
        <w:rPr/>
      </w:pPr>
      <w:r>
        <w:rPr/>
        <w:drawing>
          <wp:inline distT="0" distB="0" distL="0" distR="0">
            <wp:extent cx="5831840" cy="1841500"/>
            <wp:effectExtent l="0" t="0" r="0" b="0"/>
            <wp:docPr id="5" name="Image5" descr="Figure 5. Frozen pathway and signed-signature evaluation." title="Figure 5. Frozen pathway and signed-signature evaluation."/>
            <wp:cNvGraphicFramePr>
              <a:graphicFrameLocks noChangeAspect="1"/>
            </wp:cNvGraphicFramePr>
            <a:graphic>
              <a:graphicData uri="http://schemas.openxmlformats.org/drawingml/2006/picture">
                <pic:pic>
                  <pic:nvPicPr>
                    <pic:cNvPr id="5" name="Image5" descr="Figure 5. Frozen pathway and signed-signature evaluation." title="Figure 5. Frozen pathway and signed-signature evaluation."/>
                    <pic:cNvPicPr>
                      <a:picLocks noChangeAspect="1" noChangeArrowheads="1"/>
                    </pic:cNvPicPr>
                  </pic:nvPicPr>
                  <pic:blipFill>
                    <a:blip r:embed="rId6"/>
                    <a:stretch>
                      <a:fillRect/>
                    </a:stretch>
                  </pic:blipFill>
                  <pic:spPr bwMode="auto">
                    <a:xfrm>
                      <a:off x="0" y="0"/>
                      <a:ext cx="5831840" cy="1841500"/>
                    </a:xfrm>
                    <a:prstGeom prst="rect">
                      <a:avLst/>
                    </a:prstGeom>
                  </pic:spPr>
                </pic:pic>
              </a:graphicData>
            </a:graphic>
          </wp:inline>
        </w:drawing>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Figure 5. Frozen pathway and signed-signature evaluation.</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Conditional transcript usage</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225 frozen transcript-usage results passed the conditional gate.</w:t>
      </w:r>
    </w:p>
    <w:p>
      <w:pPr>
        <w:pStyle w:val="Normal"/>
        <w:ind w:hanging="0"/>
        <w:jc w:val="center"/>
        <w:rPr/>
      </w:pPr>
      <w:r>
        <w:rPr/>
        <w:drawing>
          <wp:inline distT="0" distB="0" distL="0" distR="0">
            <wp:extent cx="5831840" cy="2578100"/>
            <wp:effectExtent l="0" t="0" r="0" b="0"/>
            <wp:docPr id="6" name="Image6" descr="Figure 6. Conditional DTU discovery and external assessment." title="Figure 6. Conditional DTU discovery and external assessment."/>
            <wp:cNvGraphicFramePr>
              <a:graphicFrameLocks noChangeAspect="1"/>
            </wp:cNvGraphicFramePr>
            <a:graphic>
              <a:graphicData uri="http://schemas.openxmlformats.org/drawingml/2006/picture">
                <pic:pic>
                  <pic:nvPicPr>
                    <pic:cNvPr id="6" name="Image6" descr="Figure 6. Conditional DTU discovery and external assessment." title="Figure 6. Conditional DTU discovery and external assessment."/>
                    <pic:cNvPicPr>
                      <a:picLocks noChangeAspect="1" noChangeArrowheads="1"/>
                    </pic:cNvPicPr>
                  </pic:nvPicPr>
                  <pic:blipFill>
                    <a:blip r:embed="rId7"/>
                    <a:stretch>
                      <a:fillRect/>
                    </a:stretch>
                  </pic:blipFill>
                  <pic:spPr bwMode="auto">
                    <a:xfrm>
                      <a:off x="0" y="0"/>
                      <a:ext cx="5831840" cy="2578100"/>
                    </a:xfrm>
                    <a:prstGeom prst="rect">
                      <a:avLst/>
                    </a:prstGeom>
                  </pic:spPr>
                </pic:pic>
              </a:graphicData>
            </a:graphic>
          </wp:inline>
        </w:drawing>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Figure 6. Conditional DTU discovery and external assessment.</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Orthogonal evidence</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0 frozen genes met the high-confidence computational annotation rule. 0 discovery motifs met the 100-background, two-window, and TF-expression gate; 0 of these transported under the external frozen test. Small-RNA coherence remained NOT_TESTABLE_REFERENCE_ABSENT. Literature entries reusing a current accession were retained as prior interpretation, not independent support.</w:t>
      </w:r>
    </w:p>
    <w:p>
      <w:pPr>
        <w:pStyle w:val="Normal"/>
        <w:ind w:hanging="0"/>
        <w:jc w:val="center"/>
        <w:rPr/>
      </w:pPr>
      <w:r>
        <w:rPr/>
        <w:drawing>
          <wp:inline distT="0" distB="0" distL="0" distR="0">
            <wp:extent cx="5831840" cy="4352290"/>
            <wp:effectExtent l="0" t="0" r="0" b="0"/>
            <wp:docPr id="7" name="Image7" descr="Figure 7. Orthogonal evidence layers." title="Figure 7. Orthogonal evidence layers."/>
            <wp:cNvGraphicFramePr>
              <a:graphicFrameLocks noChangeAspect="1"/>
            </wp:cNvGraphicFramePr>
            <a:graphic>
              <a:graphicData uri="http://schemas.openxmlformats.org/drawingml/2006/picture">
                <pic:pic>
                  <pic:nvPicPr>
                    <pic:cNvPr id="7" name="Image7" descr="Figure 7. Orthogonal evidence layers." title="Figure 7. Orthogonal evidence layers."/>
                    <pic:cNvPicPr>
                      <a:picLocks noChangeAspect="1" noChangeArrowheads="1"/>
                    </pic:cNvPicPr>
                  </pic:nvPicPr>
                  <pic:blipFill>
                    <a:blip r:embed="rId8"/>
                    <a:stretch>
                      <a:fillRect/>
                    </a:stretch>
                  </pic:blipFill>
                  <pic:spPr bwMode="auto">
                    <a:xfrm>
                      <a:off x="0" y="0"/>
                      <a:ext cx="5831840" cy="4352290"/>
                    </a:xfrm>
                    <a:prstGeom prst="rect">
                      <a:avLst/>
                    </a:prstGeom>
                  </pic:spPr>
                </pic:pic>
              </a:graphicData>
            </a:graphic>
          </wp:inline>
        </w:drawing>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Figure 7. Orthogonal evidence layers.</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Final deterministic tiers and contradictory results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frozen matrix assigned Tier A to none, Tier B to LITCHI005805, LITCHI008721, LITCHI010877, LITCHI013915, LITCHI014613, LITCHI015740, LITCHI015982, LITCHI016077, LITCHI021546, LITCHI022605, LITCHI028717, LITCHI028926, and Tier C to none. 65 entities were retired, including LITCHI000241, LITCHI001085, LITCHI001279, LITCHI001696, LITCHI001700, LITCHI003064, LITCHI003379, LITCHI003665, LITCHI004137, LITCHI004429, LITCHI005026, LITCHI005338, LITCHI005404, LITCHI005631, LITCHI008313, LITCHI009437, LITCHI009978, LITCHI009986, LITCHI010009, LITCHI010490, LITCHI010704, LITCHI010779, LITCHI010874, LITCHI011561, LITCHI011966, LITCHI012300, LITCHI012927, LITCHI012980, LITCHI013400, LITCHI013576, LITCHI013662, LITCHI014006, LITCHI014435, LITCHI014512, LITCHI014699, LITCHI014858, LITCHI015541, LITCHI015623, LITCHI016030, LITCHI017118, LITCHI017811, LITCHI017972, LITCHI018449, LITCHI019399, LITCHI019568, LITCHI020348, LITCHI020381, LITCHI021593, LITCHI021860, LITCHI022640, LITCHI023325, LITCHI023626, LITCHI024633, LITCHI025853, LITCHI026893, LITCHI027558, LITCHI028829, LITCHI029455, LITCHI029534, LITCHI029642, LITCHI029701, LITCHI029848, LITCHI030155, LITCHI030447, LITCHI030761. Contradictory and failed results remain visible in results/candidates/contradictory_results.tsv.</w:t>
      </w:r>
    </w:p>
    <w:p>
      <w:pPr>
        <w:pStyle w:val="Normal"/>
        <w:ind w:hanging="0"/>
        <w:jc w:val="center"/>
        <w:rPr/>
      </w:pPr>
      <w:r>
        <w:rPr/>
        <w:drawing>
          <wp:inline distT="0" distB="0" distL="0" distR="0">
            <wp:extent cx="5831840" cy="7444740"/>
            <wp:effectExtent l="0" t="0" r="0" b="0"/>
            <wp:docPr id="8" name="Image8" descr="Figure 8. Separate evidence layers and deterministic final tiers." title="Figure 8. Separate evidence layers and deterministic final tiers."/>
            <wp:cNvGraphicFramePr>
              <a:graphicFrameLocks noChangeAspect="1"/>
            </wp:cNvGraphicFramePr>
            <a:graphic>
              <a:graphicData uri="http://schemas.openxmlformats.org/drawingml/2006/picture">
                <pic:pic>
                  <pic:nvPicPr>
                    <pic:cNvPr id="8" name="Image8" descr="Figure 8. Separate evidence layers and deterministic final tiers." title="Figure 8. Separate evidence layers and deterministic final tiers."/>
                    <pic:cNvPicPr>
                      <a:picLocks noChangeAspect="1" noChangeArrowheads="1"/>
                    </pic:cNvPicPr>
                  </pic:nvPicPr>
                  <pic:blipFill>
                    <a:blip r:embed="rId9"/>
                    <a:stretch>
                      <a:fillRect/>
                    </a:stretch>
                  </pic:blipFill>
                  <pic:spPr bwMode="auto">
                    <a:xfrm>
                      <a:off x="0" y="0"/>
                      <a:ext cx="5831840" cy="7444740"/>
                    </a:xfrm>
                    <a:prstGeom prst="rect">
                      <a:avLst/>
                    </a:prstGeom>
                  </pic:spPr>
                </pic:pic>
              </a:graphicData>
            </a:graphic>
          </wp:inline>
        </w:drawing>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Figure 8. Separate evidence layers and deterministic final tiers.</w:t>
      </w:r>
    </w:p>
    <w:p>
      <w:pPr>
        <w:pStyle w:val="Heading1"/>
        <w:spacing w:before="159" w:after="68"/>
        <w:ind w:hanging="0"/>
        <w:jc w:val="start"/>
        <w:rPr>
          <w:rFonts w:ascii="Arial" w:hAnsi="Arial" w:eastAsia="Arial" w:cs="Arial"/>
          <w:b/>
          <w:bCs/>
          <w:i w:val="false"/>
          <w:i w:val="false"/>
          <w:iCs w:val="false"/>
          <w:sz w:val="22"/>
          <w:szCs w:val="22"/>
        </w:rPr>
      </w:pPr>
      <w:r>
        <w:rPr>
          <w:rFonts w:eastAsia="Arial" w:cs="Arial" w:ascii="Arial" w:hAnsi="Arial"/>
          <w:b/>
          <w:bCs/>
          <w:i w:val="false"/>
          <w:iCs w:val="false"/>
          <w:sz w:val="22"/>
          <w:szCs w:val="22"/>
        </w:rPr>
        <w:t>DISCUSSION</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analysis replaces selected-gene reuse with a genome-wide interaction discovery whose membership was fixed before external outcome access. This separation matters: a result can be statistically discovered but internally unstable, internally robust but externally not testable, or externally supported without being a direct replication.</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PRJNA450886 changes tissue, resistant comparator, and time structure. Directionally concordant threshold-passing results therefore demonstrate transport across context, not repetition of the original biological experiment. PRJNA922966 addresses generic tissue/infection transfer and cannot test the cultivar interaction. PRJNA1090613 remains exploratory because unresolved metadata prevent a standardized confirmatory interpretation.</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Pathway and signed-signature results can be more transportable than individual genes, but they remain dependent on the frozen Oryza-to-lychee mapping and pathway universe. Leading-edge deletion and matched-null analyses reduce, but do not eliminate, concerns about single-gene dominance or generic expression/length effects.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Annotation, motif enrichment, and literature contribute different kinds of evidence. Sequence/domain agreement supports a computational function label but not biological action in infected lychee. A transported promoter PWM is a candidate regulatory pattern, not proof of binding. The absent frozen PmiREN litchi reference made known-miRNA coherence non-testable; substituting study-derived novel sequences after viewing the gate would have violated the protocol.</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Limitations include small deposited-library cell sizes, unknown source-unit independence, possible reference bias despite uniform and observed mapping checks, and lack of a direct biological replication cohort. External tissues and cultivar contrasts are deliberately heterogeneous. The deterministic framework makes these limitations visible and permits zero headline candidates rather than forcing a ranked list.</w:t>
      </w:r>
    </w:p>
    <w:p>
      <w:pPr>
        <w:pStyle w:val="Heading1"/>
        <w:spacing w:before="159" w:after="68"/>
        <w:ind w:hanging="0"/>
        <w:jc w:val="start"/>
        <w:rPr>
          <w:rFonts w:ascii="Arial" w:hAnsi="Arial" w:eastAsia="Arial" w:cs="Arial"/>
          <w:b/>
          <w:bCs/>
          <w:i w:val="false"/>
          <w:i w:val="false"/>
          <w:iCs w:val="false"/>
          <w:sz w:val="22"/>
          <w:szCs w:val="22"/>
        </w:rPr>
      </w:pPr>
      <w:r>
        <w:rPr>
          <w:rFonts w:eastAsia="Arial" w:cs="Arial" w:ascii="Arial" w:hAnsi="Arial"/>
          <w:b/>
          <w:bCs/>
          <w:i w:val="false"/>
          <w:iCs w:val="false"/>
          <w:sz w:val="22"/>
          <w:szCs w:val="22"/>
        </w:rPr>
        <w:t>CONCLUSION</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This study provides a genome-wide, prospectively frozen cultivar-by-infection reanalysis of public lychee RNA-seq data, separates internal stability from cross-context evidence, and releases the resulting candidate/signature resource with null and contradictory outcomes. The final claims are computational and context-bounded; experimental perturbation and genuinely independent biological replication remain necessary for causal inference.</w:t>
      </w:r>
    </w:p>
    <w:p>
      <w:pPr>
        <w:pStyle w:val="Heading1"/>
        <w:spacing w:before="159" w:after="68"/>
        <w:ind w:hanging="0"/>
        <w:jc w:val="start"/>
        <w:rPr>
          <w:rFonts w:ascii="Arial" w:hAnsi="Arial" w:eastAsia="Arial" w:cs="Arial"/>
          <w:b/>
          <w:bCs/>
          <w:i w:val="false"/>
          <w:i w:val="false"/>
          <w:iCs w:val="false"/>
          <w:sz w:val="22"/>
          <w:szCs w:val="22"/>
        </w:rPr>
      </w:pPr>
      <w:r>
        <w:rPr>
          <w:rFonts w:eastAsia="Arial" w:cs="Arial" w:ascii="Arial" w:hAnsi="Arial"/>
          <w:b/>
          <w:bCs/>
          <w:i w:val="false"/>
          <w:iCs w:val="false"/>
          <w:sz w:val="22"/>
          <w:szCs w:val="22"/>
        </w:rPr>
        <w:t>DATA AND CODE AVAILABILITY</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Primary public accessions are PRJNA830488/GSE201243, PRJNA450886, PRJNA922965/GSE222650, PRJNA922966/GSE222651, and PRJNA1090613/GSE262200. Exact reference releases and SHA-256 checksums are in analysis/config/resource_registry.tsv and data/reference manifests. The resolved environment is analysis/envs/lychee-discovery-resolved.yml. Protocol, amendments, result manifests, source data, and workflows are included in this repository. A repository release URL and archival DOI require the repository owner to publish the generated release and are explicitly marked pending in the submission-gate report.</w:t>
      </w:r>
    </w:p>
    <w:p>
      <w:pPr>
        <w:pStyle w:val="Heading1"/>
        <w:spacing w:before="159" w:after="68"/>
        <w:ind w:hanging="0"/>
        <w:jc w:val="start"/>
        <w:rPr>
          <w:rFonts w:ascii="Arial" w:hAnsi="Arial" w:eastAsia="Arial" w:cs="Arial"/>
          <w:b/>
          <w:bCs/>
          <w:i w:val="false"/>
          <w:i w:val="false"/>
          <w:iCs w:val="false"/>
          <w:sz w:val="22"/>
          <w:szCs w:val="22"/>
        </w:rPr>
      </w:pPr>
      <w:r>
        <w:rPr>
          <w:rFonts w:eastAsia="Arial" w:cs="Arial" w:ascii="Arial" w:hAnsi="Arial"/>
          <w:b/>
          <w:bCs/>
          <w:i w:val="false"/>
          <w:iCs w:val="false"/>
          <w:sz w:val="22"/>
          <w:szCs w:val="22"/>
        </w:rPr>
        <w:t>SUPPLEMENTARY INFORMATION</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Supplementary S1-S13 contain the biological-unit registry, per-library QC, all discovery statistics, robustness manifests, all external frozen tests, pathway/signature tests, DTU, annotation/orthology, small-RNA gates, motif/background tests, the evidence registry, scripts/environments/commands, and amendments. Every main figure has a TSV source-data file.</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Electronic supplementary data</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complete machine-readable tables are distributed with the repository and are not embedded in this DOCX because several contain thousands to hundreds of thousands of rows. Every item is checksum-covered by the release bundle.</w:t>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Electronic supplementary data inventory.</w:t>
      </w:r>
    </w:p>
    <w:tbl>
      <w:tblPr>
        <w:tblW w:w="5000" w:type="pct"/>
        <w:jc w:val="start"/>
        <w:tblInd w:w="55" w:type="dxa"/>
        <w:tblLayout w:type="fixed"/>
        <w:tblCellMar>
          <w:top w:w="55" w:type="dxa"/>
          <w:start w:w="55" w:type="dxa"/>
          <w:bottom w:w="55" w:type="dxa"/>
          <w:end w:w="55" w:type="dxa"/>
        </w:tblCellMar>
      </w:tblPr>
      <w:tblGrid>
        <w:gridCol w:w="4680"/>
        <w:gridCol w:w="4680"/>
      </w:tblGrid>
      <w:tr>
        <w:trPr>
          <w:tblHeader w:val="true"/>
        </w:trPr>
        <w:tc>
          <w:tcPr>
            <w:tcW w:w="4680" w:type="dxa"/>
            <w:tcBorders>
              <w:top w:val="single" w:sz="4" w:space="0" w:color="000000"/>
              <w:start w:val="single" w:sz="4" w:space="0" w:color="000000"/>
              <w:bottom w:val="single" w:sz="4" w:space="0" w:color="000000"/>
            </w:tcBorders>
            <w:shd w:fill="D9EAF7" w:val="clear"/>
          </w:tcPr>
          <w:p>
            <w:pPr>
              <w:pStyle w:val="TableHeading"/>
              <w:jc w:val="start"/>
              <w:rPr>
                <w:rFonts w:ascii="Arial" w:hAnsi="Arial"/>
                <w:b/>
                <w:sz w:val="15"/>
              </w:rPr>
            </w:pPr>
            <w:r>
              <w:rPr>
                <w:rFonts w:ascii="Arial" w:hAnsi="Arial"/>
                <w:b/>
                <w:sz w:val="15"/>
              </w:rPr>
              <w:t>Artifact</w:t>
            </w:r>
          </w:p>
        </w:tc>
        <w:tc>
          <w:tcPr>
            <w:tcW w:w="4680" w:type="dxa"/>
            <w:tcBorders>
              <w:top w:val="single" w:sz="4" w:space="0" w:color="000000"/>
              <w:start w:val="single" w:sz="4" w:space="0" w:color="000000"/>
              <w:bottom w:val="single" w:sz="4" w:space="0" w:color="000000"/>
              <w:end w:val="single" w:sz="4" w:space="0" w:color="000000"/>
            </w:tcBorders>
            <w:shd w:fill="D9EAF7" w:val="clear"/>
          </w:tcPr>
          <w:p>
            <w:pPr>
              <w:pStyle w:val="TableHeading"/>
              <w:jc w:val="start"/>
              <w:rPr>
                <w:rFonts w:ascii="Arial" w:hAnsi="Arial"/>
                <w:b/>
                <w:sz w:val="15"/>
              </w:rPr>
            </w:pPr>
            <w:r>
              <w:rPr>
                <w:rFonts w:ascii="Arial" w:hAnsi="Arial"/>
                <w:b/>
                <w:sz w:val="15"/>
              </w:rPr>
              <w:t>Contents</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results/tables/Table1_dataset_roles_eligibility.tsv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Dataset roles, estimands, eligibility, and locked limitations. Rows: 6.</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results/tables/Table2_frozen_discovery.tsv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All frozen gene and pathway discoveries. Rows: 268.</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results/tables/Table3_internal_robustness.tsv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Gene and pathway internal-robustness outcomes. Rows: 212.</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results/tables/Table4_external_evaluation.tsv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All external frozen gene and pathway evaluations. Rows: 1,460.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results/tables/Table5_orthogonal_final_status.tsv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Orthogonal evidence and deterministic final status. Rows: 268.</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results/supplement/S10_motif_background_tests.tsv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Motif/background tests and sensitivity results. Rows: 752,724.</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results/supplement/S11_evidence_registry.tsv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Accession-aware published-evidence registry. Rows: 5.</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results/supplement/S12_scripts_environments_commands.tsv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Scripts, environments, and command inventory. Rows: 62.</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results/supplement/S13_amendment_deviation_log.tsv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Protocol amendments and deviations. Rows: 24.</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results/supplement/S1_biological_unit_registry.tsv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Biological-unit and accession registry. Rows: 84.</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results/supplement/S2_per_library_QC.tsv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Per-library discovery QC. Rows: 12.</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results/supplement/S3_all_discovery_statistics.tsv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Genome-wide discovery statistics. Rows: 19,445.</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results/supplement/S4_robustness_file_manifest.tsv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Internal robustness file manifest. Rows: 20.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results/supplement/S5_all_external_frozen_tests.tsv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All external frozen tests. Rows: 2,135.</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results/supplement/S6_pathway_signature_tests.tsv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Pathway and signature tests. Rows: 25.</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results/supplement/S7_DTU_results.tsv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Conditional differential-transcript-usage results. Rows: 15,790.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results/supplement/S8_annotation_orthology.tsv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Candidate annotation and orthology evidence. Rows: 206.</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results/supplement/S9_small_RNA_results.tsv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Small-RNA reference-gate outcome. Rows: 1.</w:t>
            </w:r>
          </w:p>
        </w:tc>
      </w:tr>
    </w:tbl>
    <w:p>
      <w:pPr>
        <w:pStyle w:val="Normal"/>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r>
    </w:p>
    <w:p>
      <w:pPr>
        <w:pStyle w:val="Heading1"/>
        <w:spacing w:before="159" w:after="68"/>
        <w:ind w:hanging="0"/>
        <w:jc w:val="start"/>
        <w:rPr>
          <w:rFonts w:ascii="Arial" w:hAnsi="Arial" w:eastAsia="Arial" w:cs="Arial"/>
          <w:b/>
          <w:bCs/>
          <w:i w:val="false"/>
          <w:i w:val="false"/>
          <w:iCs w:val="false"/>
          <w:sz w:val="22"/>
          <w:szCs w:val="22"/>
        </w:rPr>
      </w:pPr>
      <w:r>
        <w:rPr>
          <w:rFonts w:eastAsia="Arial" w:cs="Arial" w:ascii="Arial" w:hAnsi="Arial"/>
          <w:b/>
          <w:bCs/>
          <w:i w:val="false"/>
          <w:iCs w:val="false"/>
          <w:sz w:val="22"/>
          <w:szCs w:val="22"/>
        </w:rPr>
        <w:t>REFERENCES</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sz w:val="19"/>
          <w:szCs w:val="19"/>
        </w:rPr>
        <w:t xml:space="preserve">1. Sun et al. Early responses given distinct tactics to infection of </w:t>
      </w:r>
      <w:r>
        <w:rPr>
          <w:rFonts w:eastAsia="Arial" w:cs="Arial" w:ascii="Arial" w:hAnsi="Arial"/>
          <w:b w:val="false"/>
          <w:bCs w:val="false"/>
          <w:sz w:val="19"/>
          <w:szCs w:val="19"/>
          <w:i/>
          <w:iCs/>
        </w:rPr>
        <w:t>Peronophythora litchii</w:t>
      </w:r>
      <w:r>
        <w:rPr>
          <w:rFonts w:eastAsia="Arial" w:cs="Arial" w:ascii="Arial" w:hAnsi="Arial"/>
          <w:b w:val="false"/>
          <w:bCs w:val="false"/>
          <w:sz w:val="19"/>
          <w:szCs w:val="19"/>
        </w:rPr>
        <w:t xml:space="preserve"> in susceptible and resistant litchi cultivar. Scientific Reports. 2019. doi:10.1038/s41598-019-39100-w.</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sz w:val="19"/>
          <w:szCs w:val="19"/>
        </w:rPr>
        <w:t xml:space="preserve">2. Wang et al. </w:t>
      </w:r>
      <w:r>
        <w:rPr>
          <w:rFonts w:eastAsia="Arial" w:cs="Arial" w:ascii="Arial" w:hAnsi="Arial"/>
          <w:b w:val="false"/>
          <w:bCs w:val="false"/>
          <w:sz w:val="19"/>
          <w:szCs w:val="19"/>
          <w:i/>
          <w:iCs/>
        </w:rPr>
        <w:t>Peronophythora litchii</w:t>
      </w:r>
      <w:r>
        <w:rPr>
          <w:rFonts w:eastAsia="Arial" w:cs="Arial" w:ascii="Arial" w:hAnsi="Arial"/>
          <w:b w:val="false"/>
          <w:bCs w:val="false"/>
          <w:sz w:val="19"/>
          <w:szCs w:val="19"/>
        </w:rPr>
        <w:t xml:space="preserve"> RXLR effector PlAvh202 destabilizes a host ethylene biosynthesis enzyme. Plant Physiology. 2023. doi:10.1093/plphys/kiad311.</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3. Ye et al. Transcriptome analysis of Phytophthora litchii reveals pathogenicity arsenals and confirms taxonomic status. PLOS ONE. 2017. doi:10.1371/journal.pone.0178245.</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4. MEME Suite documentation. https://meme-suite.org/</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5. JASPAR. https://jaspar.elixir.no/</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6. InterPro. https://www.ebi.ac.uk/interpro/</w:t>
      </w:r>
    </w:p>
    <w:p>
      <w:pPr>
        <w:pStyle w:val="Heading1"/>
        <w:spacing w:before="159" w:after="68"/>
        <w:ind w:hanging="0"/>
        <w:jc w:val="start"/>
        <w:rPr>
          <w:rFonts w:ascii="Arial" w:hAnsi="Arial" w:eastAsia="Arial" w:cs="Arial"/>
          <w:b/>
          <w:bCs/>
          <w:i w:val="false"/>
          <w:i w:val="false"/>
          <w:iCs w:val="false"/>
          <w:sz w:val="22"/>
          <w:szCs w:val="22"/>
        </w:rPr>
      </w:pPr>
      <w:r>
        <w:rPr>
          <w:rFonts w:eastAsia="Arial" w:cs="Arial" w:ascii="Arial" w:hAnsi="Arial"/>
          <w:b/>
          <w:bCs/>
          <w:i w:val="false"/>
          <w:iCs w:val="false"/>
          <w:sz w:val="22"/>
          <w:szCs w:val="22"/>
        </w:rPr>
        <w:t>TABLES</w:t>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Table 1. Locked dataset roles and eligibility (condensed from electronic Table 1).</w:t>
      </w:r>
    </w:p>
    <w:tbl>
      <w:tblPr>
        <w:tblW w:w="5000" w:type="pct"/>
        <w:jc w:val="start"/>
        <w:tblInd w:w="55" w:type="dxa"/>
        <w:tblLayout w:type="fixed"/>
        <w:tblCellMar>
          <w:top w:w="55" w:type="dxa"/>
          <w:start w:w="55" w:type="dxa"/>
          <w:bottom w:w="55" w:type="dxa"/>
          <w:end w:w="55" w:type="dxa"/>
        </w:tblCellMar>
      </w:tblPr>
      <w:tblGrid>
        <w:gridCol w:w="2340"/>
        <w:gridCol w:w="2340"/>
        <w:gridCol w:w="2340"/>
        <w:gridCol w:w="2340"/>
      </w:tblGrid>
      <w:tr>
        <w:trPr>
          <w:tblHeader w:val="true"/>
        </w:trPr>
        <w:tc>
          <w:tcPr>
            <w:tcW w:w="2340" w:type="dxa"/>
            <w:tcBorders>
              <w:top w:val="single" w:sz="4" w:space="0" w:color="000000"/>
              <w:start w:val="single" w:sz="4" w:space="0" w:color="000000"/>
              <w:bottom w:val="single" w:sz="4" w:space="0" w:color="000000"/>
            </w:tcBorders>
            <w:shd w:fill="D9EAF7" w:val="clear"/>
          </w:tcPr>
          <w:p>
            <w:pPr>
              <w:pStyle w:val="TableHeading"/>
              <w:jc w:val="start"/>
              <w:rPr>
                <w:rFonts w:ascii="Arial" w:hAnsi="Arial"/>
                <w:b/>
                <w:sz w:val="14"/>
              </w:rPr>
            </w:pPr>
            <w:r>
              <w:rPr>
                <w:rFonts w:ascii="Arial" w:hAnsi="Arial"/>
                <w:b/>
                <w:sz w:val="14"/>
              </w:rPr>
              <w:t>Accession</w:t>
            </w:r>
          </w:p>
        </w:tc>
        <w:tc>
          <w:tcPr>
            <w:tcW w:w="2340" w:type="dxa"/>
            <w:tcBorders>
              <w:top w:val="single" w:sz="4" w:space="0" w:color="000000"/>
              <w:start w:val="single" w:sz="4" w:space="0" w:color="000000"/>
              <w:bottom w:val="single" w:sz="4" w:space="0" w:color="000000"/>
            </w:tcBorders>
            <w:shd w:fill="D9EAF7" w:val="clear"/>
          </w:tcPr>
          <w:p>
            <w:pPr>
              <w:pStyle w:val="TableHeading"/>
              <w:jc w:val="start"/>
              <w:rPr>
                <w:rFonts w:ascii="Arial" w:hAnsi="Arial"/>
                <w:b/>
                <w:sz w:val="14"/>
              </w:rPr>
            </w:pPr>
            <w:r>
              <w:rPr>
                <w:rFonts w:ascii="Arial" w:hAnsi="Arial"/>
                <w:b/>
                <w:sz w:val="14"/>
              </w:rPr>
              <w:t>Design</w:t>
            </w:r>
          </w:p>
        </w:tc>
        <w:tc>
          <w:tcPr>
            <w:tcW w:w="2340" w:type="dxa"/>
            <w:tcBorders>
              <w:top w:val="single" w:sz="4" w:space="0" w:color="000000"/>
              <w:start w:val="single" w:sz="4" w:space="0" w:color="000000"/>
              <w:bottom w:val="single" w:sz="4" w:space="0" w:color="000000"/>
            </w:tcBorders>
            <w:shd w:fill="D9EAF7" w:val="clear"/>
          </w:tcPr>
          <w:p>
            <w:pPr>
              <w:pStyle w:val="TableHeading"/>
              <w:jc w:val="start"/>
              <w:rPr>
                <w:rFonts w:ascii="Arial" w:hAnsi="Arial"/>
                <w:b/>
                <w:sz w:val="14"/>
              </w:rPr>
            </w:pPr>
            <w:r>
              <w:rPr>
                <w:rFonts w:ascii="Arial" w:hAnsi="Arial"/>
                <w:b/>
                <w:sz w:val="14"/>
              </w:rPr>
              <w:t>Role</w:t>
            </w:r>
          </w:p>
        </w:tc>
        <w:tc>
          <w:tcPr>
            <w:tcW w:w="2340" w:type="dxa"/>
            <w:tcBorders>
              <w:top w:val="single" w:sz="4" w:space="0" w:color="000000"/>
              <w:start w:val="single" w:sz="4" w:space="0" w:color="000000"/>
              <w:bottom w:val="single" w:sz="4" w:space="0" w:color="000000"/>
              <w:end w:val="single" w:sz="4" w:space="0" w:color="000000"/>
            </w:tcBorders>
            <w:shd w:fill="D9EAF7" w:val="clear"/>
          </w:tcPr>
          <w:p>
            <w:pPr>
              <w:pStyle w:val="TableHeading"/>
              <w:jc w:val="start"/>
              <w:rPr>
                <w:rFonts w:ascii="Arial" w:hAnsi="Arial"/>
                <w:b/>
                <w:sz w:val="14"/>
              </w:rPr>
            </w:pPr>
            <w:r>
              <w:rPr>
                <w:rFonts w:ascii="Arial" w:hAnsi="Arial"/>
                <w:b/>
                <w:sz w:val="14"/>
              </w:rPr>
              <w:t>Eligibility</w:t>
            </w:r>
          </w:p>
        </w:tc>
      </w:tr>
      <w:tr>
        <w:trPr/>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PRJNA830488</w:t>
            </w:r>
          </w:p>
        </w:tc>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Guiwei/Yurong1 leaf; mock/infected; 24 h; 3 libraries/cell</w:t>
            </w:r>
          </w:p>
        </w:tc>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discovery</w:t>
            </w:r>
          </w:p>
        </w:tc>
        <w:tc>
          <w:tcPr>
            <w:tcW w:w="2340" w:type="dxa"/>
            <w:tcBorders>
              <w:start w:val="single" w:sz="4" w:space="0" w:color="000000"/>
              <w:bottom w:val="single" w:sz="4" w:space="0" w:color="000000"/>
              <w:end w:val="single" w:sz="4" w:space="0" w:color="000000"/>
            </w:tcBorders>
          </w:tcPr>
          <w:p>
            <w:pPr>
              <w:pStyle w:val="TableContents"/>
              <w:jc w:val="start"/>
              <w:rPr>
                <w:rFonts w:ascii="Arial" w:hAnsi="Arial"/>
                <w:b w:val="false"/>
                <w:sz w:val="14"/>
              </w:rPr>
            </w:pPr>
            <w:r>
              <w:rPr>
                <w:rFonts w:ascii="Arial" w:hAnsi="Arial"/>
                <w:b w:val="false"/>
                <w:sz w:val="14"/>
              </w:rPr>
              <w:t>conditional_inferential</w:t>
            </w:r>
          </w:p>
        </w:tc>
      </w:tr>
      <w:tr>
        <w:trPr/>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PRJNA450886</w:t>
            </w:r>
          </w:p>
        </w:tc>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Guiwei/Heiye fruit pericarp; mock/infected; 6/24/48 h; 3 libraries/cell</w:t>
            </w:r>
          </w:p>
        </w:tc>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primary_cross_context</w:t>
            </w:r>
          </w:p>
        </w:tc>
        <w:tc>
          <w:tcPr>
            <w:tcW w:w="2340" w:type="dxa"/>
            <w:tcBorders>
              <w:start w:val="single" w:sz="4" w:space="0" w:color="000000"/>
              <w:bottom w:val="single" w:sz="4" w:space="0" w:color="000000"/>
              <w:end w:val="single" w:sz="4" w:space="0" w:color="000000"/>
            </w:tcBorders>
          </w:tcPr>
          <w:p>
            <w:pPr>
              <w:pStyle w:val="TableContents"/>
              <w:jc w:val="start"/>
              <w:rPr>
                <w:rFonts w:ascii="Arial" w:hAnsi="Arial"/>
                <w:b w:val="false"/>
                <w:sz w:val="14"/>
              </w:rPr>
            </w:pPr>
            <w:r>
              <w:rPr>
                <w:rFonts w:ascii="Arial" w:hAnsi="Arial"/>
                <w:b w:val="false"/>
                <w:sz w:val="14"/>
              </w:rPr>
              <w:t>cross_context</w:t>
            </w:r>
          </w:p>
        </w:tc>
      </w:tr>
      <w:tr>
        <w:trPr/>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PRJNA922966</w:t>
            </w:r>
          </w:p>
        </w:tc>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Feizixiao leaf/fruit; mock/infected; 24 h; 3 libraries/cell</w:t>
            </w:r>
          </w:p>
        </w:tc>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generic_infection_transfer</w:t>
            </w:r>
          </w:p>
        </w:tc>
        <w:tc>
          <w:tcPr>
            <w:tcW w:w="2340" w:type="dxa"/>
            <w:tcBorders>
              <w:start w:val="single" w:sz="4" w:space="0" w:color="000000"/>
              <w:bottom w:val="single" w:sz="4" w:space="0" w:color="000000"/>
              <w:end w:val="single" w:sz="4" w:space="0" w:color="000000"/>
            </w:tcBorders>
          </w:tcPr>
          <w:p>
            <w:pPr>
              <w:pStyle w:val="TableContents"/>
              <w:jc w:val="start"/>
              <w:rPr>
                <w:rFonts w:ascii="Arial" w:hAnsi="Arial"/>
                <w:b w:val="false"/>
                <w:sz w:val="14"/>
              </w:rPr>
            </w:pPr>
            <w:r>
              <w:rPr>
                <w:rFonts w:ascii="Arial" w:hAnsi="Arial"/>
                <w:b w:val="false"/>
                <w:sz w:val="14"/>
              </w:rPr>
              <w:t>cross_context</w:t>
            </w:r>
          </w:p>
        </w:tc>
      </w:tr>
      <w:tr>
        <w:trPr/>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PRJNA922965</w:t>
            </w:r>
          </w:p>
        </w:tc>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Feizixiao leaf/fruit small RNA; mock/infected; 24 h; 3 libraries/cell</w:t>
            </w:r>
          </w:p>
        </w:tc>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orthogonal_modality</w:t>
            </w:r>
          </w:p>
        </w:tc>
        <w:tc>
          <w:tcPr>
            <w:tcW w:w="2340" w:type="dxa"/>
            <w:tcBorders>
              <w:start w:val="single" w:sz="4" w:space="0" w:color="000000"/>
              <w:bottom w:val="single" w:sz="4" w:space="0" w:color="000000"/>
              <w:end w:val="single" w:sz="4" w:space="0" w:color="000000"/>
            </w:tcBorders>
          </w:tcPr>
          <w:p>
            <w:pPr>
              <w:pStyle w:val="TableContents"/>
              <w:jc w:val="start"/>
              <w:rPr>
                <w:rFonts w:ascii="Arial" w:hAnsi="Arial"/>
                <w:b w:val="false"/>
                <w:sz w:val="14"/>
              </w:rPr>
            </w:pPr>
            <w:r>
              <w:rPr>
                <w:rFonts w:ascii="Arial" w:hAnsi="Arial"/>
                <w:b w:val="false"/>
                <w:sz w:val="14"/>
              </w:rPr>
              <w:t>orthogonal</w:t>
            </w:r>
          </w:p>
        </w:tc>
      </w:tr>
      <w:tr>
        <w:trPr/>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PRJNA1090613</w:t>
            </w:r>
          </w:p>
        </w:tc>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Guiwei/SFZ leaf; mock/infected; 3 libraries/cell</w:t>
            </w:r>
          </w:p>
        </w:tc>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exploratory</w:t>
            </w:r>
          </w:p>
        </w:tc>
        <w:tc>
          <w:tcPr>
            <w:tcW w:w="2340" w:type="dxa"/>
            <w:tcBorders>
              <w:start w:val="single" w:sz="4" w:space="0" w:color="000000"/>
              <w:bottom w:val="single" w:sz="4" w:space="0" w:color="000000"/>
              <w:end w:val="single" w:sz="4" w:space="0" w:color="000000"/>
            </w:tcBorders>
          </w:tcPr>
          <w:p>
            <w:pPr>
              <w:pStyle w:val="TableContents"/>
              <w:jc w:val="start"/>
              <w:rPr>
                <w:rFonts w:ascii="Arial" w:hAnsi="Arial"/>
                <w:b w:val="false"/>
                <w:sz w:val="14"/>
              </w:rPr>
            </w:pPr>
            <w:r>
              <w:rPr>
                <w:rFonts w:ascii="Arial" w:hAnsi="Arial"/>
                <w:b w:val="false"/>
                <w:sz w:val="14"/>
              </w:rPr>
              <w:t>exploratory</w:t>
            </w:r>
          </w:p>
        </w:tc>
      </w:tr>
    </w:tbl>
    <w:p>
      <w:pPr>
        <w:pStyle w:val="Normal"/>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Table 2. Key validated computational outcomes.</w:t>
      </w:r>
    </w:p>
    <w:tbl>
      <w:tblPr>
        <w:tblW w:w="5000" w:type="pct"/>
        <w:jc w:val="start"/>
        <w:tblInd w:w="55" w:type="dxa"/>
        <w:tblLayout w:type="fixed"/>
        <w:tblCellMar>
          <w:top w:w="55" w:type="dxa"/>
          <w:start w:w="55" w:type="dxa"/>
          <w:bottom w:w="55" w:type="dxa"/>
          <w:end w:w="55" w:type="dxa"/>
        </w:tblCellMar>
      </w:tblPr>
      <w:tblGrid>
        <w:gridCol w:w="4680"/>
        <w:gridCol w:w="4680"/>
      </w:tblGrid>
      <w:tr>
        <w:trPr>
          <w:tblHeader w:val="true"/>
        </w:trPr>
        <w:tc>
          <w:tcPr>
            <w:tcW w:w="4680" w:type="dxa"/>
            <w:tcBorders>
              <w:top w:val="single" w:sz="4" w:space="0" w:color="000000"/>
              <w:start w:val="single" w:sz="4" w:space="0" w:color="000000"/>
              <w:bottom w:val="single" w:sz="4" w:space="0" w:color="000000"/>
            </w:tcBorders>
            <w:shd w:fill="D9EAF7" w:val="clear"/>
          </w:tcPr>
          <w:p>
            <w:pPr>
              <w:pStyle w:val="TableHeading"/>
              <w:jc w:val="start"/>
              <w:rPr>
                <w:rFonts w:ascii="Arial" w:hAnsi="Arial"/>
                <w:b/>
                <w:sz w:val="17"/>
              </w:rPr>
            </w:pPr>
            <w:r>
              <w:rPr>
                <w:rFonts w:ascii="Arial" w:hAnsi="Arial"/>
                <w:b/>
                <w:sz w:val="17"/>
              </w:rPr>
              <w:t>Metric</w:t>
            </w:r>
          </w:p>
        </w:tc>
        <w:tc>
          <w:tcPr>
            <w:tcW w:w="4680" w:type="dxa"/>
            <w:tcBorders>
              <w:top w:val="single" w:sz="4" w:space="0" w:color="000000"/>
              <w:start w:val="single" w:sz="4" w:space="0" w:color="000000"/>
              <w:bottom w:val="single" w:sz="4" w:space="0" w:color="000000"/>
              <w:end w:val="single" w:sz="4" w:space="0" w:color="000000"/>
            </w:tcBorders>
            <w:shd w:fill="D9EAF7" w:val="clear"/>
          </w:tcPr>
          <w:p>
            <w:pPr>
              <w:pStyle w:val="TableHeading"/>
              <w:jc w:val="start"/>
              <w:rPr>
                <w:rFonts w:ascii="Arial" w:hAnsi="Arial"/>
                <w:b/>
                <w:sz w:val="17"/>
              </w:rPr>
            </w:pPr>
            <w:r>
              <w:rPr>
                <w:rFonts w:ascii="Arial" w:hAnsi="Arial"/>
                <w:b/>
                <w:sz w:val="17"/>
              </w:rPr>
              <w:t>Value</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included discovery libraries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12</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expressed genes tested</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19445</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statistical gene candidates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262</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frozen gene discoveries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206</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internally robust genes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16</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frozen pathways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6</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internally robust pathways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1</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primary external cross context genes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2</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primary external contradictory genes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5</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primary external cross context pathways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frozen DTU rows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225</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high confidence annotations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robust discovery motifs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externally transported motifs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Tier A</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Tier B</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12</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Tier C</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Retired</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65</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contradictory or failed rows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65</w:t>
            </w:r>
          </w:p>
        </w:tc>
      </w:tr>
    </w:tbl>
    <w:p>
      <w:pPr>
        <w:pStyle w:val="Normal"/>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Table 3. Deterministic final tier distribution.</w:t>
      </w:r>
    </w:p>
    <w:tbl>
      <w:tblPr>
        <w:tblW w:w="5000" w:type="pct"/>
        <w:jc w:val="start"/>
        <w:tblInd w:w="55" w:type="dxa"/>
        <w:tblLayout w:type="fixed"/>
        <w:tblCellMar>
          <w:top w:w="55" w:type="dxa"/>
          <w:start w:w="55" w:type="dxa"/>
          <w:bottom w:w="55" w:type="dxa"/>
          <w:end w:w="55" w:type="dxa"/>
        </w:tblCellMar>
      </w:tblPr>
      <w:tblGrid>
        <w:gridCol w:w="4680"/>
        <w:gridCol w:w="4680"/>
      </w:tblGrid>
      <w:tr>
        <w:trPr>
          <w:tblHeader w:val="true"/>
        </w:trPr>
        <w:tc>
          <w:tcPr>
            <w:tcW w:w="4680" w:type="dxa"/>
            <w:tcBorders>
              <w:top w:val="single" w:sz="4" w:space="0" w:color="000000"/>
              <w:start w:val="single" w:sz="4" w:space="0" w:color="000000"/>
              <w:bottom w:val="single" w:sz="4" w:space="0" w:color="000000"/>
            </w:tcBorders>
            <w:shd w:fill="D9EAF7" w:val="clear"/>
          </w:tcPr>
          <w:p>
            <w:pPr>
              <w:pStyle w:val="TableHeading"/>
              <w:jc w:val="start"/>
              <w:rPr>
                <w:rFonts w:ascii="Arial" w:hAnsi="Arial"/>
                <w:b/>
                <w:sz w:val="18"/>
              </w:rPr>
            </w:pPr>
            <w:r>
              <w:rPr>
                <w:rFonts w:ascii="Arial" w:hAnsi="Arial"/>
                <w:b/>
                <w:sz w:val="18"/>
              </w:rPr>
              <w:t>Tier/status</w:t>
            </w:r>
          </w:p>
        </w:tc>
        <w:tc>
          <w:tcPr>
            <w:tcW w:w="4680" w:type="dxa"/>
            <w:tcBorders>
              <w:top w:val="single" w:sz="4" w:space="0" w:color="000000"/>
              <w:start w:val="single" w:sz="4" w:space="0" w:color="000000"/>
              <w:bottom w:val="single" w:sz="4" w:space="0" w:color="000000"/>
              <w:end w:val="single" w:sz="4" w:space="0" w:color="000000"/>
            </w:tcBorders>
            <w:shd w:fill="D9EAF7" w:val="clear"/>
          </w:tcPr>
          <w:p>
            <w:pPr>
              <w:pStyle w:val="TableHeading"/>
              <w:jc w:val="start"/>
              <w:rPr>
                <w:rFonts w:ascii="Arial" w:hAnsi="Arial"/>
                <w:b/>
                <w:sz w:val="18"/>
              </w:rPr>
            </w:pPr>
            <w:r>
              <w:rPr>
                <w:rFonts w:ascii="Arial" w:hAnsi="Arial"/>
                <w:b/>
                <w:sz w:val="18"/>
              </w:rPr>
              <w:t>Count</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8"/>
              </w:rPr>
            </w:pPr>
            <w:r>
              <w:rPr>
                <w:rFonts w:ascii="Arial" w:hAnsi="Arial"/>
                <w:b w:val="false"/>
                <w:sz w:val="18"/>
              </w:rPr>
              <w:t>Tier A</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8"/>
              </w:rPr>
            </w:pPr>
            <w:r>
              <w:rPr>
                <w:rFonts w:ascii="Arial" w:hAnsi="Arial"/>
                <w:b w:val="false"/>
                <w:sz w:val="18"/>
              </w:rPr>
              <w:t>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8"/>
              </w:rPr>
            </w:pPr>
            <w:r>
              <w:rPr>
                <w:rFonts w:ascii="Arial" w:hAnsi="Arial"/>
                <w:b w:val="false"/>
                <w:sz w:val="18"/>
              </w:rPr>
              <w:t>Tier B</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8"/>
              </w:rPr>
            </w:pPr>
            <w:r>
              <w:rPr>
                <w:rFonts w:ascii="Arial" w:hAnsi="Arial"/>
                <w:b w:val="false"/>
                <w:sz w:val="18"/>
              </w:rPr>
              <w:t>12</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8"/>
              </w:rPr>
            </w:pPr>
            <w:r>
              <w:rPr>
                <w:rFonts w:ascii="Arial" w:hAnsi="Arial"/>
                <w:b w:val="false"/>
                <w:sz w:val="18"/>
              </w:rPr>
              <w:t>Tier C</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8"/>
              </w:rPr>
            </w:pPr>
            <w:r>
              <w:rPr>
                <w:rFonts w:ascii="Arial" w:hAnsi="Arial"/>
                <w:b w:val="false"/>
                <w:sz w:val="18"/>
              </w:rPr>
              <w:t>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8"/>
              </w:rPr>
            </w:pPr>
            <w:r>
              <w:rPr>
                <w:rFonts w:ascii="Arial" w:hAnsi="Arial"/>
                <w:b w:val="false"/>
                <w:sz w:val="18"/>
              </w:rPr>
              <w:t>Exploratory</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8"/>
              </w:rPr>
            </w:pPr>
            <w:r>
              <w:rPr>
                <w:rFonts w:ascii="Arial" w:hAnsi="Arial"/>
                <w:b w:val="false"/>
                <w:sz w:val="18"/>
              </w:rPr>
              <w:t>191</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8"/>
              </w:rPr>
            </w:pPr>
            <w:r>
              <w:rPr>
                <w:rFonts w:ascii="Arial" w:hAnsi="Arial"/>
                <w:b w:val="false"/>
                <w:sz w:val="18"/>
              </w:rPr>
              <w:t>Retired</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8"/>
              </w:rPr>
            </w:pPr>
            <w:r>
              <w:rPr>
                <w:rFonts w:ascii="Arial" w:hAnsi="Arial"/>
                <w:b w:val="false"/>
                <w:sz w:val="18"/>
              </w:rPr>
              <w:t>65</w:t>
            </w:r>
          </w:p>
        </w:tc>
      </w:tr>
    </w:tbl>
    <w:p>
      <w:pPr>
        <w:pStyle w:val="Normal"/>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r>
    </w:p>
    <w:p>
      <w:pPr>
        <w:pStyle w:val="Normal"/>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40" w:right="1440" w:gutter="0" w:header="720" w:top="1440" w:footer="720" w:bottom="1440"/>
      <w:lnNumType w:countBy="1" w:restart="continuous" w:distance="28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Tahoma">
    <w:charset w:val="01" w:characterSet="utf-8"/>
    <w:family w:val="roman"/>
    <w:pitch w:val="variable"/>
  </w:font>
  <w:font w:name="Arial">
    <w:charset w:val="01" w:characterSet="utf-8"/>
    <w:family w:val="roman"/>
    <w:pitch w:val="variable"/>
  </w:font>
  <w:font w:name="Liberation Sans">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15122361"/>
    </w:sdtPr>
    <w:sdtContent>
      <w:p>
        <w:pPr>
          <w:pStyle w:val="Footer"/>
          <w:jc w:val="end"/>
          <w:rPr/>
        </w:pPr>
        <w:r>
          <w:rPr/>
          <w:fldChar w:fldCharType="begin"/>
        </w:r>
        <w:r>
          <w:rPr/>
          <w:instrText xml:space="preserve"> PAGE </w:instrText>
        </w:r>
        <w:r>
          <w:rPr/>
          <w:fldChar w:fldCharType="separate"/>
        </w:r>
        <w:r>
          <w:rPr/>
          <w:t>14</w:t>
        </w:r>
        <w:r>
          <w:rPr/>
          <w:fldChar w:fldCharType="end"/>
        </w:r>
      </w:p>
    </w:sdtContent>
  </w:sdt>
  <w:p>
    <w:pPr>
      <w:pStyle w:val="Footer"/>
      <w:rPr/>
    </w:pPr>
    <w:r>
      <w:rPr/>
    </w:r>
  </w:p>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15122361"/>
    </w:sdtPr>
    <w:sdtContent>
      <w:p>
        <w:pPr>
          <w:pStyle w:val="Footer"/>
          <w:jc w:val="end"/>
          <w:rPr/>
        </w:pPr>
        <w:r>
          <w:rPr/>
          <w:fldChar w:fldCharType="begin"/>
        </w:r>
        <w:r>
          <w:rPr/>
          <w:instrText xml:space="preserve"> PAGE </w:instrText>
        </w:r>
        <w:r>
          <w:rPr/>
          <w:fldChar w:fldCharType="separate"/>
        </w:r>
        <w:r>
          <w:rPr/>
          <w:t>14</w:t>
        </w:r>
        <w:r>
          <w:rPr/>
          <w:fldChar w:fldCharType="end"/>
        </w:r>
      </w:p>
    </w:sdtContent>
  </w:sdt>
  <w:p>
    <w:pPr>
      <w:pStyle w:val="Footer"/>
      <w:rPr/>
    </w:pPr>
    <w:r>
      <w:rPr/>
    </w:r>
  </w:p>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81"/>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docVars>
    <w:docVar w:name="__Grammarly_42____i" w:val="H4sIAAAAAAAEAKtWckksSQxILCpxzi/NK1GyMqwFAAEhoTITAAAA"/>
    <w:docVar w:name="__Grammarly_42___1" w:val="H4sIAAAAAAAEAKtWcslP9kxRslIyNDYytzC0MAZSBqamxuaGxko6SsGpxcWZ+XkgBYa1AJQGYsos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 w:cstheme="minorBidi"/>
        <w:sz w:val="24"/>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640af"/>
    <w:pPr>
      <w:widowControl/>
      <w:suppressAutoHyphens w:val="true"/>
      <w:bidi w:val="0"/>
      <w:spacing w:before="0" w:after="0"/>
      <w:jc w:val="start"/>
    </w:pPr>
    <w:rPr>
      <w:rFonts w:eastAsia="Times New Roman" w:cs="Times New Roman" w:ascii="Times New Roman" w:hAnsi="Times New Roman"/>
      <w:color w:val="auto"/>
      <w:kern w:val="0"/>
      <w:sz w:val="24"/>
      <w:szCs w:val="24"/>
      <w:lang w:eastAsia="zh-CN" w:val="en-US" w:bidi="ar-SA"/>
    </w:rPr>
  </w:style>
  <w:style w:type="paragraph" w:styleId="Heading1">
    <w:name w:val="Heading 1"/>
    <w:basedOn w:val="Normal"/>
    <w:link w:val="Heading1Char"/>
    <w:uiPriority w:val="9"/>
    <w:qFormat/>
    <w:rsid w:val="00042455"/>
    <w:pPr>
      <w:spacing w:lineRule="auto" w:line="360"/>
      <w:outlineLvl w:val="0"/>
    </w:pPr>
    <w:rPr>
      <w:rFonts w:cs="Arial"/>
      <w:b/>
      <w:bCs/>
      <w:szCs w:val="20"/>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Normal"/>
    <w:next w:val="Normal"/>
    <w:link w:val="Heading3Char"/>
    <w:uiPriority w:val="9"/>
    <w:unhideWhenUsed/>
    <w:qFormat/>
    <w:rsid w:val="00692914"/>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da501b"/>
    <w:rPr/>
  </w:style>
  <w:style w:type="character" w:styleId="FooterChar" w:customStyle="1">
    <w:name w:val="Footer Char"/>
    <w:basedOn w:val="DefaultParagraphFont"/>
    <w:link w:val="Footer"/>
    <w:uiPriority w:val="99"/>
    <w:qFormat/>
    <w:rsid w:val="00da501b"/>
    <w:rPr/>
  </w:style>
  <w:style w:type="character" w:styleId="LineNumber">
    <w:name w:val="Line Number"/>
    <w:basedOn w:val="DefaultParagraphFont"/>
    <w:uiPriority w:val="99"/>
    <w:semiHidden/>
    <w:unhideWhenUsed/>
    <w:rsid w:val="00ff3feb"/>
    <w:rPr/>
  </w:style>
  <w:style w:type="character" w:styleId="Hyperlink">
    <w:name w:val="Hyperlink"/>
    <w:basedOn w:val="DefaultParagraphFont"/>
    <w:uiPriority w:val="99"/>
    <w:unhideWhenUsed/>
    <w:rsid w:val="00a023cd"/>
    <w:rPr>
      <w:color w:themeColor="hyperlink" w:val="0563C1"/>
      <w:u w:val="single"/>
    </w:rPr>
  </w:style>
  <w:style w:type="character" w:styleId="UnresolvedMention1" w:customStyle="1">
    <w:name w:val="Unresolved Mention1"/>
    <w:basedOn w:val="DefaultParagraphFont"/>
    <w:uiPriority w:val="99"/>
    <w:semiHidden/>
    <w:unhideWhenUsed/>
    <w:qFormat/>
    <w:rsid w:val="00a023cd"/>
    <w:rPr>
      <w:color w:val="605E5C"/>
      <w:shd w:fill="E1DFDD" w:val="clear"/>
    </w:rPr>
  </w:style>
  <w:style w:type="character" w:styleId="annotationreference">
    <w:name w:val="annotation reference"/>
    <w:basedOn w:val="DefaultParagraphFont"/>
    <w:uiPriority w:val="99"/>
    <w:semiHidden/>
    <w:unhideWhenUsed/>
    <w:qFormat/>
    <w:rsid w:val="00ea6d99"/>
    <w:rPr>
      <w:sz w:val="16"/>
      <w:szCs w:val="16"/>
    </w:rPr>
  </w:style>
  <w:style w:type="character" w:styleId="CommentTextChar" w:customStyle="1">
    <w:name w:val="Comment Text Char"/>
    <w:basedOn w:val="DefaultParagraphFont"/>
    <w:link w:val="AnnotationText"/>
    <w:uiPriority w:val="99"/>
    <w:semiHidden/>
    <w:qFormat/>
    <w:rsid w:val="00ea6d99"/>
    <w:rPr>
      <w:sz w:val="20"/>
      <w:szCs w:val="20"/>
    </w:rPr>
  </w:style>
  <w:style w:type="character" w:styleId="CommentSubjectChar" w:customStyle="1">
    <w:name w:val="Comment Subject Char"/>
    <w:basedOn w:val="CommentTextChar"/>
    <w:link w:val="annotationsubject"/>
    <w:uiPriority w:val="99"/>
    <w:semiHidden/>
    <w:qFormat/>
    <w:rsid w:val="00ea6d99"/>
    <w:rPr>
      <w:b/>
      <w:bCs/>
      <w:sz w:val="20"/>
      <w:szCs w:val="20"/>
    </w:rPr>
  </w:style>
  <w:style w:type="character" w:styleId="BalloonTextChar" w:customStyle="1">
    <w:name w:val="Balloon Text Char"/>
    <w:basedOn w:val="DefaultParagraphFont"/>
    <w:link w:val="BalloonText"/>
    <w:uiPriority w:val="99"/>
    <w:semiHidden/>
    <w:qFormat/>
    <w:rsid w:val="005e725d"/>
    <w:rPr>
      <w:rFonts w:ascii="Tahoma" w:hAnsi="Tahoma" w:cs="Tahoma"/>
      <w:sz w:val="16"/>
      <w:szCs w:val="16"/>
    </w:rPr>
  </w:style>
  <w:style w:type="character" w:styleId="UnresolvedMention">
    <w:name w:val="Unresolved Mention"/>
    <w:basedOn w:val="DefaultParagraphFont"/>
    <w:uiPriority w:val="99"/>
    <w:semiHidden/>
    <w:unhideWhenUsed/>
    <w:qFormat/>
    <w:rsid w:val="00ad7899"/>
    <w:rPr>
      <w:color w:val="605E5C"/>
      <w:shd w:fill="E1DFDD" w:val="clear"/>
    </w:rPr>
  </w:style>
  <w:style w:type="character" w:styleId="FollowedHyperlink">
    <w:name w:val="FollowedHyperlink"/>
    <w:basedOn w:val="DefaultParagraphFont"/>
    <w:uiPriority w:val="99"/>
    <w:semiHidden/>
    <w:unhideWhenUsed/>
    <w:rsid w:val="00b87931"/>
    <w:rPr>
      <w:color w:themeColor="followedHyperlink" w:val="954F72"/>
      <w:u w:val="single"/>
    </w:rPr>
  </w:style>
  <w:style w:type="character" w:styleId="Emphasis">
    <w:name w:val="Emphasis"/>
    <w:basedOn w:val="DefaultParagraphFont"/>
    <w:uiPriority w:val="20"/>
    <w:qFormat/>
    <w:rsid w:val="00f3717b"/>
    <w:rPr>
      <w:i/>
      <w:iCs/>
    </w:rPr>
  </w:style>
  <w:style w:type="character" w:styleId="meta-item" w:customStyle="1">
    <w:name w:val="meta-item"/>
    <w:basedOn w:val="DefaultParagraphFont"/>
    <w:qFormat/>
    <w:rsid w:val="00586f4e"/>
    <w:rPr/>
  </w:style>
  <w:style w:type="character" w:styleId="PlaceholderText">
    <w:name w:val="Placeholder Text"/>
    <w:basedOn w:val="DefaultParagraphFont"/>
    <w:uiPriority w:val="99"/>
    <w:semiHidden/>
    <w:qFormat/>
    <w:rsid w:val="009b40fb"/>
    <w:rPr>
      <w:color w:val="808080"/>
    </w:rPr>
  </w:style>
  <w:style w:type="character" w:styleId="Heading1Char" w:customStyle="1">
    <w:name w:val="Heading 1 Char"/>
    <w:basedOn w:val="DefaultParagraphFont"/>
    <w:link w:val="Heading1"/>
    <w:uiPriority w:val="9"/>
    <w:qFormat/>
    <w:rsid w:val="00042455"/>
    <w:rPr>
      <w:rFonts w:ascii="Arial" w:hAnsi="Arial" w:eastAsia="Times New Roman" w:cs="Arial"/>
      <w:b/>
      <w:bCs/>
      <w:sz w:val="22"/>
      <w:szCs w:val="20"/>
      <w:lang w:eastAsia="zh-CN"/>
    </w:rPr>
  </w:style>
  <w:style w:type="character" w:styleId="highwire-citation-authors" w:customStyle="1">
    <w:name w:val="highwire-citation-authors"/>
    <w:basedOn w:val="DefaultParagraphFont"/>
    <w:qFormat/>
    <w:rsid w:val="00db3bb1"/>
    <w:rPr/>
  </w:style>
  <w:style w:type="character" w:styleId="highwire-citation-author" w:customStyle="1">
    <w:name w:val="highwire-citation-author"/>
    <w:basedOn w:val="DefaultParagraphFont"/>
    <w:qFormat/>
    <w:rsid w:val="00db3bb1"/>
    <w:rPr/>
  </w:style>
  <w:style w:type="character" w:styleId="nlm-given-names" w:customStyle="1">
    <w:name w:val="nlm-given-names"/>
    <w:basedOn w:val="DefaultParagraphFont"/>
    <w:qFormat/>
    <w:rsid w:val="00db3bb1"/>
    <w:rPr/>
  </w:style>
  <w:style w:type="character" w:styleId="nlm-surname" w:customStyle="1">
    <w:name w:val="nlm-surname"/>
    <w:basedOn w:val="DefaultParagraphFont"/>
    <w:qFormat/>
    <w:rsid w:val="00db3bb1"/>
    <w:rPr/>
  </w:style>
  <w:style w:type="character" w:styleId="highwire-cite-metadata-journal" w:customStyle="1">
    <w:name w:val="highwire-cite-metadata-journal"/>
    <w:basedOn w:val="DefaultParagraphFont"/>
    <w:qFormat/>
    <w:rsid w:val="00db3bb1"/>
    <w:rPr/>
  </w:style>
  <w:style w:type="character" w:styleId="highwire-cite-metadata-date" w:customStyle="1">
    <w:name w:val="highwire-cite-metadata-date"/>
    <w:basedOn w:val="DefaultParagraphFont"/>
    <w:qFormat/>
    <w:rsid w:val="00db3bb1"/>
    <w:rPr/>
  </w:style>
  <w:style w:type="character" w:styleId="highwire-cite-metadata-volume" w:customStyle="1">
    <w:name w:val="highwire-cite-metadata-volume"/>
    <w:basedOn w:val="DefaultParagraphFont"/>
    <w:qFormat/>
    <w:rsid w:val="00db3bb1"/>
    <w:rPr/>
  </w:style>
  <w:style w:type="character" w:styleId="highwire-cite-metadata-issue" w:customStyle="1">
    <w:name w:val="highwire-cite-metadata-issue"/>
    <w:basedOn w:val="DefaultParagraphFont"/>
    <w:qFormat/>
    <w:rsid w:val="00db3bb1"/>
    <w:rPr/>
  </w:style>
  <w:style w:type="character" w:styleId="highwire-cite-metadata-pages" w:customStyle="1">
    <w:name w:val="highwire-cite-metadata-pages"/>
    <w:basedOn w:val="DefaultParagraphFont"/>
    <w:qFormat/>
    <w:rsid w:val="00db3bb1"/>
    <w:rPr/>
  </w:style>
  <w:style w:type="character" w:styleId="authors" w:customStyle="1">
    <w:name w:val="authors"/>
    <w:basedOn w:val="DefaultParagraphFont"/>
    <w:qFormat/>
    <w:rsid w:val="007469c4"/>
    <w:rPr/>
  </w:style>
  <w:style w:type="character" w:styleId="Title1" w:customStyle="1">
    <w:name w:val="Title1"/>
    <w:basedOn w:val="DefaultParagraphFont"/>
    <w:qFormat/>
    <w:rsid w:val="007469c4"/>
    <w:rPr/>
  </w:style>
  <w:style w:type="character" w:styleId="source" w:customStyle="1">
    <w:name w:val="source"/>
    <w:basedOn w:val="DefaultParagraphFont"/>
    <w:qFormat/>
    <w:rsid w:val="007469c4"/>
    <w:rPr/>
  </w:style>
  <w:style w:type="character" w:styleId="TitleChar" w:customStyle="1">
    <w:name w:val="Title Char"/>
    <w:basedOn w:val="DefaultParagraphFont"/>
    <w:link w:val="Title"/>
    <w:uiPriority w:val="10"/>
    <w:qFormat/>
    <w:rsid w:val="00042455"/>
    <w:rPr>
      <w:rFonts w:ascii="Arial" w:hAnsi="Arial" w:eastAsia="Times New Roman" w:cs="Arial"/>
      <w:b/>
      <w:bCs/>
      <w:sz w:val="32"/>
      <w:szCs w:val="28"/>
      <w:lang w:eastAsia="zh-CN"/>
    </w:rPr>
  </w:style>
  <w:style w:type="character" w:styleId="Heading3Char" w:customStyle="1">
    <w:name w:val="Heading 3 Char"/>
    <w:basedOn w:val="DefaultParagraphFont"/>
    <w:link w:val="Heading3"/>
    <w:uiPriority w:val="9"/>
    <w:qFormat/>
    <w:rsid w:val="00692914"/>
    <w:rPr>
      <w:rFonts w:ascii="Calibri Light" w:hAnsi="Calibri Light" w:eastAsia="" w:cs="" w:asciiTheme="majorHAnsi" w:cstheme="majorBidi" w:eastAsiaTheme="majorEastAsia" w:hAnsiTheme="majorHAnsi"/>
      <w:color w:themeColor="accent1" w:themeShade="7f" w:val="1F3763"/>
      <w:szCs w:val="24"/>
      <w:lang w:eastAsia="zh-CN"/>
    </w:rPr>
  </w:style>
  <w:style w:type="character" w:styleId="reference-accessdate" w:customStyle="1">
    <w:name w:val="reference-accessdate"/>
    <w:basedOn w:val="DefaultParagraphFont"/>
    <w:qFormat/>
    <w:rsid w:val="003160c0"/>
    <w:rPr/>
  </w:style>
  <w:style w:type="character" w:styleId="nowrap" w:customStyle="1">
    <w:name w:val="nowrap"/>
    <w:basedOn w:val="DefaultParagraphFont"/>
    <w:qFormat/>
    <w:rsid w:val="003160c0"/>
    <w:rPr/>
  </w:style>
  <w:style w:type="character" w:styleId="nova-legacy-c-buttonlabel" w:customStyle="1">
    <w:name w:val="nova-legacy-c-button__label"/>
    <w:basedOn w:val="DefaultParagraphFont"/>
    <w:qFormat/>
    <w:rsid w:val="008330aa"/>
    <w:rPr/>
  </w:style>
  <w:style w:type="character" w:styleId="Title2" w:customStyle="1">
    <w:name w:val="Title2"/>
    <w:basedOn w:val="DefaultParagraphFont"/>
    <w:qFormat/>
    <w:rsid w:val="005640af"/>
    <w:rPr/>
  </w:style>
  <w:style w:type="character" w:styleId="journal" w:customStyle="1">
    <w:name w:val="journal"/>
    <w:basedOn w:val="DefaultParagraphFont"/>
    <w:qFormat/>
    <w:rsid w:val="005640af"/>
    <w:rPr/>
  </w:style>
  <w:style w:type="character" w:styleId="volume" w:customStyle="1">
    <w:name w:val="volume"/>
    <w:basedOn w:val="DefaultParagraphFont"/>
    <w:qFormat/>
    <w:rsid w:val="005640af"/>
    <w:rPr/>
  </w:style>
  <w:style w:type="character" w:styleId="pages" w:customStyle="1">
    <w:name w:val="pages"/>
    <w:basedOn w:val="DefaultParagraphFont"/>
    <w:qFormat/>
    <w:rsid w:val="005640af"/>
    <w:rPr/>
  </w:style>
  <w:style w:type="character" w:styleId="year" w:customStyle="1">
    <w:name w:val="year"/>
    <w:basedOn w:val="DefaultParagraphFont"/>
    <w:qFormat/>
    <w:rsid w:val="005640af"/>
    <w:rPr/>
  </w:style>
  <w:style w:type="character" w:styleId="hgkelc" w:customStyle="1">
    <w:name w:val="hgkelc"/>
    <w:basedOn w:val="DefaultParagraphFont"/>
    <w:qFormat/>
    <w:rsid w:val="00e0030b"/>
    <w:rPr/>
  </w:style>
  <w:style w:type="paragraph" w:styleId="Heading" w:customStyle="1">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unhideWhenUsed/>
    <w:qFormat/>
    <w:rsid w:val="00b51fad"/>
    <w:pPr>
      <w:spacing w:before="0" w:after="200"/>
    </w:pPr>
    <w:rPr>
      <w:iCs/>
      <w:color w:themeColor="text1" w:val="000000"/>
      <w:szCs w:val="18"/>
    </w:rPr>
  </w:style>
  <w:style w:type="paragraph" w:styleId="Index" w:customStyle="1">
    <w:name w:val="Index"/>
    <w:basedOn w:val="Normal"/>
    <w:qFormat/>
    <w:pPr>
      <w:suppressLineNumbers/>
    </w:pPr>
    <w:rPr>
      <w:rFonts w:cs="Arial"/>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da501b"/>
    <w:pPr>
      <w:suppressLineNumbers/>
      <w:tabs>
        <w:tab w:val="clear" w:pos="720"/>
        <w:tab w:val="center" w:pos="4680" w:leader="none"/>
        <w:tab w:val="right" w:pos="9360" w:leader="none"/>
      </w:tabs>
    </w:pPr>
    <w:rPr>
      <w:rFonts w:eastAsia="SimSun" w:cs="" w:cstheme="minorBidi"/>
      <w:szCs w:val="22"/>
      <w:lang w:eastAsia="en-US"/>
    </w:rPr>
  </w:style>
  <w:style w:type="paragraph" w:styleId="Footer">
    <w:name w:val="Footer"/>
    <w:basedOn w:val="Normal"/>
    <w:link w:val="FooterChar"/>
    <w:uiPriority w:val="99"/>
    <w:unhideWhenUsed/>
    <w:rsid w:val="00da501b"/>
    <w:pPr>
      <w:suppressLineNumbers/>
      <w:tabs>
        <w:tab w:val="clear" w:pos="720"/>
        <w:tab w:val="center" w:pos="4680" w:leader="none"/>
        <w:tab w:val="right" w:pos="9360" w:leader="none"/>
      </w:tabs>
    </w:pPr>
    <w:rPr>
      <w:rFonts w:eastAsia="SimSun" w:cs="" w:cstheme="minorBidi"/>
      <w:szCs w:val="22"/>
      <w:lang w:eastAsia="en-US"/>
    </w:rPr>
  </w:style>
  <w:style w:type="paragraph" w:styleId="AnnotationText">
    <w:name w:val="Annotation Text"/>
    <w:basedOn w:val="Normal"/>
    <w:link w:val="CommentTextChar"/>
    <w:uiPriority w:val="99"/>
    <w:semiHidden/>
    <w:unhideWhenUsed/>
    <w:rsid w:val="00ea6d99"/>
    <w:pPr/>
    <w:rPr>
      <w:rFonts w:eastAsia="SimSun" w:cs="" w:cstheme="minorBidi"/>
      <w:sz w:val="20"/>
      <w:szCs w:val="20"/>
      <w:lang w:eastAsia="en-US"/>
    </w:rPr>
  </w:style>
  <w:style w:type="paragraph" w:styleId="annotationsubject">
    <w:name w:val="annotation subject"/>
    <w:basedOn w:val="AnnotationText"/>
    <w:next w:val="AnnotationText"/>
    <w:link w:val="CommentSubjectChar"/>
    <w:uiPriority w:val="99"/>
    <w:semiHidden/>
    <w:unhideWhenUsed/>
    <w:qFormat/>
    <w:rsid w:val="00ea6d99"/>
    <w:pPr/>
    <w:rPr>
      <w:b/>
      <w:bCs/>
    </w:rPr>
  </w:style>
  <w:style w:type="paragraph" w:styleId="BalloonText">
    <w:name w:val="Balloon Text"/>
    <w:basedOn w:val="Normal"/>
    <w:link w:val="BalloonTextChar"/>
    <w:uiPriority w:val="99"/>
    <w:semiHidden/>
    <w:unhideWhenUsed/>
    <w:qFormat/>
    <w:rsid w:val="005e725d"/>
    <w:pPr/>
    <w:rPr>
      <w:rFonts w:ascii="Tahoma" w:hAnsi="Tahoma" w:eastAsia="SimSun" w:cs="Tahoma"/>
      <w:sz w:val="16"/>
      <w:szCs w:val="16"/>
      <w:lang w:eastAsia="en-US"/>
    </w:rPr>
  </w:style>
  <w:style w:type="paragraph" w:styleId="ListParagraph">
    <w:name w:val="List Paragraph"/>
    <w:basedOn w:val="Normal"/>
    <w:uiPriority w:val="34"/>
    <w:qFormat/>
    <w:rsid w:val="008c5676"/>
    <w:pPr>
      <w:spacing w:before="0" w:after="0"/>
      <w:ind w:start="720"/>
      <w:contextualSpacing/>
    </w:pPr>
    <w:rPr>
      <w:rFonts w:eastAsia="SimSun" w:cs="" w:cstheme="minorBidi"/>
      <w:szCs w:val="22"/>
      <w:lang w:eastAsia="en-US"/>
    </w:rPr>
  </w:style>
  <w:style w:type="paragraph" w:styleId="Title">
    <w:name w:val="Title"/>
    <w:basedOn w:val="Normal"/>
    <w:next w:val="Normal"/>
    <w:link w:val="TitleChar"/>
    <w:uiPriority w:val="10"/>
    <w:qFormat/>
    <w:rsid w:val="00042455"/>
    <w:pPr>
      <w:suppressLineNumbers/>
      <w:jc w:val="center"/>
    </w:pPr>
    <w:rPr>
      <w:rFonts w:cs="Arial"/>
      <w:b/>
      <w:bCs/>
      <w:sz w:val="32"/>
      <w:szCs w:val="28"/>
    </w:rPr>
  </w:style>
  <w:style w:type="paragraph" w:styleId="BodyTextIndent1" w:customStyle="1">
    <w:name w:val="Body Text Indent1"/>
    <w:basedOn w:val="Normal"/>
    <w:qFormat/>
    <w:rsid w:val="00ff2a3b"/>
    <w:pPr>
      <w:spacing w:lineRule="auto" w:line="360"/>
      <w:ind w:firstLine="360"/>
      <w:jc w:val="both"/>
    </w:pPr>
    <w:rPr>
      <w:rFonts w:ascii="Arial" w:hAnsi="Arial" w:cs="Arial"/>
      <w:sz w:val="22"/>
      <w:szCs w:val="20"/>
    </w:rPr>
  </w:style>
  <w:style w:type="paragraph" w:styleId="NormalWeb">
    <w:name w:val="Normal (Web)"/>
    <w:basedOn w:val="Normal"/>
    <w:uiPriority w:val="99"/>
    <w:semiHidden/>
    <w:unhideWhenUsed/>
    <w:qFormat/>
    <w:rsid w:val="003160c0"/>
    <w:pPr>
      <w:spacing w:beforeAutospacing="1" w:afterAutospacing="1"/>
    </w:pPr>
    <w:rPr/>
  </w:style>
  <w:style w:type="paragraph" w:styleId="nova-legacy-e-listitem" w:customStyle="1">
    <w:name w:val="nova-legacy-e-list__item"/>
    <w:basedOn w:val="Normal"/>
    <w:qFormat/>
    <w:rsid w:val="008330aa"/>
    <w:pPr>
      <w:spacing w:beforeAutospacing="1" w:afterAutospacing="1"/>
    </w:pPr>
    <w:rPr/>
  </w:style>
  <w:style w:type="paragraph" w:styleId="TableofFigures">
    <w:name w:val="Table of Figures"/>
    <w:basedOn w:val="Normal"/>
    <w:next w:val="Normal"/>
    <w:uiPriority w:val="99"/>
    <w:unhideWhenUsed/>
    <w:rsid w:val="00f11f62"/>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6355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1">
    <w:name w:val="Grid Table 1 Light Accent 1"/>
    <w:basedOn w:val="TableNormal"/>
    <w:uiPriority w:val="46"/>
    <w:rsid w:val="00172ea3"/>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4472C4" w:themeColor="accent1" w:sz="12" w:space="0"/>
        </w:tcBorders>
      </w:tcPr>
    </w:tblStylePr>
    <w:tblStylePr w:type="lastRow">
      <w:rPr>
        <w:b/>
        <w:bCs/>
      </w:rPr>
      <w:tblPr/>
      <w:tcPr>
        <w:tcBorders>
          <w:top w:val="double" w:color="4472C4" w:themeColor="accent1" w:sz="2" w:space="0"/>
        </w:tcBorders>
      </w:tcPr>
    </w:tblStylePr>
    <w:tblStylePr w:type="firstCol">
      <w:rPr>
        <w:b/>
        <w:bCs/>
      </w:rPr>
      <w:tblPr/>
    </w:tblStylePr>
    <w:tblStylePr w:type="lastCol">
      <w:rPr>
        <w:b/>
        <w:bCs/>
      </w:rPr>
      <w:tblPr/>
    </w:tblStylePr>
  </w:style>
  <w:style w:type="table" w:styleId="GridTable1Light-Accent2">
    <w:name w:val="Grid Table 1 Light Accent 2"/>
    <w:basedOn w:val="TableNormal"/>
    <w:uiPriority w:val="46"/>
    <w:rsid w:val="00172ea3"/>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ED7D31" w:themeColor="accent2" w:sz="12" w:space="0"/>
        </w:tcBorders>
      </w:tcPr>
    </w:tblStylePr>
    <w:tblStylePr w:type="lastRow">
      <w:rPr>
        <w:b/>
        <w:bCs/>
      </w:rPr>
      <w:tblPr/>
      <w:tcPr>
        <w:tcBorders>
          <w:top w:val="double" w:color="ED7D31" w:themeColor="accent2" w:sz="2" w:space="0"/>
        </w:tcBorders>
      </w:tcPr>
    </w:tblStylePr>
    <w:tblStylePr w:type="firstCol">
      <w:rPr>
        <w:b/>
        <w:bCs/>
      </w:rPr>
      <w:tblPr/>
    </w:tblStylePr>
    <w:tblStylePr w:type="lastCol">
      <w:rPr>
        <w:b/>
        <w:bCs/>
      </w:rPr>
      <w:tblPr/>
    </w:tblStylePr>
  </w:style>
  <w:style w:type="table" w:styleId="GridTable1Light-Accent4">
    <w:name w:val="Grid Table 1 Light Accent 4"/>
    <w:basedOn w:val="TableNormal"/>
    <w:uiPriority w:val="46"/>
    <w:rsid w:val="00172ea3"/>
    <w:tblPr>
      <w:tblStyleRowBandSize w:val="1"/>
      <w:tblStyleColBandSize w:val="1"/>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Pr>
    <w:tblStylePr w:type="firstRow">
      <w:rPr>
        <w:b/>
        <w:bCs/>
      </w:rPr>
      <w:tblPr/>
      <w:tcPr>
        <w:tcBorders>
          <w:bottom w:val="single" w:color="FFC000" w:themeColor="accent4" w:sz="12" w:space="0"/>
        </w:tcBorders>
      </w:tcPr>
    </w:tblStylePr>
    <w:tblStylePr w:type="lastRow">
      <w:rPr>
        <w:b/>
        <w:bCs/>
      </w:rPr>
      <w:tblPr/>
      <w:tcPr>
        <w:tcBorders>
          <w:top w:val="double" w:color="FFC000" w:themeColor="accent4" w:sz="2" w:space="0"/>
        </w:tcBorders>
      </w:tcPr>
    </w:tblStylePr>
    <w:tblStylePr w:type="firstCol">
      <w:rPr>
        <w:b/>
        <w:bCs/>
      </w:rPr>
      <w:tblPr/>
    </w:tblStylePr>
    <w:tblStylePr w:type="lastCol">
      <w:rPr>
        <w:b/>
        <w:bCs/>
      </w:rPr>
      <w:tblPr/>
    </w:tblStylePr>
  </w:style>
  <w:style w:type="table" w:styleId="GridTable1Light-Accent5">
    <w:name w:val="Grid Table 1 Light Accent 5"/>
    <w:basedOn w:val="TableNormal"/>
    <w:uiPriority w:val="46"/>
    <w:rsid w:val="00172ea3"/>
    <w:tblPr>
      <w:tblStyleRowBandSize w:val="1"/>
      <w:tblStyleColBandSize w:val="1"/>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blPr/>
      <w:tcPr>
        <w:tcBorders>
          <w:bottom w:val="single" w:color="5B9BD5" w:themeColor="accent5" w:sz="12" w:space="0"/>
        </w:tcBorders>
      </w:tcPr>
    </w:tblStylePr>
    <w:tblStylePr w:type="lastRow">
      <w:rPr>
        <w:b/>
        <w:bCs/>
      </w:rPr>
      <w:tblPr/>
      <w:tcPr>
        <w:tcBorders>
          <w:top w:val="double" w:color="5B9BD5" w:themeColor="accent5" w:sz="2" w:space="0"/>
        </w:tcBorders>
      </w:tcPr>
    </w:tblStylePr>
    <w:tblStylePr w:type="firstCol">
      <w:rPr>
        <w:b/>
        <w:bCs/>
      </w:rPr>
      <w:tblPr/>
    </w:tblStylePr>
    <w:tblStylePr w:type="lastCol">
      <w:rPr>
        <w:b/>
        <w:bCs/>
      </w:rPr>
      <w:tblPr/>
    </w:tblStylePr>
  </w:style>
  <w:style w:type="table" w:styleId="GridTable1Light-Accent6">
    <w:name w:val="Grid Table 1 Light Accent 6"/>
    <w:basedOn w:val="TableNormal"/>
    <w:uiPriority w:val="46"/>
    <w:rsid w:val="00172ea3"/>
    <w:tblPr>
      <w:tblStyleRowBandSize w:val="1"/>
      <w:tblStyleColBandSize w:val="1"/>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blPr/>
      <w:tcPr>
        <w:tcBorders>
          <w:bottom w:val="single" w:color="70AD47" w:themeColor="accent6" w:sz="12" w:space="0"/>
        </w:tcBorders>
      </w:tcPr>
    </w:tblStylePr>
    <w:tblStylePr w:type="lastRow">
      <w:rPr>
        <w:b/>
        <w:bCs/>
      </w:rPr>
      <w:tblPr/>
      <w:tcPr>
        <w:tcBorders>
          <w:top w:val="double" w:color="70AD47" w:themeColor="accent6" w:sz="2" w:space="0"/>
        </w:tcBorders>
      </w:tcPr>
    </w:tblStylePr>
    <w:tblStylePr w:type="firstCol">
      <w:rPr>
        <w:b/>
        <w:bCs/>
      </w:rPr>
      <w:tblPr/>
    </w:tblStylePr>
    <w:tblStylePr w:type="lastCol">
      <w:rPr>
        <w:b/>
        <w:bCs/>
      </w:rPr>
      <w:tblPr/>
    </w:tblStylePr>
  </w:style>
  <w:style w:type="table" w:styleId="PlainTable1">
    <w:name w:val="Plain Table 1"/>
    <w:basedOn w:val="TableNormal"/>
    <w:uiPriority w:val="41"/>
    <w:rsid w:val="00172ea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2510E-E483-AE47-A075-06210F41D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5789</TotalTime>
  <Application>LibreOffice/24.2.7.2$Linux_X86_64 LibreOffice_project/420$Build-2</Application>
  <AppVersion>15.0000</AppVersion>
  <Pages>13</Pages>
  <Words>2078</Words>
  <Characters>15689</Characters>
  <CharactersWithSpaces>17659</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2021-11-24T18:54:00Z</dcterms:created>
  <dc:creator>Eric Zhuang</dc:creator>
  <dc:description>Validated discovery/validation manuscript integrated into the legacy viXra formatting shell.</dc:description>
  <dc:language>en-US</dc:language>
  <cp:lastModifiedBy/>
  <cp:lastPrinted>2023-12-26T02:05:00Z</cp:lastPrinted>
  <dcterms:modified xsi:type="dcterms:W3CDTF">2026-08-27T10:55:46Z</dcterms:modified>
  <cp:revision>123</cp:revision>
  <dc:subject>Genome-wide lychee discovery and cross-context validation</dc:subject>
  <dc:title>Genome-wide interaction reanalysis reveals context-specific lychee responses to Peronophythora litchii</dc:title>
</cp:coreProperties>
</file>

<file path=docProps/custom.xml><?xml version="1.0" encoding="utf-8"?>
<Properties xmlns="http://schemas.openxmlformats.org/officeDocument/2006/custom-properties" xmlns:vt="http://schemas.openxmlformats.org/officeDocument/2006/docPropsVTypes"/>
</file>