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Carlito" w:hAnsi="Carlito" w:eastAsia="Carlito"/>
          <w:b/>
          <w:color w:val="17365D"/>
          <w:sz w:val="46"/>
        </w:rPr>
        <w:t>Publication Venue Recommendations</w:t>
      </w:r>
    </w:p>
    <w:p>
      <w:pPr>
        <w:spacing w:after="40"/>
      </w:pPr>
      <w:r>
        <w:rPr>
          <w:rFonts w:ascii="Carlito" w:hAnsi="Carlito" w:eastAsia="Carlito"/>
          <w:b/>
          <w:color w:val="5B6573"/>
          <w:sz w:val="21"/>
        </w:rPr>
        <w:t xml:space="preserve">For the manuscript: </w:t>
      </w:r>
      <w:r>
        <w:rPr>
          <w:rFonts w:ascii="Carlito" w:hAnsi="Carlito" w:eastAsia="Carlito"/>
          <w:i/>
          <w:color w:val="364152"/>
          <w:sz w:val="21"/>
        </w:rPr>
        <w:t>Cultivar-dependent transcriptional responses of lychee (Litchi chinensis) to Peronophythora litchii: from exploratory candidate discovery to a prospectively registered genome-wide analysis with cross-context external evaluation</w:t>
      </w:r>
    </w:p>
    <w:p>
      <w:pPr>
        <w:spacing w:after="180"/>
        <w:pBdr>
          <w:bottom w:val="single" w:sz="10" w:space="5" w:color="1F6D7A"/>
        </w:pBdr>
      </w:pPr>
      <w:r>
        <w:rPr>
          <w:rFonts w:ascii="Carlito" w:hAnsi="Carlito" w:eastAsia="Carlito"/>
          <w:color w:val="5B6573"/>
          <w:sz w:val="18"/>
        </w:rPr>
        <w:t>Prepared 2 September 2026</w:t>
      </w:r>
    </w:p>
    <w:p>
      <w:pPr>
        <w:pStyle w:val="Heading1"/>
        <w:keepNext/>
        <w:spacing w:before="200" w:after="80"/>
      </w:pPr>
      <w:r>
        <w:rPr>
          <w:rFonts w:ascii="Carlito" w:hAnsi="Carlito" w:eastAsia="Carlito"/>
          <w:b/>
          <w:color w:val="17365D"/>
          <w:sz w:val="32"/>
        </w:rPr>
        <w:t>Overall assessment</w:t>
      </w:r>
    </w:p>
    <w:p>
      <w:pPr>
        <w:keepNext w:val="0"/>
        <w:spacing w:after="120" w:line="259" w:lineRule="auto"/>
      </w:pPr>
      <w:r>
        <w:rPr>
          <w:rFonts w:ascii="Carlito" w:hAnsi="Carlito" w:eastAsia="Carlito"/>
          <w:b/>
          <w:i w:val="0"/>
          <w:color w:val="20252B"/>
          <w:sz w:val="21"/>
        </w:rPr>
        <w:t xml:space="preserve">The added external dataset substantially improves the manuscript, but I would be very careful about calling it "validation." </w:t>
      </w:r>
      <w:r>
        <w:rPr>
          <w:rFonts w:ascii="Carlito" w:hAnsi="Carlito" w:eastAsia="Carlito"/>
          <w:b w:val="0"/>
          <w:i w:val="0"/>
          <w:color w:val="20252B"/>
          <w:sz w:val="21"/>
        </w:rPr>
        <w:t xml:space="preserve">The discovery cohort is a leaf experiment comparing Guiwei and Yurong1 at 24 hours, whereas the primary external cohort is a pericarp time course comparing Guiwei and Heiye. Your manuscript correctly describes this as cross-context external evaluation, not direct replication. It produced two supported genes and five directionally contradictory genes, while the two externally supported genes did not overlap the 16 internally robust genes. </w:t>
      </w:r>
      <w:r>
        <w:rPr>
          <w:rFonts w:ascii="Carlito" w:hAnsi="Carlito" w:eastAsia="Carlito"/>
          <w:b w:val="0"/>
          <w:i/>
          <w:color w:val="5B6573"/>
          <w:sz w:val="21"/>
        </w:rPr>
        <w:t>(Manuscript, Abstract and Results section 2.7, pp. 1 and 8-10.)</w:t>
      </w:r>
    </w:p>
    <w:p>
      <w:pPr>
        <w:keepNext w:val="0"/>
        <w:spacing w:after="120" w:line="259" w:lineRule="auto"/>
      </w:pPr>
      <w:r>
        <w:rPr>
          <w:rFonts w:ascii="Carlito" w:hAnsi="Carlito" w:eastAsia="Carlito"/>
          <w:color w:val="20252B"/>
          <w:sz w:val="21"/>
        </w:rPr>
        <w:t xml:space="preserve">The paper also candidly states that no same-tissue, same-time independent replication cohort is publicly available and that none of the candidates has been experimentally perturbed. </w:t>
      </w:r>
      <w:r>
        <w:rPr>
          <w:rFonts w:ascii="Carlito" w:hAnsi="Carlito" w:eastAsia="Carlito"/>
          <w:i/>
          <w:color w:val="5B6573"/>
          <w:sz w:val="21"/>
        </w:rPr>
        <w:t>(Manuscript, Discussion, p. 18.)</w:t>
      </w:r>
    </w:p>
    <w:p>
      <w:pPr>
        <w:keepNext w:val="0"/>
        <w:spacing w:after="60" w:line="259" w:lineRule="auto"/>
      </w:pPr>
      <w:r>
        <w:rPr>
          <w:rFonts w:ascii="Carlito" w:hAnsi="Carlito" w:eastAsia="Carlito"/>
          <w:color w:val="20252B"/>
          <w:sz w:val="21"/>
        </w:rPr>
        <w:t>That means the strongest publication story is not:</w:t>
      </w:r>
    </w:p>
    <w:tbl>
      <w:tblPr>
        <w:tblW w:type="auto" w:w="0"/>
        <w:jc w:val="center"/>
        <w:tblLayout w:type="autofit"/>
        <w:tblLook w:firstColumn="1" w:firstRow="1" w:lastColumn="0" w:lastRow="0" w:noHBand="0" w:noVBand="1" w:val="04A0"/>
      </w:tblPr>
      <w:tblGrid>
        <w:gridCol w:w="9994"/>
      </w:tblGrid>
      <w:tr>
        <w:trPr>
          <w:cantSplit/>
        </w:trPr>
        <w:tc>
          <w:tcPr>
            <w:tcW w:type="dxa" w:w="9994"/>
            <w:shd w:fill="EAF6F6"/>
            <w:tcMar>
              <w:top w:w="150" w:type="dxa"/>
              <w:start w:w="220" w:type="dxa"/>
              <w:bottom w:w="150" w:type="dxa"/>
              <w:end w:w="220" w:type="dxa"/>
            </w:tcMar>
            <w:tcBorders>
              <w:top w:val="single" w:sz="4" w:color="C9E4E4"/>
              <w:left w:val="single" w:sz="22" w:color="1F6D7A"/>
              <w:bottom w:val="single" w:sz="4" w:color="C9E4E4"/>
              <w:right w:val="single" w:sz="4" w:color="C9E4E4"/>
            </w:tcBorders>
            <w:vAlign w:val="center"/>
          </w:tcPr>
          <w:p>
            <w:pPr>
              <w:spacing w:after="0" w:line="252" w:lineRule="auto"/>
            </w:pPr>
            <w:r>
              <w:rPr>
                <w:rFonts w:ascii="Carlito" w:hAnsi="Carlito" w:eastAsia="Carlito"/>
                <w:i/>
                <w:color w:val="20454B"/>
                <w:sz w:val="21"/>
              </w:rPr>
              <w:t>"We discovered and validated resistance genes."</w:t>
            </w:r>
          </w:p>
        </w:tc>
      </w:tr>
    </w:tbl>
    <w:p>
      <w:pPr>
        <w:spacing w:after="20" w:line="168" w:lineRule="auto"/>
      </w:pPr>
    </w:p>
    <w:p>
      <w:pPr>
        <w:keepNext w:val="0"/>
        <w:spacing w:after="60" w:line="259" w:lineRule="auto"/>
      </w:pPr>
      <w:r>
        <w:rPr>
          <w:rFonts w:ascii="Carlito" w:hAnsi="Carlito" w:eastAsia="Carlito"/>
          <w:color w:val="20252B"/>
          <w:sz w:val="21"/>
        </w:rPr>
        <w:t>It is closer to:</w:t>
      </w:r>
    </w:p>
    <w:tbl>
      <w:tblPr>
        <w:tblW w:type="auto" w:w="0"/>
        <w:jc w:val="center"/>
        <w:tblLayout w:type="autofit"/>
        <w:tblLook w:firstColumn="1" w:firstRow="1" w:lastColumn="0" w:lastRow="0" w:noHBand="0" w:noVBand="1" w:val="04A0"/>
      </w:tblPr>
      <w:tblGrid>
        <w:gridCol w:w="9994"/>
      </w:tblGrid>
      <w:tr>
        <w:trPr>
          <w:cantSplit/>
        </w:trPr>
        <w:tc>
          <w:tcPr>
            <w:tcW w:type="dxa" w:w="9994"/>
            <w:shd w:fill="EAF6F6"/>
            <w:tcMar>
              <w:top w:w="150" w:type="dxa"/>
              <w:start w:w="220" w:type="dxa"/>
              <w:bottom w:w="150" w:type="dxa"/>
              <w:end w:w="220" w:type="dxa"/>
            </w:tcMar>
            <w:tcBorders>
              <w:top w:val="single" w:sz="4" w:color="C9E4E4"/>
              <w:left w:val="single" w:sz="22" w:color="1F6D7A"/>
              <w:bottom w:val="single" w:sz="4" w:color="C9E4E4"/>
              <w:right w:val="single" w:sz="4" w:color="C9E4E4"/>
            </w:tcBorders>
            <w:vAlign w:val="center"/>
          </w:tcPr>
          <w:p>
            <w:pPr>
              <w:spacing w:after="0" w:line="252" w:lineRule="auto"/>
            </w:pPr>
            <w:r>
              <w:rPr>
                <w:rFonts w:ascii="Carlito" w:hAnsi="Carlito" w:eastAsia="Carlito"/>
                <w:i/>
                <w:color w:val="20454B"/>
                <w:sz w:val="21"/>
              </w:rPr>
              <w:t>"A preregistered, reproducible genome-wide reanalysis shows which cultivar-dependent transcriptional findings survive rigorous interaction testing, sensitivity analysis, and external cross-context evaluation - and which do not."</w:t>
            </w:r>
          </w:p>
        </w:tc>
      </w:tr>
    </w:tbl>
    <w:p>
      <w:pPr>
        <w:spacing w:after="20" w:line="168" w:lineRule="auto"/>
      </w:pPr>
    </w:p>
    <w:p>
      <w:pPr>
        <w:keepNext w:val="0"/>
        <w:spacing w:after="120" w:line="259" w:lineRule="auto"/>
      </w:pPr>
      <w:r>
        <w:rPr>
          <w:rFonts w:ascii="Carlito" w:hAnsi="Carlito" w:eastAsia="Carlito"/>
          <w:b/>
          <w:color w:val="20252B"/>
          <w:sz w:val="21"/>
        </w:rPr>
        <w:t xml:space="preserve">That is a legitimate and potentially publishable contribution. </w:t>
      </w:r>
      <w:r>
        <w:rPr>
          <w:rFonts w:ascii="Carlito" w:hAnsi="Carlito" w:eastAsia="Carlito"/>
          <w:color w:val="20252B"/>
          <w:sz w:val="21"/>
        </w:rPr>
        <w:t xml:space="preserve">The paper supports 206 quality-controlled statistical candidates, 19 significant under both frameworks, 16 internally robust genes, 12 Tier B genes, and two genes with cross-context support, while explicitly reporting null and contradictory results. </w:t>
      </w:r>
      <w:r>
        <w:rPr>
          <w:rFonts w:ascii="Carlito" w:hAnsi="Carlito" w:eastAsia="Carlito"/>
          <w:i/>
          <w:color w:val="5B6573"/>
          <w:sz w:val="21"/>
        </w:rPr>
        <w:t>(Manuscript, Conclusions, p. 18.)</w:t>
      </w:r>
    </w:p>
    <w:p>
      <w:pPr>
        <w:keepNext w:val="0"/>
        <w:spacing w:after="60" w:line="259" w:lineRule="auto"/>
      </w:pPr>
      <w:r>
        <w:rPr>
          <w:rFonts w:ascii="Carlito" w:hAnsi="Carlito" w:eastAsia="Carlito"/>
          <w:color w:val="20252B"/>
          <w:sz w:val="21"/>
        </w:rPr>
        <w:t>The main editorial challenges are therefore not just the lack of wet-lab work. They are:</w:t>
      </w:r>
    </w:p>
    <w:p>
      <w:pPr>
        <w:pStyle w:val="ListBullet"/>
        <w:spacing w:after="50" w:line="252" w:lineRule="auto"/>
        <w:ind w:left="360" w:hanging="173"/>
      </w:pPr>
      <w:r>
        <w:rPr>
          <w:rFonts w:ascii="Carlito" w:hAnsi="Carlito" w:eastAsia="Carlito"/>
          <w:color w:val="20252B"/>
          <w:sz w:val="20"/>
        </w:rPr>
        <w:t>all data are secondary and public;</w:t>
      </w:r>
    </w:p>
    <w:p>
      <w:pPr>
        <w:pStyle w:val="ListBullet"/>
        <w:spacing w:after="50" w:line="252" w:lineRule="auto"/>
        <w:ind w:left="360" w:hanging="173"/>
      </w:pPr>
      <w:r>
        <w:rPr>
          <w:rFonts w:ascii="Carlito" w:hAnsi="Carlito" w:eastAsia="Carlito"/>
          <w:color w:val="20252B"/>
          <w:sz w:val="20"/>
        </w:rPr>
        <w:t>there is no new computational algorithm;</w:t>
      </w:r>
    </w:p>
    <w:p>
      <w:pPr>
        <w:pStyle w:val="ListBullet"/>
        <w:spacing w:after="50" w:line="252" w:lineRule="auto"/>
        <w:ind w:left="360" w:hanging="173"/>
      </w:pPr>
      <w:r>
        <w:rPr>
          <w:rFonts w:ascii="Carlito" w:hAnsi="Carlito" w:eastAsia="Carlito"/>
          <w:color w:val="20252B"/>
          <w:sz w:val="20"/>
        </w:rPr>
        <w:t>many results are negative or context-dependent;</w:t>
      </w:r>
    </w:p>
    <w:p>
      <w:pPr>
        <w:pStyle w:val="ListBullet"/>
        <w:spacing w:after="50" w:line="252" w:lineRule="auto"/>
        <w:ind w:left="360" w:hanging="173"/>
      </w:pPr>
      <w:r>
        <w:rPr>
          <w:rFonts w:ascii="Carlito" w:hAnsi="Carlito" w:eastAsia="Carlito"/>
          <w:color w:val="20252B"/>
          <w:sz w:val="20"/>
        </w:rPr>
        <w:t>the external evaluation is not a direct replication; and</w:t>
      </w:r>
    </w:p>
    <w:p>
      <w:pPr>
        <w:pStyle w:val="ListBullet"/>
        <w:spacing w:after="50" w:line="252" w:lineRule="auto"/>
        <w:ind w:left="360" w:hanging="173"/>
      </w:pPr>
      <w:r>
        <w:rPr>
          <w:rFonts w:ascii="Carlito" w:hAnsi="Carlito" w:eastAsia="Carlito"/>
          <w:color w:val="20252B"/>
          <w:sz w:val="20"/>
        </w:rPr>
        <w:t>the biological claims are deliberately modest.</w:t>
      </w:r>
    </w:p>
    <w:p>
      <w:pPr>
        <w:keepNext w:val="0"/>
        <w:spacing w:after="120" w:line="259" w:lineRule="auto"/>
      </w:pPr>
      <w:r>
        <w:rPr>
          <w:rFonts w:ascii="Carlito" w:hAnsi="Carlito" w:eastAsia="Carlito"/>
          <w:color w:val="20252B"/>
          <w:sz w:val="21"/>
        </w:rPr>
        <w:t>You should target journals that emphasize scientific soundness, transparent reporting, computational genomics, and plant-pathogen biology, rather than journals that expect a complete molecular mechanism.</w:t>
      </w:r>
    </w:p>
    <w:p>
      <w:pPr>
        <w:pStyle w:val="Heading1"/>
        <w:keepNext/>
        <w:spacing w:before="200" w:after="80"/>
      </w:pPr>
      <w:r>
        <w:t>Recommended journals: timing, costs, and priority ranking</w:t>
      </w:r>
    </w:p>
    <w:p>
      <w:pPr>
        <w:keepNext w:val="0"/>
        <w:spacing w:after="140" w:line="259" w:lineRule="auto"/>
      </w:pPr>
      <w:r>
        <w:rPr>
          <w:rFonts w:ascii="Carlito" w:hAnsi="Carlito" w:eastAsia="Carlito"/>
          <w:b/>
          <w:color w:val="5B6573"/>
          <w:sz w:val="19"/>
        </w:rPr>
        <w:t xml:space="preserve">Note: </w:t>
      </w:r>
      <w:r>
        <w:rPr>
          <w:rFonts w:ascii="Carlito" w:hAnsi="Carlito" w:eastAsia="Carlito"/>
          <w:i/>
          <w:color w:val="5B6573"/>
          <w:sz w:val="19"/>
        </w:rPr>
        <w:t>The wet-lab-request ratings below are practical estimates of likely editorial and reviewer expectations, not formal guarantees or official policies.</w:t>
      </w:r>
    </w:p>
    <w:p>
      <w:pPr>
        <w:pStyle w:val="Heading2"/>
      </w:pPr>
      <w:r>
        <w:t>Decision time and publication cost snapshot</w:t>
      </w:r>
    </w:p>
    <w:p>
      <w:r>
        <w:rPr>
          <w:b/>
        </w:rPr>
        <w:t xml:space="preserve">Checked 5 September 2026. </w:t>
      </w:r>
      <w:r>
        <w:t>The table covers the ten recommended journals and uses each publisher’s current first-decision statistic or stated target and the likely standard research-article charge. Click an underlined value to open its publisher source.</w:t>
      </w:r>
    </w:p>
    <w:tbl>
      <w:tblPr>
        <w:tblStyle w:val="LightShading-Accent1"/>
        <w:tblW w:type="dxa" w:w="9994"/>
        <w:jc w:val="center"/>
        <w:tblLayout w:type="fixed"/>
        <w:tblLook w:firstColumn="1" w:firstRow="1" w:lastColumn="0" w:lastRow="0" w:noHBand="0" w:noVBand="1" w:val="04A0"/>
        <w:tblBorders>
          <w:top w:val="single" w:sz="4" w:space="0" w:color="C9DADD"/>
          <w:left w:val="single" w:sz="4" w:space="0" w:color="C9DADD"/>
          <w:bottom w:val="single" w:sz="4" w:space="0" w:color="C9DADD"/>
          <w:right w:val="single" w:sz="4" w:space="0" w:color="C9DADD"/>
          <w:insideH w:val="single" w:sz="4" w:space="0" w:color="C9DADD"/>
          <w:insideV w:val="single" w:sz="4" w:space="0" w:color="C9DADD"/>
        </w:tblBorders>
      </w:tblPr>
      <w:tblGrid>
        <w:gridCol w:w="2477"/>
        <w:gridCol w:w="2952"/>
        <w:gridCol w:w="4565"/>
      </w:tblGrid>
      <w:tr>
        <w:trPr>
          <w:tblHeader w:val="true"/>
        </w:trPr>
        <w:tc>
          <w:tcPr>
            <w:tcW w:type="dxa" w:w="2477"/>
            <w:vAlign w:val="center"/>
            <w:tcMar>
              <w:top w:w="65" w:type="dxa"/>
              <w:start w:w="80" w:type="dxa"/>
              <w:bottom w:w="65" w:type="dxa"/>
              <w:end w:w="80" w:type="dxa"/>
            </w:tcMar>
            <w:shd w:val="clear" w:color="auto" w:fill="1F6D7A"/>
          </w:tcPr>
          <w:p>
            <w:pPr>
              <w:spacing w:before="0" w:after="0" w:line="240" w:lineRule="auto"/>
            </w:pPr>
            <w:r>
              <w:rPr>
                <w:color w:val="FFFFFF"/>
              </w:rPr>
            </w:r>
            <w:r>
              <w:rPr>
                <w:rFonts w:ascii="Carlito" w:hAnsi="Carlito"/>
                <w:b/>
                <w:color w:val="FFFFFF"/>
                <w:sz w:val="18"/>
              </w:rPr>
              <w:t>Journal</w:t>
            </w:r>
          </w:p>
        </w:tc>
        <w:tc>
          <w:tcPr>
            <w:tcW w:type="dxa" w:w="2952"/>
            <w:vAlign w:val="center"/>
            <w:tcMar>
              <w:top w:w="65" w:type="dxa"/>
              <w:start w:w="80" w:type="dxa"/>
              <w:bottom w:w="65" w:type="dxa"/>
              <w:end w:w="80" w:type="dxa"/>
            </w:tcMar>
            <w:shd w:val="clear" w:color="auto" w:fill="1F6D7A"/>
          </w:tcPr>
          <w:p>
            <w:pPr>
              <w:spacing w:before="0" w:after="0" w:line="240" w:lineRule="auto"/>
            </w:pPr>
            <w:r>
              <w:rPr>
                <w:color w:val="FFFFFF"/>
              </w:rPr>
            </w:r>
            <w:r>
              <w:rPr>
                <w:rFonts w:ascii="Carlito" w:hAnsi="Carlito"/>
                <w:b/>
                <w:color w:val="FFFFFF"/>
                <w:sz w:val="18"/>
              </w:rPr>
              <w:t>Submission to first decision</w:t>
            </w:r>
          </w:p>
        </w:tc>
        <w:tc>
          <w:tcPr>
            <w:tcW w:type="dxa" w:w="4565"/>
            <w:vAlign w:val="center"/>
            <w:tcMar>
              <w:top w:w="65" w:type="dxa"/>
              <w:start w:w="80" w:type="dxa"/>
              <w:bottom w:w="65" w:type="dxa"/>
              <w:end w:w="80" w:type="dxa"/>
            </w:tcMar>
            <w:shd w:val="clear" w:color="auto" w:fill="1F6D7A"/>
          </w:tcPr>
          <w:p>
            <w:pPr>
              <w:spacing w:before="0" w:after="0" w:line="240" w:lineRule="auto"/>
            </w:pPr>
            <w:r>
              <w:rPr>
                <w:color w:val="FFFFFF"/>
              </w:rPr>
            </w:r>
            <w:r>
              <w:rPr>
                <w:rFonts w:ascii="Carlito" w:hAnsi="Carlito"/>
                <w:b/>
                <w:color w:val="FFFFFF"/>
                <w:sz w:val="18"/>
              </w:rPr>
              <w:t>Published charge before coverage</w:t>
            </w:r>
          </w:p>
        </w:tc>
      </w:tr>
      <w:tr>
        <w:tc>
          <w:tcPr>
            <w:tcW w:type="dxa" w:w="2477"/>
            <w:vAlign w:val="center"/>
            <w:tcMar>
              <w:top w:w="65" w:type="dxa"/>
              <w:start w:w="80" w:type="dxa"/>
              <w:bottom w:w="65" w:type="dxa"/>
              <w:end w:w="80" w:type="dxa"/>
            </w:tcMar>
            <w:shd w:val="clear" w:color="auto" w:fill="FFFFFF"/>
          </w:tcPr>
          <w:p>
            <w:pPr>
              <w:spacing w:before="0" w:after="0" w:line="240" w:lineRule="auto"/>
            </w:pPr>
            <w:r>
              <w:rPr>
                <w:rFonts w:ascii="Carlito" w:hAnsi="Carlito"/>
                <w:b/>
                <w:sz w:val="18"/>
              </w:rPr>
              <w:t>Plant Direct</w:t>
            </w:r>
          </w:p>
        </w:tc>
        <w:tc>
          <w:tcPr>
            <w:tcW w:type="dxa" w:w="2952"/>
            <w:vAlign w:val="center"/>
            <w:tcMar>
              <w:top w:w="65" w:type="dxa"/>
              <w:start w:w="80" w:type="dxa"/>
              <w:bottom w:w="65" w:type="dxa"/>
              <w:end w:w="80" w:type="dxa"/>
            </w:tcMar>
            <w:shd w:val="clear" w:color="auto" w:fill="FFFFFF"/>
          </w:tcPr>
          <w:p>
            <w:pPr>
              <w:spacing w:before="0" w:after="0" w:line="240" w:lineRule="auto"/>
            </w:pPr>
            <w:r/>
            <w:hyperlink r:id="rId31">
              <w:r>
                <w:rPr>
                  <w:rFonts w:ascii="Carlito" w:hAnsi="Carlito"/>
                  <w:color w:val="0563C1"/>
                  <w:u w:val="single"/>
                  <w:sz w:val="18"/>
                  <w:szCs w:val="18"/>
                </w:rPr>
                <w:t>31 days (median)</w:t>
              </w:r>
            </w:hyperlink>
          </w:p>
        </w:tc>
        <w:tc>
          <w:tcPr>
            <w:tcW w:type="dxa" w:w="4565"/>
            <w:vAlign w:val="center"/>
            <w:tcMar>
              <w:top w:w="65" w:type="dxa"/>
              <w:start w:w="80" w:type="dxa"/>
              <w:bottom w:w="65" w:type="dxa"/>
              <w:end w:w="80" w:type="dxa"/>
            </w:tcMar>
            <w:shd w:val="clear" w:color="auto" w:fill="FFFFFF"/>
          </w:tcPr>
          <w:p>
            <w:pPr>
              <w:spacing w:before="0" w:after="0" w:line="240" w:lineRule="auto"/>
            </w:pPr>
            <w:r/>
            <w:hyperlink r:id="rId32">
              <w:r>
                <w:rPr>
                  <w:rFonts w:ascii="Carlito" w:hAnsi="Carlito"/>
                  <w:color w:val="0563C1"/>
                  <w:u w:val="single"/>
                  <w:sz w:val="18"/>
                  <w:szCs w:val="18"/>
                </w:rPr>
                <w:t>US$3,120; society members receive 20% off (US$2,496)</w:t>
              </w:r>
            </w:hyperlink>
          </w:p>
        </w:tc>
      </w:tr>
      <w:tr>
        <w:tc>
          <w:tcPr>
            <w:tcW w:type="dxa" w:w="2477"/>
            <w:vAlign w:val="center"/>
            <w:tcMar>
              <w:top w:w="65" w:type="dxa"/>
              <w:start w:w="80" w:type="dxa"/>
              <w:bottom w:w="65" w:type="dxa"/>
              <w:end w:w="80" w:type="dxa"/>
            </w:tcMar>
            <w:shd w:val="clear" w:color="auto" w:fill="EEF4F5"/>
          </w:tcPr>
          <w:p>
            <w:pPr>
              <w:spacing w:before="0" w:after="0" w:line="240" w:lineRule="auto"/>
            </w:pPr>
            <w:r>
              <w:rPr>
                <w:rFonts w:ascii="Carlito" w:hAnsi="Carlito"/>
                <w:b/>
                <w:sz w:val="18"/>
              </w:rPr>
              <w:t>BMC Genomics</w:t>
            </w:r>
          </w:p>
        </w:tc>
        <w:tc>
          <w:tcPr>
            <w:tcW w:type="dxa" w:w="2952"/>
            <w:vAlign w:val="center"/>
            <w:tcMar>
              <w:top w:w="65" w:type="dxa"/>
              <w:start w:w="80" w:type="dxa"/>
              <w:bottom w:w="65" w:type="dxa"/>
              <w:end w:w="80" w:type="dxa"/>
            </w:tcMar>
            <w:shd w:val="clear" w:color="auto" w:fill="EEF4F5"/>
          </w:tcPr>
          <w:p>
            <w:pPr>
              <w:spacing w:before="0" w:after="0" w:line="240" w:lineRule="auto"/>
            </w:pPr>
            <w:r/>
            <w:hyperlink r:id="rId33">
              <w:r>
                <w:rPr>
                  <w:rFonts w:ascii="Carlito" w:hAnsi="Carlito"/>
                  <w:color w:val="0563C1"/>
                  <w:u w:val="single"/>
                  <w:sz w:val="18"/>
                  <w:szCs w:val="18"/>
                </w:rPr>
                <w:t>4 days (median; includes rapid editorial outcomes)</w:t>
              </w:r>
            </w:hyperlink>
          </w:p>
        </w:tc>
        <w:tc>
          <w:tcPr>
            <w:tcW w:type="dxa" w:w="4565"/>
            <w:vAlign w:val="center"/>
            <w:tcMar>
              <w:top w:w="65" w:type="dxa"/>
              <w:start w:w="80" w:type="dxa"/>
              <w:bottom w:w="65" w:type="dxa"/>
              <w:end w:w="80" w:type="dxa"/>
            </w:tcMar>
            <w:shd w:val="clear" w:color="auto" w:fill="EEF4F5"/>
          </w:tcPr>
          <w:p>
            <w:pPr>
              <w:spacing w:before="0" w:after="0" w:line="240" w:lineRule="auto"/>
            </w:pPr>
            <w:r/>
            <w:hyperlink r:id="rId34">
              <w:r>
                <w:rPr>
                  <w:rFonts w:ascii="Carlito" w:hAnsi="Carlito"/>
                  <w:color w:val="0563C1"/>
                  <w:u w:val="single"/>
                  <w:sz w:val="18"/>
                  <w:szCs w:val="18"/>
                </w:rPr>
                <w:t>US$3,190 / £2,390 / €2,790</w:t>
              </w:r>
            </w:hyperlink>
          </w:p>
        </w:tc>
      </w:tr>
      <w:tr>
        <w:tc>
          <w:tcPr>
            <w:tcW w:type="dxa" w:w="2477"/>
            <w:vAlign w:val="center"/>
            <w:tcMar>
              <w:top w:w="65" w:type="dxa"/>
              <w:start w:w="80" w:type="dxa"/>
              <w:bottom w:w="65" w:type="dxa"/>
              <w:end w:w="80" w:type="dxa"/>
            </w:tcMar>
            <w:shd w:val="clear" w:color="auto" w:fill="FFFFFF"/>
          </w:tcPr>
          <w:p>
            <w:pPr>
              <w:spacing w:before="0" w:after="0" w:line="240" w:lineRule="auto"/>
            </w:pPr>
            <w:r>
              <w:rPr>
                <w:rFonts w:ascii="Carlito" w:hAnsi="Carlito"/>
                <w:b/>
                <w:sz w:val="18"/>
              </w:rPr>
              <w:t>PhytoFrontiers</w:t>
            </w:r>
          </w:p>
        </w:tc>
        <w:tc>
          <w:tcPr>
            <w:tcW w:type="dxa" w:w="2952"/>
            <w:vAlign w:val="center"/>
            <w:tcMar>
              <w:top w:w="65" w:type="dxa"/>
              <w:start w:w="80" w:type="dxa"/>
              <w:bottom w:w="65" w:type="dxa"/>
              <w:end w:w="80" w:type="dxa"/>
            </w:tcMar>
            <w:shd w:val="clear" w:color="auto" w:fill="FFFFFF"/>
          </w:tcPr>
          <w:p>
            <w:pPr>
              <w:spacing w:before="0" w:after="0" w:line="240" w:lineRule="auto"/>
            </w:pPr>
            <w:r/>
            <w:hyperlink r:id="rId35">
              <w:r>
                <w:rPr>
                  <w:rFonts w:ascii="Carlito" w:hAnsi="Carlito"/>
                  <w:color w:val="0563C1"/>
                  <w:u w:val="single"/>
                  <w:sz w:val="18"/>
                  <w:szCs w:val="18"/>
                </w:rPr>
                <w:t>Not reported for this journal (APS metrics table is blank)</w:t>
              </w:r>
            </w:hyperlink>
          </w:p>
        </w:tc>
        <w:tc>
          <w:tcPr>
            <w:tcW w:type="dxa" w:w="4565"/>
            <w:vAlign w:val="center"/>
            <w:tcMar>
              <w:top w:w="65" w:type="dxa"/>
              <w:start w:w="80" w:type="dxa"/>
              <w:bottom w:w="65" w:type="dxa"/>
              <w:end w:w="80" w:type="dxa"/>
            </w:tcMar>
            <w:shd w:val="clear" w:color="auto" w:fill="FFFFFF"/>
          </w:tcPr>
          <w:p>
            <w:pPr>
              <w:spacing w:before="0" w:after="0" w:line="240" w:lineRule="auto"/>
            </w:pPr>
            <w:r/>
            <w:hyperlink r:id="rId36">
              <w:r>
                <w:rPr>
                  <w:rFonts w:ascii="Carlito" w:hAnsi="Carlito"/>
                  <w:color w:val="0563C1"/>
                  <w:u w:val="single"/>
                  <w:sz w:val="18"/>
                  <w:szCs w:val="18"/>
                </w:rPr>
                <w:t>First 12 published pages: US$2,550 member / US$2,678 nonmember; then US$144 / US$215 per page; US$80 per supplementary file</w:t>
              </w:r>
            </w:hyperlink>
          </w:p>
        </w:tc>
      </w:tr>
      <w:tr>
        <w:tc>
          <w:tcPr>
            <w:tcW w:type="dxa" w:w="2477"/>
            <w:vAlign w:val="center"/>
            <w:tcMar>
              <w:top w:w="65" w:type="dxa"/>
              <w:start w:w="80" w:type="dxa"/>
              <w:bottom w:w="65" w:type="dxa"/>
              <w:end w:w="80" w:type="dxa"/>
            </w:tcMar>
            <w:shd w:val="clear" w:color="auto" w:fill="EEF4F5"/>
          </w:tcPr>
          <w:p>
            <w:pPr>
              <w:spacing w:before="0" w:after="0" w:line="240" w:lineRule="auto"/>
            </w:pPr>
            <w:r>
              <w:rPr>
                <w:rFonts w:ascii="Carlito" w:hAnsi="Carlito"/>
                <w:b/>
                <w:sz w:val="18"/>
              </w:rPr>
              <w:t>BMC Plant Biology</w:t>
            </w:r>
          </w:p>
        </w:tc>
        <w:tc>
          <w:tcPr>
            <w:tcW w:type="dxa" w:w="2952"/>
            <w:vAlign w:val="center"/>
            <w:tcMar>
              <w:top w:w="65" w:type="dxa"/>
              <w:start w:w="80" w:type="dxa"/>
              <w:bottom w:w="65" w:type="dxa"/>
              <w:end w:w="80" w:type="dxa"/>
            </w:tcMar>
            <w:shd w:val="clear" w:color="auto" w:fill="EEF4F5"/>
          </w:tcPr>
          <w:p>
            <w:pPr>
              <w:spacing w:before="0" w:after="0" w:line="240" w:lineRule="auto"/>
            </w:pPr>
            <w:r/>
            <w:hyperlink r:id="rId37">
              <w:r>
                <w:rPr>
                  <w:rFonts w:ascii="Carlito" w:hAnsi="Carlito"/>
                  <w:color w:val="0563C1"/>
                  <w:u w:val="single"/>
                  <w:sz w:val="18"/>
                  <w:szCs w:val="18"/>
                </w:rPr>
                <w:t>11 days (median; includes rapid editorial outcomes)</w:t>
              </w:r>
            </w:hyperlink>
          </w:p>
        </w:tc>
        <w:tc>
          <w:tcPr>
            <w:tcW w:type="dxa" w:w="4565"/>
            <w:vAlign w:val="center"/>
            <w:tcMar>
              <w:top w:w="65" w:type="dxa"/>
              <w:start w:w="80" w:type="dxa"/>
              <w:bottom w:w="65" w:type="dxa"/>
              <w:end w:w="80" w:type="dxa"/>
            </w:tcMar>
            <w:shd w:val="clear" w:color="auto" w:fill="EEF4F5"/>
          </w:tcPr>
          <w:p>
            <w:pPr>
              <w:spacing w:before="0" w:after="0" w:line="240" w:lineRule="auto"/>
            </w:pPr>
            <w:r/>
            <w:hyperlink r:id="rId38">
              <w:r>
                <w:rPr>
                  <w:rFonts w:ascii="Carlito" w:hAnsi="Carlito"/>
                  <w:color w:val="0563C1"/>
                  <w:u w:val="single"/>
                  <w:sz w:val="18"/>
                  <w:szCs w:val="18"/>
                </w:rPr>
                <w:t>US$3,190 / £2,490 / €2,790</w:t>
              </w:r>
            </w:hyperlink>
          </w:p>
        </w:tc>
      </w:tr>
      <w:tr>
        <w:tc>
          <w:tcPr>
            <w:tcW w:type="dxa" w:w="2477"/>
            <w:vAlign w:val="center"/>
            <w:tcMar>
              <w:top w:w="65" w:type="dxa"/>
              <w:start w:w="80" w:type="dxa"/>
              <w:bottom w:w="65" w:type="dxa"/>
              <w:end w:w="80" w:type="dxa"/>
            </w:tcMar>
            <w:shd w:val="clear" w:color="auto" w:fill="FFFFFF"/>
          </w:tcPr>
          <w:p>
            <w:pPr>
              <w:spacing w:before="0" w:after="0" w:line="240" w:lineRule="auto"/>
            </w:pPr>
            <w:r>
              <w:rPr>
                <w:rFonts w:ascii="Carlito" w:hAnsi="Carlito"/>
                <w:b/>
                <w:sz w:val="18"/>
              </w:rPr>
              <w:t>Royal Society Open Science</w:t>
            </w:r>
          </w:p>
        </w:tc>
        <w:tc>
          <w:tcPr>
            <w:tcW w:type="dxa" w:w="2952"/>
            <w:vAlign w:val="center"/>
            <w:tcMar>
              <w:top w:w="65" w:type="dxa"/>
              <w:start w:w="80" w:type="dxa"/>
              <w:bottom w:w="65" w:type="dxa"/>
              <w:end w:w="80" w:type="dxa"/>
            </w:tcMar>
            <w:shd w:val="clear" w:color="auto" w:fill="FFFFFF"/>
          </w:tcPr>
          <w:p>
            <w:pPr>
              <w:spacing w:before="0" w:after="0" w:line="240" w:lineRule="auto"/>
            </w:pPr>
            <w:r/>
            <w:hyperlink r:id="rId39">
              <w:r>
                <w:rPr>
                  <w:rFonts w:ascii="Carlito" w:hAnsi="Carlito"/>
                  <w:color w:val="0563C1"/>
                  <w:u w:val="single"/>
                  <w:sz w:val="18"/>
                  <w:szCs w:val="18"/>
                </w:rPr>
                <w:t>19 days (median for 2025; includes editorial decisions)</w:t>
              </w:r>
            </w:hyperlink>
          </w:p>
        </w:tc>
        <w:tc>
          <w:tcPr>
            <w:tcW w:type="dxa" w:w="4565"/>
            <w:vAlign w:val="center"/>
            <w:tcMar>
              <w:top w:w="65" w:type="dxa"/>
              <w:start w:w="80" w:type="dxa"/>
              <w:bottom w:w="65" w:type="dxa"/>
              <w:end w:w="80" w:type="dxa"/>
            </w:tcMar>
            <w:shd w:val="clear" w:color="auto" w:fill="FFFFFF"/>
          </w:tcPr>
          <w:p>
            <w:pPr>
              <w:spacing w:before="0" w:after="0" w:line="240" w:lineRule="auto"/>
            </w:pPr>
            <w:r/>
            <w:hyperlink r:id="rId40">
              <w:r>
                <w:rPr>
                  <w:rFonts w:ascii="Carlito" w:hAnsi="Carlito"/>
                  <w:color w:val="0563C1"/>
                  <w:u w:val="single"/>
                  <w:sz w:val="18"/>
                  <w:szCs w:val="18"/>
                </w:rPr>
                <w:t>US$1,960 / £1,400 / €1,680</w:t>
              </w:r>
            </w:hyperlink>
          </w:p>
        </w:tc>
      </w:tr>
      <w:tr>
        <w:tc>
          <w:tcPr>
            <w:tcW w:type="dxa" w:w="2477"/>
            <w:vAlign w:val="center"/>
            <w:tcMar>
              <w:top w:w="65" w:type="dxa"/>
              <w:start w:w="80" w:type="dxa"/>
              <w:bottom w:w="65" w:type="dxa"/>
              <w:end w:w="80" w:type="dxa"/>
            </w:tcMar>
            <w:shd w:val="clear" w:color="auto" w:fill="EEF4F5"/>
          </w:tcPr>
          <w:p>
            <w:pPr>
              <w:spacing w:before="0" w:after="0" w:line="240" w:lineRule="auto"/>
            </w:pPr>
            <w:r>
              <w:rPr>
                <w:rFonts w:ascii="Carlito" w:hAnsi="Carlito"/>
                <w:b/>
                <w:sz w:val="18"/>
              </w:rPr>
              <w:t>PLOS ONE</w:t>
            </w:r>
          </w:p>
        </w:tc>
        <w:tc>
          <w:tcPr>
            <w:tcW w:type="dxa" w:w="2952"/>
            <w:vAlign w:val="center"/>
            <w:tcMar>
              <w:top w:w="65" w:type="dxa"/>
              <w:start w:w="80" w:type="dxa"/>
              <w:bottom w:w="65" w:type="dxa"/>
              <w:end w:w="80" w:type="dxa"/>
            </w:tcMar>
            <w:shd w:val="clear" w:color="auto" w:fill="EEF4F5"/>
          </w:tcPr>
          <w:p>
            <w:pPr>
              <w:spacing w:before="0" w:after="0" w:line="240" w:lineRule="auto"/>
            </w:pPr>
            <w:r/>
            <w:hyperlink r:id="rId18">
              <w:r>
                <w:rPr>
                  <w:rFonts w:ascii="Carlito" w:hAnsi="Carlito"/>
                  <w:color w:val="0563C1"/>
                  <w:u w:val="single"/>
                  <w:sz w:val="18"/>
                  <w:szCs w:val="18"/>
                </w:rPr>
                <w:t>45 days (median; latest journal table is Jan–Jun 2023)</w:t>
              </w:r>
            </w:hyperlink>
          </w:p>
        </w:tc>
        <w:tc>
          <w:tcPr>
            <w:tcW w:type="dxa" w:w="4565"/>
            <w:vAlign w:val="center"/>
            <w:tcMar>
              <w:top w:w="65" w:type="dxa"/>
              <w:start w:w="80" w:type="dxa"/>
              <w:bottom w:w="65" w:type="dxa"/>
              <w:end w:w="80" w:type="dxa"/>
            </w:tcMar>
            <w:shd w:val="clear" w:color="auto" w:fill="EEF4F5"/>
          </w:tcPr>
          <w:p>
            <w:pPr>
              <w:spacing w:before="0" w:after="0" w:line="240" w:lineRule="auto"/>
            </w:pPr>
            <w:r/>
            <w:hyperlink r:id="rId41">
              <w:r>
                <w:rPr>
                  <w:rFonts w:ascii="Carlito" w:hAnsi="Carlito"/>
                  <w:color w:val="0563C1"/>
                  <w:u w:val="single"/>
                  <w:sz w:val="18"/>
                  <w:szCs w:val="18"/>
                </w:rPr>
                <w:t>US$2,477 for a standard research article</w:t>
              </w:r>
            </w:hyperlink>
          </w:p>
        </w:tc>
      </w:tr>
      <w:tr>
        <w:tc>
          <w:tcPr>
            <w:tcW w:type="dxa" w:w="2477"/>
            <w:vAlign w:val="center"/>
            <w:tcMar>
              <w:top w:w="65" w:type="dxa"/>
              <w:start w:w="80" w:type="dxa"/>
              <w:bottom w:w="65" w:type="dxa"/>
              <w:end w:w="80" w:type="dxa"/>
            </w:tcMar>
            <w:shd w:val="clear" w:color="auto" w:fill="FFFFFF"/>
          </w:tcPr>
          <w:p>
            <w:pPr>
              <w:spacing w:before="0" w:after="0" w:line="240" w:lineRule="auto"/>
            </w:pPr>
            <w:r>
              <w:rPr>
                <w:rFonts w:ascii="Carlito" w:hAnsi="Carlito"/>
                <w:b/>
                <w:sz w:val="18"/>
              </w:rPr>
              <w:t>G3: Genes|Genomes|Genetics</w:t>
            </w:r>
          </w:p>
        </w:tc>
        <w:tc>
          <w:tcPr>
            <w:tcW w:type="dxa" w:w="2952"/>
            <w:vAlign w:val="center"/>
            <w:tcMar>
              <w:top w:w="65" w:type="dxa"/>
              <w:start w:w="80" w:type="dxa"/>
              <w:bottom w:w="65" w:type="dxa"/>
              <w:end w:w="80" w:type="dxa"/>
            </w:tcMar>
            <w:shd w:val="clear" w:color="auto" w:fill="FFFFFF"/>
          </w:tcPr>
          <w:p>
            <w:pPr>
              <w:spacing w:before="0" w:after="0" w:line="240" w:lineRule="auto"/>
            </w:pPr>
            <w:r/>
            <w:hyperlink r:id="rId42">
              <w:r>
                <w:rPr>
                  <w:rFonts w:ascii="Carlito" w:hAnsi="Carlito"/>
                  <w:color w:val="0563C1"/>
                  <w:u w:val="single"/>
                  <w:sz w:val="18"/>
                  <w:szCs w:val="18"/>
                </w:rPr>
                <w:t>About 6 weeks (journal target)</w:t>
              </w:r>
            </w:hyperlink>
          </w:p>
        </w:tc>
        <w:tc>
          <w:tcPr>
            <w:tcW w:type="dxa" w:w="4565"/>
            <w:vAlign w:val="center"/>
            <w:tcMar>
              <w:top w:w="65" w:type="dxa"/>
              <w:start w:w="80" w:type="dxa"/>
              <w:bottom w:w="65" w:type="dxa"/>
              <w:end w:w="80" w:type="dxa"/>
            </w:tcMar>
            <w:shd w:val="clear" w:color="auto" w:fill="FFFFFF"/>
          </w:tcPr>
          <w:p>
            <w:pPr>
              <w:spacing w:before="0" w:after="0" w:line="240" w:lineRule="auto"/>
            </w:pPr>
            <w:r/>
            <w:hyperlink r:id="rId43">
              <w:r>
                <w:rPr>
                  <w:rFonts w:ascii="Carlito" w:hAnsi="Carlito"/>
                  <w:color w:val="0563C1"/>
                  <w:u w:val="single"/>
                  <w:sz w:val="18"/>
                  <w:szCs w:val="18"/>
                </w:rPr>
                <w:t>US$3,625; 20% GSA-member discount gives US$2,900</w:t>
              </w:r>
            </w:hyperlink>
          </w:p>
        </w:tc>
      </w:tr>
      <w:tr>
        <w:tc>
          <w:tcPr>
            <w:tcW w:type="dxa" w:w="2477"/>
            <w:vAlign w:val="center"/>
            <w:tcMar>
              <w:top w:w="65" w:type="dxa"/>
              <w:start w:w="80" w:type="dxa"/>
              <w:bottom w:w="65" w:type="dxa"/>
              <w:end w:w="80" w:type="dxa"/>
            </w:tcMar>
            <w:shd w:val="clear" w:color="auto" w:fill="EEF4F5"/>
          </w:tcPr>
          <w:p>
            <w:pPr>
              <w:spacing w:before="0" w:after="0" w:line="240" w:lineRule="auto"/>
            </w:pPr>
            <w:r>
              <w:rPr>
                <w:rFonts w:ascii="Carlito" w:hAnsi="Carlito"/>
                <w:b/>
                <w:sz w:val="18"/>
              </w:rPr>
              <w:t>PeerJ</w:t>
            </w:r>
          </w:p>
        </w:tc>
        <w:tc>
          <w:tcPr>
            <w:tcW w:type="dxa" w:w="2952"/>
            <w:vAlign w:val="center"/>
            <w:tcMar>
              <w:top w:w="65" w:type="dxa"/>
              <w:start w:w="80" w:type="dxa"/>
              <w:bottom w:w="65" w:type="dxa"/>
              <w:end w:w="80" w:type="dxa"/>
            </w:tcMar>
            <w:shd w:val="clear" w:color="auto" w:fill="EEF4F5"/>
          </w:tcPr>
          <w:p>
            <w:pPr>
              <w:spacing w:before="0" w:after="0" w:line="240" w:lineRule="auto"/>
            </w:pPr>
            <w:r/>
            <w:hyperlink r:id="rId44">
              <w:r>
                <w:rPr>
                  <w:rFonts w:ascii="Carlito" w:hAnsi="Carlito"/>
                  <w:color w:val="0563C1"/>
                  <w:u w:val="single"/>
                  <w:sz w:val="18"/>
                  <w:szCs w:val="18"/>
                </w:rPr>
                <w:t>32 days (journal factsheet)</w:t>
              </w:r>
            </w:hyperlink>
          </w:p>
        </w:tc>
        <w:tc>
          <w:tcPr>
            <w:tcW w:type="dxa" w:w="4565"/>
            <w:vAlign w:val="center"/>
            <w:tcMar>
              <w:top w:w="65" w:type="dxa"/>
              <w:start w:w="80" w:type="dxa"/>
              <w:bottom w:w="65" w:type="dxa"/>
              <w:end w:w="80" w:type="dxa"/>
            </w:tcMar>
            <w:shd w:val="clear" w:color="auto" w:fill="EEF4F5"/>
          </w:tcPr>
          <w:p>
            <w:pPr>
              <w:spacing w:before="0" w:after="0" w:line="240" w:lineRule="auto"/>
            </w:pPr>
            <w:r/>
            <w:hyperlink r:id="rId45">
              <w:r>
                <w:rPr>
                  <w:rFonts w:ascii="Carlito" w:hAnsi="Carlito"/>
                  <w:color w:val="0563C1"/>
                  <w:u w:val="single"/>
                  <w:sz w:val="18"/>
                  <w:szCs w:val="18"/>
                </w:rPr>
                <w:t>US$2,155</w:t>
              </w:r>
            </w:hyperlink>
          </w:p>
        </w:tc>
      </w:tr>
      <w:tr>
        <w:tc>
          <w:tcPr>
            <w:tcW w:type="dxa" w:w="2477"/>
            <w:vAlign w:val="center"/>
            <w:tcMar>
              <w:top w:w="65" w:type="dxa"/>
              <w:start w:w="80" w:type="dxa"/>
              <w:bottom w:w="65" w:type="dxa"/>
              <w:end w:w="80" w:type="dxa"/>
            </w:tcMar>
            <w:shd w:val="clear" w:color="auto" w:fill="FFFFFF"/>
          </w:tcPr>
          <w:p>
            <w:pPr>
              <w:spacing w:before="0" w:after="0" w:line="240" w:lineRule="auto"/>
            </w:pPr>
            <w:r>
              <w:rPr>
                <w:rFonts w:ascii="Carlito" w:hAnsi="Carlito"/>
                <w:b/>
                <w:sz w:val="18"/>
              </w:rPr>
              <w:t>Scientific Reports</w:t>
            </w:r>
          </w:p>
        </w:tc>
        <w:tc>
          <w:tcPr>
            <w:tcW w:type="dxa" w:w="2952"/>
            <w:vAlign w:val="center"/>
            <w:tcMar>
              <w:top w:w="65" w:type="dxa"/>
              <w:start w:w="80" w:type="dxa"/>
              <w:bottom w:w="65" w:type="dxa"/>
              <w:end w:w="80" w:type="dxa"/>
            </w:tcMar>
            <w:shd w:val="clear" w:color="auto" w:fill="FFFFFF"/>
          </w:tcPr>
          <w:p>
            <w:pPr>
              <w:spacing w:before="0" w:after="0" w:line="240" w:lineRule="auto"/>
            </w:pPr>
            <w:r/>
            <w:hyperlink r:id="rId46">
              <w:r>
                <w:rPr>
                  <w:rFonts w:ascii="Carlito" w:hAnsi="Carlito"/>
                  <w:color w:val="0563C1"/>
                  <w:u w:val="single"/>
                  <w:sz w:val="18"/>
                  <w:szCs w:val="18"/>
                </w:rPr>
                <w:t>Within 45 days (journal aim)</w:t>
              </w:r>
            </w:hyperlink>
          </w:p>
        </w:tc>
        <w:tc>
          <w:tcPr>
            <w:tcW w:type="dxa" w:w="4565"/>
            <w:vAlign w:val="center"/>
            <w:tcMar>
              <w:top w:w="65" w:type="dxa"/>
              <w:start w:w="80" w:type="dxa"/>
              <w:bottom w:w="65" w:type="dxa"/>
              <w:end w:w="80" w:type="dxa"/>
            </w:tcMar>
            <w:shd w:val="clear" w:color="auto" w:fill="FFFFFF"/>
          </w:tcPr>
          <w:p>
            <w:pPr>
              <w:spacing w:before="0" w:after="0" w:line="240" w:lineRule="auto"/>
            </w:pPr>
            <w:r/>
            <w:hyperlink r:id="rId47">
              <w:r>
                <w:rPr>
                  <w:rFonts w:ascii="Carlito" w:hAnsi="Carlito"/>
                  <w:color w:val="0563C1"/>
                  <w:u w:val="single"/>
                  <w:sz w:val="18"/>
                  <w:szCs w:val="18"/>
                </w:rPr>
                <w:t>US$2,850 / £2,290 / €2,490</w:t>
              </w:r>
            </w:hyperlink>
          </w:p>
        </w:tc>
      </w:tr>
      <w:tr>
        <w:tc>
          <w:tcPr>
            <w:tcW w:type="dxa" w:w="2477"/>
            <w:vAlign w:val="center"/>
            <w:tcMar>
              <w:top w:w="65" w:type="dxa"/>
              <w:start w:w="80" w:type="dxa"/>
              <w:bottom w:w="65" w:type="dxa"/>
              <w:end w:w="80" w:type="dxa"/>
            </w:tcMar>
            <w:shd w:val="clear" w:color="auto" w:fill="EEF4F5"/>
          </w:tcPr>
          <w:p>
            <w:pPr>
              <w:spacing w:before="0" w:after="0" w:line="240" w:lineRule="auto"/>
            </w:pPr>
            <w:r>
              <w:rPr>
                <w:rFonts w:ascii="Carlito" w:hAnsi="Carlito"/>
                <w:b/>
                <w:sz w:val="18"/>
              </w:rPr>
              <w:t>Frontiers in Plant Science</w:t>
            </w:r>
          </w:p>
        </w:tc>
        <w:tc>
          <w:tcPr>
            <w:tcW w:type="dxa" w:w="2952"/>
            <w:vAlign w:val="center"/>
            <w:tcMar>
              <w:top w:w="65" w:type="dxa"/>
              <w:start w:w="80" w:type="dxa"/>
              <w:bottom w:w="65" w:type="dxa"/>
              <w:end w:w="80" w:type="dxa"/>
            </w:tcMar>
            <w:shd w:val="clear" w:color="auto" w:fill="EEF4F5"/>
          </w:tcPr>
          <w:p>
            <w:pPr>
              <w:spacing w:before="0" w:after="0" w:line="240" w:lineRule="auto"/>
            </w:pPr>
            <w:r/>
            <w:hyperlink r:id="rId48">
              <w:r>
                <w:rPr>
                  <w:rFonts w:ascii="Carlito" w:hAnsi="Carlito"/>
                  <w:color w:val="0563C1"/>
                  <w:u w:val="single"/>
                  <w:sz w:val="18"/>
                  <w:szCs w:val="18"/>
                </w:rPr>
                <w:t>Not reported on the journal’s author pages</w:t>
              </w:r>
            </w:hyperlink>
          </w:p>
        </w:tc>
        <w:tc>
          <w:tcPr>
            <w:tcW w:type="dxa" w:w="4565"/>
            <w:vAlign w:val="center"/>
            <w:tcMar>
              <w:top w:w="65" w:type="dxa"/>
              <w:start w:w="80" w:type="dxa"/>
              <w:bottom w:w="65" w:type="dxa"/>
              <w:end w:w="80" w:type="dxa"/>
            </w:tcMar>
            <w:shd w:val="clear" w:color="auto" w:fill="EEF4F5"/>
          </w:tcPr>
          <w:p>
            <w:pPr>
              <w:spacing w:before="0" w:after="0" w:line="240" w:lineRule="auto"/>
            </w:pPr>
            <w:r/>
            <w:hyperlink r:id="rId49">
              <w:r>
                <w:rPr>
                  <w:rFonts w:ascii="Carlito" w:hAnsi="Carlito"/>
                  <w:color w:val="0563C1"/>
                  <w:u w:val="single"/>
                  <w:sz w:val="18"/>
                  <w:szCs w:val="18"/>
                </w:rPr>
                <w:t>CHF 3,150 for Original Research (A-type article)</w:t>
              </w:r>
            </w:hyperlink>
          </w:p>
        </w:tc>
      </w:tr>
    </w:tbl>
    <w:p>
      <w:r>
        <w:rPr>
          <w:b/>
        </w:rPr>
        <w:t xml:space="preserve">How to read the times. </w:t>
      </w:r>
      <w:r>
        <w:t>These figures are not perfectly comparable. A “first decision” may be a desk rejection, a revision request after peer review, or another editorial outcome; a very short median therefore does not mean that external peer review will finish that quickly. Where a publisher does not report a journal-specific figure, the table says so rather than substituting time to acceptance.</w:t>
      </w:r>
    </w:p>
    <w:p>
      <w:r>
        <w:rPr>
          <w:b/>
        </w:rPr>
        <w:t xml:space="preserve">What you may actually pay. </w:t>
      </w:r>
      <w:r>
        <w:t xml:space="preserve">The listed amounts exclude taxes and reflect published list prices before waivers, society discounts, funder support, and institutional agreements. NYU is currently listed in Springer Nature’s BioMed Central agreement directory and in PLOS’s institutional-partner directory for PLOS ONE, so BMC Genomics, BMC Plant Biology, or PLOS ONE may cost you less—or potentially US$0—if the exact NYU Langone affiliation and article are approved. Confirm coverage in the submission/payment system; do not assume that NYU’s BMC listing covers Scientific Reports, which is a Nature Portfolio journal. </w:t>
      </w:r>
      <w:hyperlink r:id="rId50">
        <w:r>
          <w:rPr>
            <w:rFonts w:ascii="Carlito" w:hAnsi="Carlito"/>
            <w:color w:val="0563C1"/>
            <w:u w:val="single"/>
            <w:sz w:val="21"/>
            <w:szCs w:val="21"/>
          </w:rPr>
          <w:t>Springer Nature agreement directory</w:t>
        </w:r>
      </w:hyperlink>
      <w:r>
        <w:t xml:space="preserve"> · </w:t>
      </w:r>
      <w:hyperlink r:id="rId51">
        <w:r>
          <w:rPr>
            <w:rFonts w:ascii="Carlito" w:hAnsi="Carlito"/>
            <w:color w:val="0563C1"/>
            <w:u w:val="single"/>
            <w:sz w:val="21"/>
            <w:szCs w:val="21"/>
          </w:rPr>
          <w:t>PLOS institutional partners</w:t>
        </w:r>
      </w:hyperlink>
    </w:p>
    <w:p>
      <w:r>
        <w:rPr>
          <w:b/>
        </w:rPr>
        <w:t xml:space="preserve">PhytoFrontiers length sensitivity. </w:t>
      </w:r>
      <w:r>
        <w:t>Its charge is page-based. For scale only, if APS typesets the article at the current manuscript’s 27-page length, the fee would be about US$4,710 for an APS member or US$5,903 for a nonmember, plus US$80 per supplementary file. The actual published page count may differ substantially from the manuscript PDF.</w:t>
      </w:r>
    </w:p>
    <w:p>
      <w:pPr>
        <w:pStyle w:val="Heading2"/>
      </w:pPr>
      <w:r>
        <w:t>Priority ranking for fastest low-risk publication</w:t>
      </w:r>
    </w:p>
    <w:p>
      <w:r>
        <w:rPr>
          <w:b/>
        </w:rPr>
        <w:t xml:space="preserve">Recommended submission order. </w:t>
      </w:r>
      <w:r>
        <w:t>This is a publication-probability ranking, not a prestige or price ranking. It weights scope fit, soundness-based review, and low risk of additional experiments more heavily than raw first-decision speed; turnaround breaks close calls.</w:t>
      </w:r>
    </w:p>
    <w:tbl>
      <w:tblPr>
        <w:tblStyle w:val="LightShading-Accent1"/>
        <w:tblW w:type="dxa" w:w="9994"/>
        <w:jc w:val="center"/>
        <w:tblLayout w:type="fixed"/>
        <w:tblLook w:firstColumn="1" w:firstRow="1" w:lastColumn="0" w:lastRow="0" w:noHBand="0" w:noVBand="1" w:val="04A0"/>
        <w:tblBorders>
          <w:top w:val="single" w:sz="4" w:space="0" w:color="C9DADD"/>
          <w:left w:val="single" w:sz="4" w:space="0" w:color="C9DADD"/>
          <w:bottom w:val="single" w:sz="4" w:space="0" w:color="C9DADD"/>
          <w:right w:val="single" w:sz="4" w:space="0" w:color="C9DADD"/>
          <w:insideH w:val="single" w:sz="4" w:space="0" w:color="C9DADD"/>
          <w:insideV w:val="single" w:sz="4" w:space="0" w:color="C9DADD"/>
        </w:tblBorders>
      </w:tblPr>
      <w:tblGrid>
        <w:gridCol w:w="749"/>
        <w:gridCol w:w="2506"/>
        <w:gridCol w:w="6739"/>
      </w:tblGrid>
      <w:tr>
        <w:trPr>
          <w:tblHeader w:val="true"/>
        </w:trPr>
        <w:tc>
          <w:tcPr>
            <w:tcW w:type="dxa" w:w="749"/>
            <w:vAlign w:val="center"/>
            <w:shd w:val="clear" w:color="auto" w:fill="1F6D7A"/>
            <w:tcMar>
              <w:top w:w="65" w:type="dxa"/>
              <w:start w:w="80" w:type="dxa"/>
              <w:bottom w:w="65" w:type="dxa"/>
              <w:end w:w="80" w:type="dxa"/>
            </w:tcMar>
          </w:tcPr>
          <w:p>
            <w:pPr>
              <w:spacing w:before="0" w:after="0" w:line="240" w:lineRule="auto"/>
            </w:pPr>
            <w:r>
              <w:rPr>
                <w:rFonts w:ascii="Carlito" w:hAnsi="Carlito"/>
                <w:b/>
                <w:color w:val="FFFFFF"/>
                <w:sz w:val="18"/>
              </w:rPr>
              <w:t>Rank</w:t>
            </w:r>
          </w:p>
        </w:tc>
        <w:tc>
          <w:tcPr>
            <w:tcW w:type="dxa" w:w="2506"/>
            <w:vAlign w:val="center"/>
            <w:shd w:val="clear" w:color="auto" w:fill="1F6D7A"/>
            <w:tcMar>
              <w:top w:w="65" w:type="dxa"/>
              <w:start w:w="80" w:type="dxa"/>
              <w:bottom w:w="65" w:type="dxa"/>
              <w:end w:w="80" w:type="dxa"/>
            </w:tcMar>
          </w:tcPr>
          <w:p>
            <w:pPr>
              <w:spacing w:before="0" w:after="0" w:line="240" w:lineRule="auto"/>
            </w:pPr>
            <w:r>
              <w:rPr>
                <w:rFonts w:ascii="Carlito" w:hAnsi="Carlito"/>
                <w:b/>
                <w:color w:val="FFFFFF"/>
                <w:sz w:val="18"/>
              </w:rPr>
              <w:t>Journal</w:t>
            </w:r>
          </w:p>
        </w:tc>
        <w:tc>
          <w:tcPr>
            <w:tcW w:type="dxa" w:w="6739"/>
            <w:vAlign w:val="center"/>
            <w:shd w:val="clear" w:color="auto" w:fill="1F6D7A"/>
            <w:tcMar>
              <w:top w:w="65" w:type="dxa"/>
              <w:start w:w="80" w:type="dxa"/>
              <w:bottom w:w="65" w:type="dxa"/>
              <w:end w:w="80" w:type="dxa"/>
            </w:tcMar>
          </w:tcPr>
          <w:p>
            <w:pPr>
              <w:spacing w:before="0" w:after="0" w:line="240" w:lineRule="auto"/>
            </w:pPr>
            <w:r>
              <w:rPr>
                <w:rFonts w:ascii="Carlito" w:hAnsi="Carlito"/>
                <w:b/>
                <w:color w:val="FFFFFF"/>
                <w:sz w:val="18"/>
              </w:rPr>
              <w:t>Why it falls here</w:t>
            </w:r>
          </w:p>
        </w:tc>
      </w:tr>
      <w:tr>
        <w:tc>
          <w:tcPr>
            <w:tcW w:type="dxa" w:w="749"/>
            <w:vAlign w:val="center"/>
            <w:shd w:val="clear" w:color="auto" w:fill="FFFFFF"/>
            <w:tcMar>
              <w:top w:w="65" w:type="dxa"/>
              <w:start w:w="80" w:type="dxa"/>
              <w:bottom w:w="65" w:type="dxa"/>
              <w:end w:w="80" w:type="dxa"/>
            </w:tcMar>
          </w:tcPr>
          <w:p>
            <w:pPr>
              <w:spacing w:before="0" w:after="0" w:line="240" w:lineRule="auto"/>
            </w:pPr>
            <w:r>
              <w:rPr>
                <w:rFonts w:ascii="Carlito" w:hAnsi="Carlito"/>
                <w:b/>
                <w:sz w:val="18"/>
              </w:rPr>
              <w:t>1</w:t>
            </w:r>
          </w:p>
        </w:tc>
        <w:tc>
          <w:tcPr>
            <w:tcW w:type="dxa" w:w="2506"/>
            <w:vAlign w:val="center"/>
            <w:shd w:val="clear" w:color="auto" w:fill="FFFFFF"/>
            <w:tcMar>
              <w:top w:w="65" w:type="dxa"/>
              <w:start w:w="80" w:type="dxa"/>
              <w:bottom w:w="65" w:type="dxa"/>
              <w:end w:w="80" w:type="dxa"/>
            </w:tcMar>
          </w:tcPr>
          <w:p>
            <w:pPr>
              <w:spacing w:before="0" w:after="0" w:line="240" w:lineRule="auto"/>
            </w:pPr>
            <w:r>
              <w:rPr>
                <w:rFonts w:ascii="Carlito" w:hAnsi="Carlito"/>
                <w:b/>
                <w:sz w:val="18"/>
              </w:rPr>
              <w:t>Plant Direct</w:t>
            </w:r>
          </w:p>
        </w:tc>
        <w:tc>
          <w:tcPr>
            <w:tcW w:type="dxa" w:w="6739"/>
            <w:vAlign w:val="center"/>
            <w:shd w:val="clear" w:color="auto" w:fill="FFFFFF"/>
            <w:tcMar>
              <w:top w:w="65" w:type="dxa"/>
              <w:start w:w="80" w:type="dxa"/>
              <w:bottom w:w="65" w:type="dxa"/>
              <w:end w:w="80" w:type="dxa"/>
            </w:tcMar>
          </w:tcPr>
          <w:p>
            <w:pPr>
              <w:spacing w:before="0" w:after="0" w:line="240" w:lineRule="auto"/>
            </w:pPr>
            <w:r>
              <w:rPr>
                <w:rFonts w:ascii="Carlito" w:hAnsi="Carlito"/>
                <w:sz w:val="18"/>
              </w:rPr>
              <w:t>Best overall balance: exact plant-science fit, sound-science editorial model, low experimental-request risk, and a 31-day median first decision.</w:t>
            </w:r>
          </w:p>
        </w:tc>
      </w:tr>
      <w:tr>
        <w:tc>
          <w:tcPr>
            <w:tcW w:type="dxa" w:w="749"/>
            <w:vAlign w:val="center"/>
            <w:shd w:val="clear" w:color="auto" w:fill="EEF4F5"/>
            <w:tcMar>
              <w:top w:w="65" w:type="dxa"/>
              <w:start w:w="80" w:type="dxa"/>
              <w:bottom w:w="65" w:type="dxa"/>
              <w:end w:w="80" w:type="dxa"/>
            </w:tcMar>
          </w:tcPr>
          <w:p>
            <w:pPr>
              <w:spacing w:before="0" w:after="0" w:line="240" w:lineRule="auto"/>
            </w:pPr>
            <w:r>
              <w:rPr>
                <w:rFonts w:ascii="Carlito" w:hAnsi="Carlito"/>
                <w:b/>
                <w:sz w:val="18"/>
              </w:rPr>
              <w:t>2</w:t>
            </w:r>
          </w:p>
        </w:tc>
        <w:tc>
          <w:tcPr>
            <w:tcW w:type="dxa" w:w="2506"/>
            <w:vAlign w:val="center"/>
            <w:shd w:val="clear" w:color="auto" w:fill="EEF4F5"/>
            <w:tcMar>
              <w:top w:w="65" w:type="dxa"/>
              <w:start w:w="80" w:type="dxa"/>
              <w:bottom w:w="65" w:type="dxa"/>
              <w:end w:w="80" w:type="dxa"/>
            </w:tcMar>
          </w:tcPr>
          <w:p>
            <w:pPr>
              <w:spacing w:before="0" w:after="0" w:line="240" w:lineRule="auto"/>
            </w:pPr>
            <w:r>
              <w:rPr>
                <w:rFonts w:ascii="Carlito" w:hAnsi="Carlito"/>
                <w:b/>
                <w:sz w:val="18"/>
              </w:rPr>
              <w:t>Royal Society Open Science</w:t>
            </w:r>
          </w:p>
        </w:tc>
        <w:tc>
          <w:tcPr>
            <w:tcW w:type="dxa" w:w="6739"/>
            <w:vAlign w:val="center"/>
            <w:shd w:val="clear" w:color="auto" w:fill="EEF4F5"/>
            <w:tcMar>
              <w:top w:w="65" w:type="dxa"/>
              <w:start w:w="80" w:type="dxa"/>
              <w:bottom w:w="65" w:type="dxa"/>
              <w:end w:w="80" w:type="dxa"/>
            </w:tcMar>
          </w:tcPr>
          <w:p>
            <w:pPr>
              <w:spacing w:before="0" w:after="0" w:line="240" w:lineRule="auto"/>
            </w:pPr>
            <w:r>
              <w:rPr>
                <w:rFonts w:ascii="Carlito" w:hAnsi="Carlito"/>
                <w:sz w:val="18"/>
              </w:rPr>
              <w:t>Low experimental-request risk and a 19-day median first decision. Broad scope makes it the fastest strong fallback after Plant Direct.</w:t>
            </w:r>
          </w:p>
        </w:tc>
      </w:tr>
      <w:tr>
        <w:tc>
          <w:tcPr>
            <w:tcW w:type="dxa" w:w="749"/>
            <w:vAlign w:val="center"/>
            <w:shd w:val="clear" w:color="auto" w:fill="FFFFFF"/>
            <w:tcMar>
              <w:top w:w="65" w:type="dxa"/>
              <w:start w:w="80" w:type="dxa"/>
              <w:bottom w:w="65" w:type="dxa"/>
              <w:end w:w="80" w:type="dxa"/>
            </w:tcMar>
          </w:tcPr>
          <w:p>
            <w:pPr>
              <w:spacing w:before="0" w:after="0" w:line="240" w:lineRule="auto"/>
            </w:pPr>
            <w:r>
              <w:rPr>
                <w:rFonts w:ascii="Carlito" w:hAnsi="Carlito"/>
                <w:b/>
                <w:sz w:val="18"/>
              </w:rPr>
              <w:t>3</w:t>
            </w:r>
          </w:p>
        </w:tc>
        <w:tc>
          <w:tcPr>
            <w:tcW w:type="dxa" w:w="2506"/>
            <w:vAlign w:val="center"/>
            <w:shd w:val="clear" w:color="auto" w:fill="FFFFFF"/>
            <w:tcMar>
              <w:top w:w="65" w:type="dxa"/>
              <w:start w:w="80" w:type="dxa"/>
              <w:bottom w:w="65" w:type="dxa"/>
              <w:end w:w="80" w:type="dxa"/>
            </w:tcMar>
          </w:tcPr>
          <w:p>
            <w:pPr>
              <w:spacing w:before="0" w:after="0" w:line="240" w:lineRule="auto"/>
            </w:pPr>
            <w:r>
              <w:rPr>
                <w:rFonts w:ascii="Carlito" w:hAnsi="Carlito"/>
                <w:b/>
                <w:sz w:val="18"/>
              </w:rPr>
              <w:t>PeerJ</w:t>
            </w:r>
          </w:p>
        </w:tc>
        <w:tc>
          <w:tcPr>
            <w:tcW w:type="dxa" w:w="6739"/>
            <w:vAlign w:val="center"/>
            <w:shd w:val="clear" w:color="auto" w:fill="FFFFFF"/>
            <w:tcMar>
              <w:top w:w="65" w:type="dxa"/>
              <w:start w:w="80" w:type="dxa"/>
              <w:bottom w:w="65" w:type="dxa"/>
              <w:end w:w="80" w:type="dxa"/>
            </w:tcMar>
          </w:tcPr>
          <w:p>
            <w:pPr>
              <w:spacing w:before="0" w:after="0" w:line="240" w:lineRule="auto"/>
            </w:pPr>
            <w:r>
              <w:rPr>
                <w:rFonts w:ascii="Carlito" w:hAnsi="Carlito"/>
                <w:sz w:val="18"/>
              </w:rPr>
              <w:t>Soundness-oriented review, low experimental-request risk, and a 32-day first-decision figure. Strong probability-focused fallback.</w:t>
            </w:r>
          </w:p>
        </w:tc>
      </w:tr>
      <w:tr>
        <w:tc>
          <w:tcPr>
            <w:tcW w:type="dxa" w:w="749"/>
            <w:vAlign w:val="center"/>
            <w:shd w:val="clear" w:color="auto" w:fill="EEF4F5"/>
            <w:tcMar>
              <w:top w:w="65" w:type="dxa"/>
              <w:start w:w="80" w:type="dxa"/>
              <w:bottom w:w="65" w:type="dxa"/>
              <w:end w:w="80" w:type="dxa"/>
            </w:tcMar>
          </w:tcPr>
          <w:p>
            <w:pPr>
              <w:spacing w:before="0" w:after="0" w:line="240" w:lineRule="auto"/>
            </w:pPr>
            <w:r>
              <w:rPr>
                <w:rFonts w:ascii="Carlito" w:hAnsi="Carlito"/>
                <w:b/>
                <w:sz w:val="18"/>
              </w:rPr>
              <w:t>4</w:t>
            </w:r>
          </w:p>
        </w:tc>
        <w:tc>
          <w:tcPr>
            <w:tcW w:type="dxa" w:w="2506"/>
            <w:vAlign w:val="center"/>
            <w:shd w:val="clear" w:color="auto" w:fill="EEF4F5"/>
            <w:tcMar>
              <w:top w:w="65" w:type="dxa"/>
              <w:start w:w="80" w:type="dxa"/>
              <w:bottom w:w="65" w:type="dxa"/>
              <w:end w:w="80" w:type="dxa"/>
            </w:tcMar>
          </w:tcPr>
          <w:p>
            <w:pPr>
              <w:spacing w:before="0" w:after="0" w:line="240" w:lineRule="auto"/>
            </w:pPr>
            <w:r>
              <w:rPr>
                <w:rFonts w:ascii="Carlito" w:hAnsi="Carlito"/>
                <w:b/>
                <w:sz w:val="18"/>
              </w:rPr>
              <w:t>PhytoFrontiers</w:t>
            </w:r>
          </w:p>
        </w:tc>
        <w:tc>
          <w:tcPr>
            <w:tcW w:type="dxa" w:w="6739"/>
            <w:vAlign w:val="center"/>
            <w:shd w:val="clear" w:color="auto" w:fill="EEF4F5"/>
            <w:tcMar>
              <w:top w:w="65" w:type="dxa"/>
              <w:start w:w="80" w:type="dxa"/>
              <w:bottom w:w="65" w:type="dxa"/>
              <w:end w:w="80" w:type="dxa"/>
            </w:tcMar>
          </w:tcPr>
          <w:p>
            <w:pPr>
              <w:spacing w:before="0" w:after="0" w:line="240" w:lineRule="auto"/>
            </w:pPr>
            <w:r>
              <w:rPr>
                <w:rFonts w:ascii="Carlito" w:hAnsi="Carlito"/>
                <w:sz w:val="18"/>
              </w:rPr>
              <w:t>Excellent plant-pathology fit and low experimental-request risk, including openness to negative results. Ranked below the top three because no journal-specific decision time is published.</w:t>
            </w:r>
          </w:p>
        </w:tc>
      </w:tr>
      <w:tr>
        <w:tc>
          <w:tcPr>
            <w:tcW w:type="dxa" w:w="749"/>
            <w:vAlign w:val="center"/>
            <w:shd w:val="clear" w:color="auto" w:fill="FFFFFF"/>
            <w:tcMar>
              <w:top w:w="65" w:type="dxa"/>
              <w:start w:w="80" w:type="dxa"/>
              <w:bottom w:w="65" w:type="dxa"/>
              <w:end w:w="80" w:type="dxa"/>
            </w:tcMar>
          </w:tcPr>
          <w:p>
            <w:pPr>
              <w:spacing w:before="0" w:after="0" w:line="240" w:lineRule="auto"/>
            </w:pPr>
            <w:r>
              <w:rPr>
                <w:rFonts w:ascii="Carlito" w:hAnsi="Carlito"/>
                <w:b/>
                <w:sz w:val="18"/>
              </w:rPr>
              <w:t>5</w:t>
            </w:r>
          </w:p>
        </w:tc>
        <w:tc>
          <w:tcPr>
            <w:tcW w:type="dxa" w:w="2506"/>
            <w:vAlign w:val="center"/>
            <w:shd w:val="clear" w:color="auto" w:fill="FFFFFF"/>
            <w:tcMar>
              <w:top w:w="65" w:type="dxa"/>
              <w:start w:w="80" w:type="dxa"/>
              <w:bottom w:w="65" w:type="dxa"/>
              <w:end w:w="80" w:type="dxa"/>
            </w:tcMar>
          </w:tcPr>
          <w:p>
            <w:pPr>
              <w:spacing w:before="0" w:after="0" w:line="240" w:lineRule="auto"/>
            </w:pPr>
            <w:r>
              <w:rPr>
                <w:rFonts w:ascii="Carlito" w:hAnsi="Carlito"/>
                <w:b/>
                <w:sz w:val="18"/>
              </w:rPr>
              <w:t>PLOS ONE</w:t>
            </w:r>
          </w:p>
        </w:tc>
        <w:tc>
          <w:tcPr>
            <w:tcW w:type="dxa" w:w="6739"/>
            <w:vAlign w:val="center"/>
            <w:shd w:val="clear" w:color="auto" w:fill="FFFFFF"/>
            <w:tcMar>
              <w:top w:w="65" w:type="dxa"/>
              <w:start w:w="80" w:type="dxa"/>
              <w:bottom w:w="65" w:type="dxa"/>
              <w:end w:w="80" w:type="dxa"/>
            </w:tcMar>
          </w:tcPr>
          <w:p>
            <w:pPr>
              <w:spacing w:before="0" w:after="0" w:line="240" w:lineRule="auto"/>
            </w:pPr>
            <w:r>
              <w:rPr>
                <w:rFonts w:ascii="Carlito" w:hAnsi="Carlito"/>
                <w:sz w:val="18"/>
              </w:rPr>
              <w:t>Low novelty and scope risk, but the published median first-decision figure is 45 days and the latest journal timing table is from Jan–Jun 2023.</w:t>
            </w:r>
          </w:p>
        </w:tc>
      </w:tr>
      <w:tr>
        <w:tc>
          <w:tcPr>
            <w:tcW w:type="dxa" w:w="749"/>
            <w:vAlign w:val="center"/>
            <w:shd w:val="clear" w:color="auto" w:fill="EEF4F5"/>
            <w:tcMar>
              <w:top w:w="65" w:type="dxa"/>
              <w:start w:w="80" w:type="dxa"/>
              <w:bottom w:w="65" w:type="dxa"/>
              <w:end w:w="80" w:type="dxa"/>
            </w:tcMar>
          </w:tcPr>
          <w:p>
            <w:pPr>
              <w:spacing w:before="0" w:after="0" w:line="240" w:lineRule="auto"/>
            </w:pPr>
            <w:r>
              <w:rPr>
                <w:rFonts w:ascii="Carlito" w:hAnsi="Carlito"/>
                <w:b/>
                <w:sz w:val="18"/>
              </w:rPr>
              <w:t>6</w:t>
            </w:r>
          </w:p>
        </w:tc>
        <w:tc>
          <w:tcPr>
            <w:tcW w:type="dxa" w:w="2506"/>
            <w:vAlign w:val="center"/>
            <w:shd w:val="clear" w:color="auto" w:fill="EEF4F5"/>
            <w:tcMar>
              <w:top w:w="65" w:type="dxa"/>
              <w:start w:w="80" w:type="dxa"/>
              <w:bottom w:w="65" w:type="dxa"/>
              <w:end w:w="80" w:type="dxa"/>
            </w:tcMar>
          </w:tcPr>
          <w:p>
            <w:pPr>
              <w:spacing w:before="0" w:after="0" w:line="240" w:lineRule="auto"/>
            </w:pPr>
            <w:r>
              <w:rPr>
                <w:rFonts w:ascii="Carlito" w:hAnsi="Carlito"/>
                <w:b/>
                <w:sz w:val="18"/>
              </w:rPr>
              <w:t>BMC Genomics</w:t>
            </w:r>
          </w:p>
        </w:tc>
        <w:tc>
          <w:tcPr>
            <w:tcW w:type="dxa" w:w="6739"/>
            <w:vAlign w:val="center"/>
            <w:shd w:val="clear" w:color="auto" w:fill="EEF4F5"/>
            <w:tcMar>
              <w:top w:w="65" w:type="dxa"/>
              <w:start w:w="80" w:type="dxa"/>
              <w:bottom w:w="65" w:type="dxa"/>
              <w:end w:w="80" w:type="dxa"/>
            </w:tcMar>
          </w:tcPr>
          <w:p>
            <w:pPr>
              <w:spacing w:before="0" w:after="0" w:line="240" w:lineRule="auto"/>
            </w:pPr>
            <w:r>
              <w:rPr>
                <w:rFonts w:ascii="Carlito" w:hAnsi="Carlito"/>
                <w:sz w:val="18"/>
              </w:rPr>
              <w:t>Very fast 4-day median first decision and a relevant collection, but greater risk of desk rejection or demands for a broader genomic contribution. The headline metric includes rapid editorial outcomes.</w:t>
            </w:r>
          </w:p>
        </w:tc>
      </w:tr>
      <w:tr>
        <w:tc>
          <w:tcPr>
            <w:tcW w:type="dxa" w:w="749"/>
            <w:vAlign w:val="center"/>
            <w:shd w:val="clear" w:color="auto" w:fill="FFFFFF"/>
            <w:tcMar>
              <w:top w:w="65" w:type="dxa"/>
              <w:start w:w="80" w:type="dxa"/>
              <w:bottom w:w="65" w:type="dxa"/>
              <w:end w:w="80" w:type="dxa"/>
            </w:tcMar>
          </w:tcPr>
          <w:p>
            <w:pPr>
              <w:spacing w:before="0" w:after="0" w:line="240" w:lineRule="auto"/>
            </w:pPr>
            <w:r>
              <w:rPr>
                <w:rFonts w:ascii="Carlito" w:hAnsi="Carlito"/>
                <w:b/>
                <w:sz w:val="18"/>
              </w:rPr>
              <w:t>7</w:t>
            </w:r>
          </w:p>
        </w:tc>
        <w:tc>
          <w:tcPr>
            <w:tcW w:type="dxa" w:w="2506"/>
            <w:vAlign w:val="center"/>
            <w:shd w:val="clear" w:color="auto" w:fill="FFFFFF"/>
            <w:tcMar>
              <w:top w:w="65" w:type="dxa"/>
              <w:start w:w="80" w:type="dxa"/>
              <w:bottom w:w="65" w:type="dxa"/>
              <w:end w:w="80" w:type="dxa"/>
            </w:tcMar>
          </w:tcPr>
          <w:p>
            <w:pPr>
              <w:spacing w:before="0" w:after="0" w:line="240" w:lineRule="auto"/>
            </w:pPr>
            <w:r>
              <w:rPr>
                <w:rFonts w:ascii="Carlito" w:hAnsi="Carlito"/>
                <w:b/>
                <w:sz w:val="18"/>
              </w:rPr>
              <w:t>BMC Plant Biology</w:t>
            </w:r>
          </w:p>
        </w:tc>
        <w:tc>
          <w:tcPr>
            <w:tcW w:type="dxa" w:w="6739"/>
            <w:vAlign w:val="center"/>
            <w:shd w:val="clear" w:color="auto" w:fill="FFFFFF"/>
            <w:tcMar>
              <w:top w:w="65" w:type="dxa"/>
              <w:start w:w="80" w:type="dxa"/>
              <w:bottom w:w="65" w:type="dxa"/>
              <w:end w:w="80" w:type="dxa"/>
            </w:tcMar>
          </w:tcPr>
          <w:p>
            <w:pPr>
              <w:spacing w:before="0" w:after="0" w:line="240" w:lineRule="auto"/>
            </w:pPr>
            <w:r>
              <w:rPr>
                <w:rFonts w:ascii="Carlito" w:hAnsi="Carlito"/>
                <w:sz w:val="18"/>
              </w:rPr>
              <w:t>An 11-day median first decision, but moderate risk of requests for mechanistic or experimental support makes successful publication less predictable.</w:t>
            </w:r>
          </w:p>
        </w:tc>
      </w:tr>
      <w:tr>
        <w:tc>
          <w:tcPr>
            <w:tcW w:type="dxa" w:w="749"/>
            <w:vAlign w:val="center"/>
            <w:shd w:val="clear" w:color="auto" w:fill="EEF4F5"/>
            <w:tcMar>
              <w:top w:w="65" w:type="dxa"/>
              <w:start w:w="80" w:type="dxa"/>
              <w:bottom w:w="65" w:type="dxa"/>
              <w:end w:w="80" w:type="dxa"/>
            </w:tcMar>
          </w:tcPr>
          <w:p>
            <w:pPr>
              <w:spacing w:before="0" w:after="0" w:line="240" w:lineRule="auto"/>
            </w:pPr>
            <w:r>
              <w:rPr>
                <w:rFonts w:ascii="Carlito" w:hAnsi="Carlito"/>
                <w:b/>
                <w:sz w:val="18"/>
              </w:rPr>
              <w:t>8</w:t>
            </w:r>
          </w:p>
        </w:tc>
        <w:tc>
          <w:tcPr>
            <w:tcW w:type="dxa" w:w="2506"/>
            <w:vAlign w:val="center"/>
            <w:shd w:val="clear" w:color="auto" w:fill="EEF4F5"/>
            <w:tcMar>
              <w:top w:w="65" w:type="dxa"/>
              <w:start w:w="80" w:type="dxa"/>
              <w:bottom w:w="65" w:type="dxa"/>
              <w:end w:w="80" w:type="dxa"/>
            </w:tcMar>
          </w:tcPr>
          <w:p>
            <w:pPr>
              <w:spacing w:before="0" w:after="0" w:line="240" w:lineRule="auto"/>
            </w:pPr>
            <w:r>
              <w:rPr>
                <w:rFonts w:ascii="Carlito" w:hAnsi="Carlito"/>
                <w:b/>
                <w:sz w:val="18"/>
              </w:rPr>
              <w:t>G3: Genes|Genomes|Genetics</w:t>
            </w:r>
          </w:p>
        </w:tc>
        <w:tc>
          <w:tcPr>
            <w:tcW w:type="dxa" w:w="6739"/>
            <w:vAlign w:val="center"/>
            <w:shd w:val="clear" w:color="auto" w:fill="EEF4F5"/>
            <w:tcMar>
              <w:top w:w="65" w:type="dxa"/>
              <w:start w:w="80" w:type="dxa"/>
              <w:bottom w:w="65" w:type="dxa"/>
              <w:end w:w="80" w:type="dxa"/>
            </w:tcMar>
          </w:tcPr>
          <w:p>
            <w:pPr>
              <w:spacing w:before="0" w:after="0" w:line="240" w:lineRule="auto"/>
            </w:pPr>
            <w:r>
              <w:rPr>
                <w:rFonts w:ascii="Carlito" w:hAnsi="Carlito"/>
                <w:sz w:val="18"/>
              </w:rPr>
              <w:t>About a 6-week initial-decision target and moderate risk that reviewers will expect a stronger genetics contribution or additional support.</w:t>
            </w:r>
          </w:p>
        </w:tc>
      </w:tr>
      <w:tr>
        <w:tc>
          <w:tcPr>
            <w:tcW w:type="dxa" w:w="749"/>
            <w:vAlign w:val="center"/>
            <w:shd w:val="clear" w:color="auto" w:fill="FFFFFF"/>
            <w:tcMar>
              <w:top w:w="65" w:type="dxa"/>
              <w:start w:w="80" w:type="dxa"/>
              <w:bottom w:w="65" w:type="dxa"/>
              <w:end w:w="80" w:type="dxa"/>
            </w:tcMar>
          </w:tcPr>
          <w:p>
            <w:pPr>
              <w:spacing w:before="0" w:after="0" w:line="240" w:lineRule="auto"/>
            </w:pPr>
            <w:r>
              <w:rPr>
                <w:rFonts w:ascii="Carlito" w:hAnsi="Carlito"/>
                <w:b/>
                <w:sz w:val="18"/>
              </w:rPr>
              <w:t>9</w:t>
            </w:r>
          </w:p>
        </w:tc>
        <w:tc>
          <w:tcPr>
            <w:tcW w:type="dxa" w:w="2506"/>
            <w:vAlign w:val="center"/>
            <w:shd w:val="clear" w:color="auto" w:fill="FFFFFF"/>
            <w:tcMar>
              <w:top w:w="65" w:type="dxa"/>
              <w:start w:w="80" w:type="dxa"/>
              <w:bottom w:w="65" w:type="dxa"/>
              <w:end w:w="80" w:type="dxa"/>
            </w:tcMar>
          </w:tcPr>
          <w:p>
            <w:pPr>
              <w:spacing w:before="0" w:after="0" w:line="240" w:lineRule="auto"/>
            </w:pPr>
            <w:r>
              <w:rPr>
                <w:rFonts w:ascii="Carlito" w:hAnsi="Carlito"/>
                <w:b/>
                <w:sz w:val="18"/>
              </w:rPr>
              <w:t>Scientific Reports</w:t>
            </w:r>
          </w:p>
        </w:tc>
        <w:tc>
          <w:tcPr>
            <w:tcW w:type="dxa" w:w="6739"/>
            <w:vAlign w:val="center"/>
            <w:shd w:val="clear" w:color="auto" w:fill="FFFFFF"/>
            <w:tcMar>
              <w:top w:w="65" w:type="dxa"/>
              <w:start w:w="80" w:type="dxa"/>
              <w:bottom w:w="65" w:type="dxa"/>
              <w:end w:w="80" w:type="dxa"/>
            </w:tcMar>
          </w:tcPr>
          <w:p>
            <w:pPr>
              <w:spacing w:before="0" w:after="0" w:line="240" w:lineRule="auto"/>
            </w:pPr>
            <w:r>
              <w:rPr>
                <w:rFonts w:ascii="Carlito" w:hAnsi="Carlito"/>
                <w:sz w:val="18"/>
              </w:rPr>
              <w:t>A 45-day first-decision aim, with moderate editorial and reviewer risk for a secondary computational analysis.</w:t>
            </w:r>
          </w:p>
        </w:tc>
      </w:tr>
      <w:tr>
        <w:tc>
          <w:tcPr>
            <w:tcW w:type="dxa" w:w="749"/>
            <w:vAlign w:val="center"/>
            <w:shd w:val="clear" w:color="auto" w:fill="EEF4F5"/>
            <w:tcMar>
              <w:top w:w="65" w:type="dxa"/>
              <w:start w:w="80" w:type="dxa"/>
              <w:bottom w:w="65" w:type="dxa"/>
              <w:end w:w="80" w:type="dxa"/>
            </w:tcMar>
          </w:tcPr>
          <w:p>
            <w:pPr>
              <w:spacing w:before="0" w:after="0" w:line="240" w:lineRule="auto"/>
            </w:pPr>
            <w:r>
              <w:rPr>
                <w:rFonts w:ascii="Carlito" w:hAnsi="Carlito"/>
                <w:b/>
                <w:sz w:val="18"/>
              </w:rPr>
              <w:t>10</w:t>
            </w:r>
          </w:p>
        </w:tc>
        <w:tc>
          <w:tcPr>
            <w:tcW w:type="dxa" w:w="2506"/>
            <w:vAlign w:val="center"/>
            <w:shd w:val="clear" w:color="auto" w:fill="EEF4F5"/>
            <w:tcMar>
              <w:top w:w="65" w:type="dxa"/>
              <w:start w:w="80" w:type="dxa"/>
              <w:bottom w:w="65" w:type="dxa"/>
              <w:end w:w="80" w:type="dxa"/>
            </w:tcMar>
          </w:tcPr>
          <w:p>
            <w:pPr>
              <w:spacing w:before="0" w:after="0" w:line="240" w:lineRule="auto"/>
            </w:pPr>
            <w:r>
              <w:rPr>
                <w:rFonts w:ascii="Carlito" w:hAnsi="Carlito"/>
                <w:b/>
                <w:sz w:val="18"/>
              </w:rPr>
              <w:t>Frontiers in Plant Science</w:t>
            </w:r>
          </w:p>
        </w:tc>
        <w:tc>
          <w:tcPr>
            <w:tcW w:type="dxa" w:w="6739"/>
            <w:vAlign w:val="center"/>
            <w:shd w:val="clear" w:color="auto" w:fill="EEF4F5"/>
            <w:tcMar>
              <w:top w:w="65" w:type="dxa"/>
              <w:start w:w="80" w:type="dxa"/>
              <w:bottom w:w="65" w:type="dxa"/>
              <w:end w:w="80" w:type="dxa"/>
            </w:tcMar>
          </w:tcPr>
          <w:p>
            <w:pPr>
              <w:spacing w:before="0" w:after="0" w:line="240" w:lineRule="auto"/>
            </w:pPr>
            <w:r>
              <w:rPr>
                <w:rFonts w:ascii="Carlito" w:hAnsi="Carlito"/>
                <w:sz w:val="18"/>
              </w:rPr>
              <w:t>No journal-specific first-decision time is published, and the estimated risk of additional mechanistic or wet-lab requests is medium to high.</w:t>
            </w:r>
          </w:p>
        </w:tc>
      </w:tr>
    </w:tbl>
    <w:p>
      <w:r>
        <w:rPr>
          <w:b/>
        </w:rPr>
        <w:t xml:space="preserve">Bottom line. </w:t>
      </w:r>
      <w:r>
        <w:t>Submit to Plant Direct now. If it declines the paper, move immediately to Royal Society Open Science and then PeerJ. Keep PhytoFrontiers ahead of PLOS ONE if specialist plant-pathology readership matters more than having a published timing metric.</w:t>
      </w:r>
    </w:p>
    <w:p>
      <w:r>
        <w:rPr>
          <w:b/>
        </w:rPr>
        <w:t xml:space="preserve">Optional four-day gamble. </w:t>
      </w:r>
      <w:r>
        <w:t>If the BMC Genomics collection is still open and you are willing to accept a higher desk-rejection chance, you could try it before Plant Direct. A prompt desk rejection would cost little calendar time, but the 4-day median does not predict how long a manuscript sent for external review will take to reach acceptance.</w:t>
      </w:r>
    </w:p>
    <w:p>
      <w:pPr>
        <w:pStyle w:val="Heading2"/>
        <w:keepNext/>
        <w:spacing w:before="180" w:after="60"/>
      </w:pPr>
      <w:r>
        <w:t>Plant Direct - best overall fit</w:t>
      </w:r>
    </w:p>
    <w:tbl>
      <w:tblPr>
        <w:tblW w:type="auto" w:w="0"/>
        <w:jc w:val="left"/>
        <w:tblLayout w:type="autofit"/>
        <w:tblLook w:firstColumn="1" w:firstRow="1" w:lastColumn="0" w:lastRow="0" w:noHBand="0" w:noVBand="1" w:val="04A0"/>
      </w:tblPr>
      <w:tblGrid>
        <w:gridCol w:w="9994"/>
      </w:tblGrid>
      <w:tr>
        <w:trPr>
          <w:cantSplit/>
        </w:trPr>
        <w:tc>
          <w:tcPr>
            <w:tcW w:type="dxa" w:w="9994"/>
            <w:shd w:fill="F4F6F8"/>
            <w:tcMar>
              <w:top w:w="70" w:type="dxa"/>
              <w:start w:w="120" w:type="dxa"/>
              <w:bottom w:w="70" w:type="dxa"/>
              <w:end w:w="120" w:type="dxa"/>
            </w:tcMar>
            <w:tcBorders>
              <w:top w:val="nil"/>
              <w:left w:val="single" w:sz="18" w:color="2E7D32"/>
              <w:bottom w:val="nil"/>
              <w:right w:val="nil"/>
            </w:tcBorders>
            <w:vAlign w:val="center"/>
          </w:tcPr>
          <w:p>
            <w:pPr>
              <w:spacing w:after="0" w:line="240" w:lineRule="auto"/>
            </w:pPr>
            <w:r>
              <w:rPr>
                <w:rFonts w:ascii="Carlito" w:hAnsi="Carlito" w:eastAsia="Carlito"/>
                <w:b/>
                <w:color w:val="5B6573"/>
                <w:sz w:val="20"/>
              </w:rPr>
              <w:t xml:space="preserve">Estimated wet-lab-request risk: </w:t>
            </w:r>
            <w:r>
              <w:rPr>
                <w:rFonts w:ascii="Carlito" w:hAnsi="Carlito" w:eastAsia="Carlito"/>
                <w:b/>
                <w:color w:val="2E7D32"/>
                <w:sz w:val="20"/>
              </w:rPr>
              <w:t>Low</w:t>
            </w:r>
          </w:p>
        </w:tc>
      </w:tr>
    </w:tbl>
    <w:p>
      <w:pPr>
        <w:spacing w:after="20" w:line="168" w:lineRule="auto"/>
      </w:pPr>
    </w:p>
    <w:p>
      <w:pPr>
        <w:keepNext w:val="0"/>
        <w:spacing w:after="100" w:line="259" w:lineRule="auto"/>
      </w:pPr>
      <w:r>
        <w:rPr>
          <w:rFonts w:ascii="Carlito" w:hAnsi="Carlito" w:eastAsia="Carlito"/>
          <w:b/>
          <w:color w:val="20252B"/>
          <w:sz w:val="21"/>
        </w:rPr>
        <w:t xml:space="preserve">This is probably the safest and most natural first destination. </w:t>
      </w:r>
      <w:r>
        <w:rPr>
          <w:rFonts w:ascii="Carlito" w:hAnsi="Carlito" w:eastAsia="Carlito"/>
          <w:color w:val="20252B"/>
          <w:sz w:val="21"/>
        </w:rPr>
        <w:t>Plant Direct describes itself as a plant-science sound-science journal, and its stated topics specifically include biotic stress, genomics, and bioinformatics.</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11">
        <w:r>
          <w:rPr>
            <w:rFonts w:ascii="Carlito" w:hAnsi="Carlito"/>
            <w:color w:val="0563C1"/>
            <w:u w:val="single"/>
            <w:i/>
          </w:rPr>
          <w:t>Plant Direct scope</w:t>
        </w:r>
      </w:hyperlink>
    </w:p>
    <w:p>
      <w:pPr>
        <w:keepNext w:val="0"/>
        <w:spacing w:after="60" w:line="259" w:lineRule="auto"/>
      </w:pPr>
      <w:r>
        <w:rPr>
          <w:rFonts w:ascii="Carlito" w:hAnsi="Carlito" w:eastAsia="Carlito"/>
          <w:color w:val="20252B"/>
          <w:sz w:val="21"/>
        </w:rPr>
        <w:t>Why it fits especially well:</w:t>
      </w:r>
    </w:p>
    <w:p>
      <w:pPr>
        <w:pStyle w:val="ListBullet"/>
        <w:spacing w:after="50" w:line="252" w:lineRule="auto"/>
        <w:ind w:left="360" w:hanging="173"/>
      </w:pPr>
      <w:r>
        <w:rPr>
          <w:rFonts w:ascii="Carlito" w:hAnsi="Carlito" w:eastAsia="Carlito"/>
          <w:color w:val="20252B"/>
          <w:sz w:val="20"/>
        </w:rPr>
        <w:t>plant-pathogen and biotic-stress subject matter;</w:t>
      </w:r>
    </w:p>
    <w:p>
      <w:pPr>
        <w:pStyle w:val="ListBullet"/>
        <w:spacing w:after="50" w:line="252" w:lineRule="auto"/>
        <w:ind w:left="360" w:hanging="173"/>
      </w:pPr>
      <w:r>
        <w:rPr>
          <w:rFonts w:ascii="Carlito" w:hAnsi="Carlito" w:eastAsia="Carlito"/>
          <w:color w:val="20252B"/>
          <w:sz w:val="20"/>
        </w:rPr>
        <w:t>transcriptomics and bioinformatics are explicitly within scope;</w:t>
      </w:r>
    </w:p>
    <w:p>
      <w:pPr>
        <w:pStyle w:val="ListBullet"/>
        <w:spacing w:after="50" w:line="252" w:lineRule="auto"/>
        <w:ind w:left="360" w:hanging="173"/>
      </w:pPr>
      <w:r>
        <w:rPr>
          <w:rFonts w:ascii="Carlito" w:hAnsi="Carlito" w:eastAsia="Carlito"/>
          <w:color w:val="20252B"/>
          <w:sz w:val="20"/>
        </w:rPr>
        <w:t>the manuscript is methodologically rigorous but does not claim a major mechanistic breakthrough;</w:t>
      </w:r>
    </w:p>
    <w:p>
      <w:pPr>
        <w:pStyle w:val="ListBullet"/>
        <w:spacing w:after="50" w:line="252" w:lineRule="auto"/>
        <w:ind w:left="360" w:hanging="173"/>
      </w:pPr>
      <w:r>
        <w:rPr>
          <w:rFonts w:ascii="Carlito" w:hAnsi="Carlito" w:eastAsia="Carlito"/>
          <w:color w:val="20252B"/>
          <w:sz w:val="20"/>
        </w:rPr>
        <w:t>negative and contradictory results can be framed as useful evidence rather than as a failure; and</w:t>
      </w:r>
    </w:p>
    <w:p>
      <w:pPr>
        <w:pStyle w:val="ListBullet"/>
        <w:spacing w:after="50" w:line="252" w:lineRule="auto"/>
        <w:ind w:left="360" w:hanging="173"/>
      </w:pPr>
      <w:r>
        <w:rPr>
          <w:rFonts w:ascii="Carlito" w:hAnsi="Carlito" w:eastAsia="Carlito"/>
          <w:color w:val="20252B"/>
          <w:sz w:val="20"/>
        </w:rPr>
        <w:t>the preregistration, frozen analyses, reproducibility package, and explicit evidence boundaries are unusually strong for a secondary transcriptomic analysis.</w:t>
      </w:r>
    </w:p>
    <w:p>
      <w:pPr>
        <w:keepNext w:val="0"/>
        <w:spacing w:after="100" w:line="259" w:lineRule="auto"/>
      </w:pPr>
      <w:r>
        <w:rPr>
          <w:rFonts w:ascii="Carlito" w:hAnsi="Carlito" w:eastAsia="Carlito"/>
          <w:b/>
          <w:color w:val="17365D"/>
          <w:sz w:val="21"/>
        </w:rPr>
        <w:t xml:space="preserve">Main risk: </w:t>
      </w:r>
      <w:r>
        <w:rPr>
          <w:rFonts w:ascii="Carlito" w:hAnsi="Carlito" w:eastAsia="Carlito"/>
          <w:color w:val="20252B"/>
          <w:sz w:val="21"/>
        </w:rPr>
        <w:t>Editors will still expect a clear contribution beyond simply reanalyzing public data. The cover letter should emphasize the general lesson about candidate selection, genome-wide interaction testing, robustness, and transportability across biological contexts.</w:t>
      </w:r>
    </w:p>
    <w:p>
      <w:pPr>
        <w:keepNext w:val="0"/>
        <w:spacing w:after="100" w:line="259" w:lineRule="auto"/>
      </w:pPr>
      <w:r>
        <w:rPr>
          <w:rFonts w:ascii="Carlito" w:hAnsi="Carlito" w:eastAsia="Carlito"/>
          <w:b/>
          <w:color w:val="17365D"/>
          <w:sz w:val="21"/>
        </w:rPr>
        <w:t xml:space="preserve">Recommended article type: </w:t>
      </w:r>
      <w:r>
        <w:rPr>
          <w:rFonts w:ascii="Carlito" w:hAnsi="Carlito" w:eastAsia="Carlito"/>
          <w:color w:val="20252B"/>
          <w:sz w:val="21"/>
        </w:rPr>
        <w:t>Regular Research Article, not Registered Report. Your confirmatory analysis was preregistered, but the protocol was not peer-reviewed and provisionally accepted by the journal before the work was performed, which is normally required for a formal Registered Report.</w:t>
      </w:r>
    </w:p>
    <w:p>
      <w:pPr>
        <w:pStyle w:val="Heading2"/>
        <w:keepNext/>
        <w:spacing w:before="180" w:after="60"/>
      </w:pPr>
      <w:r>
        <w:t>BMC Genomics - "Genomics of plant pathogens" collection</w:t>
      </w:r>
    </w:p>
    <w:tbl>
      <w:tblPr>
        <w:tblW w:type="auto" w:w="0"/>
        <w:jc w:val="left"/>
        <w:tblLayout w:type="autofit"/>
        <w:tblLook w:firstColumn="1" w:firstRow="1" w:lastColumn="0" w:lastRow="0" w:noHBand="0" w:noVBand="1" w:val="04A0"/>
      </w:tblPr>
      <w:tblGrid>
        <w:gridCol w:w="9994"/>
      </w:tblGrid>
      <w:tr>
        <w:trPr>
          <w:cantSplit/>
        </w:trPr>
        <w:tc>
          <w:tcPr>
            <w:tcW w:type="dxa" w:w="9994"/>
            <w:shd w:fill="F4F6F8"/>
            <w:tcMar>
              <w:top w:w="70" w:type="dxa"/>
              <w:start w:w="120" w:type="dxa"/>
              <w:bottom w:w="70" w:type="dxa"/>
              <w:end w:w="120" w:type="dxa"/>
            </w:tcMar>
            <w:tcBorders>
              <w:top w:val="nil"/>
              <w:left w:val="single" w:sz="18" w:color="B26A00"/>
              <w:bottom w:val="nil"/>
              <w:right w:val="nil"/>
            </w:tcBorders>
            <w:vAlign w:val="center"/>
          </w:tcPr>
          <w:p>
            <w:pPr>
              <w:spacing w:after="0" w:line="240" w:lineRule="auto"/>
            </w:pPr>
            <w:r>
              <w:rPr>
                <w:rFonts w:ascii="Carlito" w:hAnsi="Carlito" w:eastAsia="Carlito"/>
                <w:b/>
                <w:color w:val="5B6573"/>
                <w:sz w:val="20"/>
              </w:rPr>
              <w:t xml:space="preserve">Estimated wet-lab-request risk: </w:t>
            </w:r>
            <w:r>
              <w:rPr>
                <w:rFonts w:ascii="Carlito" w:hAnsi="Carlito" w:eastAsia="Carlito"/>
                <w:b/>
                <w:color w:val="B26A00"/>
                <w:sz w:val="20"/>
              </w:rPr>
              <w:t>Low to medium</w:t>
            </w:r>
          </w:p>
        </w:tc>
      </w:tr>
    </w:tbl>
    <w:p>
      <w:pPr>
        <w:spacing w:after="20" w:line="168" w:lineRule="auto"/>
      </w:pPr>
    </w:p>
    <w:p>
      <w:pPr>
        <w:keepNext w:val="0"/>
        <w:spacing w:after="100" w:line="259" w:lineRule="auto"/>
      </w:pPr>
      <w:r>
        <w:rPr>
          <w:rFonts w:ascii="Carlito" w:hAnsi="Carlito" w:eastAsia="Carlito"/>
          <w:b/>
          <w:color w:val="20252B"/>
          <w:sz w:val="21"/>
        </w:rPr>
        <w:t xml:space="preserve">This is the strongest more ambitious and time-sensitive opportunity. </w:t>
      </w:r>
      <w:r>
        <w:rPr>
          <w:rFonts w:ascii="Carlito" w:hAnsi="Carlito" w:eastAsia="Carlito"/>
          <w:color w:val="20252B"/>
          <w:sz w:val="21"/>
        </w:rPr>
        <w:t>BMC Genomics currently has an open collection called Genomics of plant pathogens, with a submission deadline of December 14, 2026. The call explicitly includes host transcriptomic and epigenomic responses to pathogen infection.</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s</w:t>
      </w:r>
      <w:r>
        <w:rPr>
          <w:rFonts w:ascii="Carlito" w:hAnsi="Carlito" w:eastAsia="Carlito"/>
          <w:i/>
          <w:color w:val="5B6573"/>
          <w:sz w:val="17"/>
        </w:rPr>
        <w:t xml:space="preserve">: </w:t>
      </w:r>
      <w:hyperlink r:id="rId12">
        <w:r>
          <w:rPr>
            <w:rFonts w:ascii="Carlito" w:hAnsi="Carlito"/>
            <w:color w:val="0563C1"/>
            <w:u w:val="single"/>
            <w:i/>
          </w:rPr>
          <w:t>Collection page</w:t>
        </w:r>
      </w:hyperlink>
      <w:r>
        <w:rPr>
          <w:rFonts w:ascii="Carlito" w:hAnsi="Carlito" w:eastAsia="Carlito"/>
          <w:color w:val="5B6573"/>
          <w:sz w:val="17"/>
        </w:rPr>
        <w:t xml:space="preserve"> | </w:t>
      </w:r>
      <w:hyperlink r:id="rId13">
        <w:r>
          <w:rPr>
            <w:rFonts w:ascii="Carlito" w:hAnsi="Carlito"/>
            <w:color w:val="0563C1"/>
            <w:u w:val="single"/>
            <w:i/>
          </w:rPr>
          <w:t>BMC Genomics information</w:t>
        </w:r>
      </w:hyperlink>
    </w:p>
    <w:p>
      <w:pPr>
        <w:keepNext w:val="0"/>
        <w:spacing w:after="60" w:line="259" w:lineRule="auto"/>
      </w:pPr>
      <w:r>
        <w:rPr>
          <w:rFonts w:ascii="Carlito" w:hAnsi="Carlito" w:eastAsia="Carlito"/>
          <w:color w:val="20252B"/>
          <w:sz w:val="21"/>
        </w:rPr>
        <w:t>Why it fits:</w:t>
      </w:r>
    </w:p>
    <w:p>
      <w:pPr>
        <w:pStyle w:val="ListBullet"/>
        <w:spacing w:after="50" w:line="252" w:lineRule="auto"/>
        <w:ind w:left="360" w:hanging="173"/>
      </w:pPr>
      <w:r>
        <w:rPr>
          <w:rFonts w:ascii="Carlito" w:hAnsi="Carlito" w:eastAsia="Carlito"/>
          <w:color w:val="20252B"/>
          <w:sz w:val="20"/>
        </w:rPr>
        <w:t>exact match to the collection's host-transcriptomic-response topic;</w:t>
      </w:r>
    </w:p>
    <w:p>
      <w:pPr>
        <w:pStyle w:val="ListBullet"/>
        <w:spacing w:after="50" w:line="252" w:lineRule="auto"/>
        <w:ind w:left="360" w:hanging="173"/>
      </w:pPr>
      <w:r>
        <w:rPr>
          <w:rFonts w:ascii="Carlito" w:hAnsi="Carlito" w:eastAsia="Carlito"/>
          <w:color w:val="20252B"/>
          <w:sz w:val="20"/>
        </w:rPr>
        <w:t>genome-wide cultivar-by-infection interaction analysis;</w:t>
      </w:r>
    </w:p>
    <w:p>
      <w:pPr>
        <w:pStyle w:val="ListBullet"/>
        <w:spacing w:after="50" w:line="252" w:lineRule="auto"/>
        <w:ind w:left="360" w:hanging="173"/>
      </w:pPr>
      <w:r>
        <w:rPr>
          <w:rFonts w:ascii="Carlito" w:hAnsi="Carlito" w:eastAsia="Carlito"/>
          <w:color w:val="20252B"/>
          <w:sz w:val="20"/>
        </w:rPr>
        <w:t>multiple independent public cohorts;</w:t>
      </w:r>
    </w:p>
    <w:p>
      <w:pPr>
        <w:pStyle w:val="ListBullet"/>
        <w:spacing w:after="50" w:line="252" w:lineRule="auto"/>
        <w:ind w:left="360" w:hanging="173"/>
      </w:pPr>
      <w:r>
        <w:rPr>
          <w:rFonts w:ascii="Carlito" w:hAnsi="Carlito" w:eastAsia="Carlito"/>
          <w:color w:val="20252B"/>
          <w:sz w:val="20"/>
        </w:rPr>
        <w:t>differential transcript usage, pathways, promoter analysis, power simulations, and a reproducible workflow; and</w:t>
      </w:r>
    </w:p>
    <w:p>
      <w:pPr>
        <w:pStyle w:val="ListBullet"/>
        <w:spacing w:after="50" w:line="252" w:lineRule="auto"/>
        <w:ind w:left="360" w:hanging="173"/>
      </w:pPr>
      <w:r>
        <w:rPr>
          <w:rFonts w:ascii="Carlito" w:hAnsi="Carlito" w:eastAsia="Carlito"/>
          <w:color w:val="20252B"/>
          <w:sz w:val="20"/>
        </w:rPr>
        <w:t>strong statistical and data-provenance focus.</w:t>
      </w:r>
    </w:p>
    <w:p>
      <w:pPr>
        <w:keepNext w:val="0"/>
        <w:spacing w:after="100" w:line="259" w:lineRule="auto"/>
      </w:pPr>
      <w:r>
        <w:rPr>
          <w:rFonts w:ascii="Carlito" w:hAnsi="Carlito" w:eastAsia="Carlito"/>
          <w:b/>
          <w:color w:val="17365D"/>
          <w:sz w:val="21"/>
        </w:rPr>
        <w:t xml:space="preserve">Main risk: </w:t>
      </w:r>
      <w:r>
        <w:rPr>
          <w:rFonts w:ascii="Carlito" w:hAnsi="Carlito" w:eastAsia="Carlito"/>
          <w:color w:val="20252B"/>
          <w:sz w:val="21"/>
        </w:rPr>
        <w:t>BMC Genomics may ask what broadly new genomic insight is gained beyond this particular lychee disease system. Frame the paper as a general demonstration of how apparently plausible candidate genes change when exploratory selection is separated from genome-wide confirmation and frozen external evaluation.</w:t>
      </w:r>
    </w:p>
    <w:p>
      <w:pPr>
        <w:keepNext w:val="0"/>
        <w:spacing w:after="100" w:line="259" w:lineRule="auto"/>
      </w:pPr>
      <w:r>
        <w:rPr>
          <w:rFonts w:ascii="Carlito" w:hAnsi="Carlito" w:eastAsia="Carlito"/>
          <w:b/>
          <w:color w:val="17365D"/>
          <w:sz w:val="21"/>
        </w:rPr>
        <w:t xml:space="preserve">Verdict: </w:t>
      </w:r>
      <w:r>
        <w:rPr>
          <w:rFonts w:ascii="Carlito" w:hAnsi="Carlito" w:eastAsia="Carlito"/>
          <w:color w:val="20252B"/>
          <w:sz w:val="21"/>
        </w:rPr>
        <w:t>A worthwhile first attempt before Plant Direct when you are comfortable accepting a somewhat greater desk-rejection risk.</w:t>
      </w:r>
    </w:p>
    <w:p>
      <w:pPr>
        <w:pStyle w:val="Heading2"/>
        <w:keepNext/>
        <w:spacing w:before="180" w:after="60"/>
      </w:pPr>
      <w:r>
        <w:t>PhytoFrontiers - best specialist plant-pathology audience</w:t>
      </w:r>
    </w:p>
    <w:tbl>
      <w:tblPr>
        <w:tblW w:type="auto" w:w="0"/>
        <w:jc w:val="left"/>
        <w:tblLayout w:type="autofit"/>
        <w:tblLook w:firstColumn="1" w:firstRow="1" w:lastColumn="0" w:lastRow="0" w:noHBand="0" w:noVBand="1" w:val="04A0"/>
      </w:tblPr>
      <w:tblGrid>
        <w:gridCol w:w="9994"/>
      </w:tblGrid>
      <w:tr>
        <w:trPr>
          <w:cantSplit/>
        </w:trPr>
        <w:tc>
          <w:tcPr>
            <w:tcW w:type="dxa" w:w="9994"/>
            <w:shd w:fill="F4F6F8"/>
            <w:tcMar>
              <w:top w:w="70" w:type="dxa"/>
              <w:start w:w="120" w:type="dxa"/>
              <w:bottom w:w="70" w:type="dxa"/>
              <w:end w:w="120" w:type="dxa"/>
            </w:tcMar>
            <w:tcBorders>
              <w:top w:val="nil"/>
              <w:left w:val="single" w:sz="18" w:color="2E7D32"/>
              <w:bottom w:val="nil"/>
              <w:right w:val="nil"/>
            </w:tcBorders>
            <w:vAlign w:val="center"/>
          </w:tcPr>
          <w:p>
            <w:pPr>
              <w:spacing w:after="0" w:line="240" w:lineRule="auto"/>
            </w:pPr>
            <w:r>
              <w:rPr>
                <w:rFonts w:ascii="Carlito" w:hAnsi="Carlito" w:eastAsia="Carlito"/>
                <w:b/>
                <w:color w:val="5B6573"/>
                <w:sz w:val="20"/>
              </w:rPr>
              <w:t xml:space="preserve">Estimated wet-lab-request risk: </w:t>
            </w:r>
            <w:r>
              <w:rPr>
                <w:rFonts w:ascii="Carlito" w:hAnsi="Carlito" w:eastAsia="Carlito"/>
                <w:b/>
                <w:color w:val="2E7D32"/>
                <w:sz w:val="20"/>
              </w:rPr>
              <w:t>Low</w:t>
            </w:r>
          </w:p>
        </w:tc>
      </w:tr>
    </w:tbl>
    <w:p>
      <w:pPr>
        <w:spacing w:after="20" w:line="168" w:lineRule="auto"/>
      </w:pPr>
    </w:p>
    <w:p>
      <w:pPr>
        <w:keepNext w:val="0"/>
        <w:spacing w:after="100" w:line="259" w:lineRule="auto"/>
      </w:pPr>
      <w:r>
        <w:rPr>
          <w:rFonts w:ascii="Carlito" w:hAnsi="Carlito" w:eastAsia="Carlito"/>
          <w:color w:val="20252B"/>
          <w:sz w:val="21"/>
        </w:rPr>
        <w:t>PhytoFrontiers is published by the American Phytopathological Society. APS describes it as a broad, interdisciplinary plant-health journal that aims to publish rigorous research regardless of perceived impact and explicitly welcomes negative results and nontraditional areas of plant-pathology research.</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14">
        <w:r>
          <w:rPr>
            <w:rFonts w:ascii="Carlito" w:hAnsi="Carlito"/>
            <w:color w:val="0563C1"/>
            <w:u w:val="single"/>
            <w:i/>
          </w:rPr>
          <w:t>APS description of PhytoFrontiers</w:t>
        </w:r>
      </w:hyperlink>
    </w:p>
    <w:p>
      <w:pPr>
        <w:keepNext w:val="0"/>
        <w:spacing w:after="60" w:line="259" w:lineRule="auto"/>
      </w:pPr>
      <w:r>
        <w:rPr>
          <w:rFonts w:ascii="Carlito" w:hAnsi="Carlito" w:eastAsia="Carlito"/>
          <w:color w:val="20252B"/>
          <w:sz w:val="21"/>
        </w:rPr>
        <w:t>This may be the venue whose editorial philosophy most closely matches the paper:</w:t>
      </w:r>
    </w:p>
    <w:p>
      <w:pPr>
        <w:pStyle w:val="ListBullet"/>
        <w:spacing w:after="50" w:line="252" w:lineRule="auto"/>
        <w:ind w:left="360" w:hanging="173"/>
      </w:pPr>
      <w:r>
        <w:rPr>
          <w:rFonts w:ascii="Carlito" w:hAnsi="Carlito" w:eastAsia="Carlito"/>
          <w:color w:val="20252B"/>
          <w:sz w:val="20"/>
        </w:rPr>
        <w:t>directly relevant plant disease;</w:t>
      </w:r>
    </w:p>
    <w:p>
      <w:pPr>
        <w:pStyle w:val="ListBullet"/>
        <w:spacing w:after="50" w:line="252" w:lineRule="auto"/>
        <w:ind w:left="360" w:hanging="173"/>
      </w:pPr>
      <w:r>
        <w:rPr>
          <w:rFonts w:ascii="Carlito" w:hAnsi="Carlito" w:eastAsia="Carlito"/>
          <w:color w:val="20252B"/>
          <w:sz w:val="20"/>
        </w:rPr>
        <w:t>an oomycete pathogen;</w:t>
      </w:r>
    </w:p>
    <w:p>
      <w:pPr>
        <w:pStyle w:val="ListBullet"/>
        <w:spacing w:after="50" w:line="252" w:lineRule="auto"/>
        <w:ind w:left="360" w:hanging="173"/>
      </w:pPr>
      <w:r>
        <w:rPr>
          <w:rFonts w:ascii="Carlito" w:hAnsi="Carlito" w:eastAsia="Carlito"/>
          <w:color w:val="20252B"/>
          <w:sz w:val="20"/>
        </w:rPr>
        <w:t>cultivar-dependent host response;</w:t>
      </w:r>
    </w:p>
    <w:p>
      <w:pPr>
        <w:pStyle w:val="ListBullet"/>
        <w:spacing w:after="50" w:line="252" w:lineRule="auto"/>
        <w:ind w:left="360" w:hanging="173"/>
      </w:pPr>
      <w:r>
        <w:rPr>
          <w:rFonts w:ascii="Carlito" w:hAnsi="Carlito" w:eastAsia="Carlito"/>
          <w:color w:val="20252B"/>
          <w:sz w:val="20"/>
        </w:rPr>
        <w:t>substantial negative and contradictory evidence;</w:t>
      </w:r>
    </w:p>
    <w:p>
      <w:pPr>
        <w:pStyle w:val="ListBullet"/>
        <w:spacing w:after="50" w:line="252" w:lineRule="auto"/>
        <w:ind w:left="360" w:hanging="173"/>
      </w:pPr>
      <w:r>
        <w:rPr>
          <w:rFonts w:ascii="Carlito" w:hAnsi="Carlito" w:eastAsia="Carlito"/>
          <w:color w:val="20252B"/>
          <w:sz w:val="20"/>
        </w:rPr>
        <w:t>computational analysis without a mechanistic experiment; and</w:t>
      </w:r>
    </w:p>
    <w:p>
      <w:pPr>
        <w:pStyle w:val="ListBullet"/>
        <w:spacing w:after="50" w:line="252" w:lineRule="auto"/>
        <w:ind w:left="360" w:hanging="173"/>
      </w:pPr>
      <w:r>
        <w:rPr>
          <w:rFonts w:ascii="Carlito" w:hAnsi="Carlito" w:eastAsia="Carlito"/>
          <w:color w:val="20252B"/>
          <w:sz w:val="20"/>
        </w:rPr>
        <w:t>an explicit resource for subsequent experimental work.</w:t>
      </w:r>
    </w:p>
    <w:p>
      <w:pPr>
        <w:keepNext w:val="0"/>
        <w:spacing w:after="100" w:line="259" w:lineRule="auto"/>
      </w:pPr>
      <w:r>
        <w:rPr>
          <w:rFonts w:ascii="Carlito" w:hAnsi="Carlito" w:eastAsia="Carlito"/>
          <w:b/>
          <w:color w:val="17365D"/>
          <w:sz w:val="21"/>
        </w:rPr>
        <w:t xml:space="preserve">Main risk: </w:t>
      </w:r>
      <w:r>
        <w:rPr>
          <w:rFonts w:ascii="Carlito" w:hAnsi="Carlito" w:eastAsia="Carlito"/>
          <w:color w:val="20252B"/>
          <w:sz w:val="21"/>
        </w:rPr>
        <w:t>The manuscript is currently very statistics- and workflow-heavy. For this audience, strengthen the plant-pathology message: context dependence of cultivar responses, cell-wall and carbohydrate-remodeling hypotheses, limitations of using expression markers across tissues, and implications for disease-resistance research.</w:t>
      </w:r>
    </w:p>
    <w:p>
      <w:pPr>
        <w:keepNext w:val="0"/>
        <w:spacing w:after="100" w:line="259" w:lineRule="auto"/>
      </w:pPr>
      <w:r>
        <w:rPr>
          <w:rFonts w:ascii="Carlito" w:hAnsi="Carlito" w:eastAsia="Carlito"/>
          <w:b/>
          <w:color w:val="17365D"/>
          <w:sz w:val="21"/>
        </w:rPr>
        <w:t xml:space="preserve">Verdict: </w:t>
      </w:r>
      <w:r>
        <w:rPr>
          <w:rFonts w:ascii="Carlito" w:hAnsi="Carlito" w:eastAsia="Carlito"/>
          <w:color w:val="20252B"/>
          <w:sz w:val="21"/>
        </w:rPr>
        <w:t>Approximately equal to Plant Direct in conceptual fit, but with a more specialized plant-pathology readership.</w:t>
      </w:r>
    </w:p>
    <w:p>
      <w:pPr>
        <w:pStyle w:val="Heading2"/>
        <w:keepNext/>
        <w:spacing w:before="180" w:after="60"/>
      </w:pPr>
      <w:r>
        <w:t>BMC Plant Biology</w:t>
      </w:r>
    </w:p>
    <w:tbl>
      <w:tblPr>
        <w:tblW w:type="auto" w:w="0"/>
        <w:jc w:val="left"/>
        <w:tblLayout w:type="autofit"/>
        <w:tblLook w:firstColumn="1" w:firstRow="1" w:lastColumn="0" w:lastRow="0" w:noHBand="0" w:noVBand="1" w:val="04A0"/>
      </w:tblPr>
      <w:tblGrid>
        <w:gridCol w:w="9994"/>
      </w:tblGrid>
      <w:tr>
        <w:trPr>
          <w:cantSplit/>
        </w:trPr>
        <w:tc>
          <w:tcPr>
            <w:tcW w:type="dxa" w:w="9994"/>
            <w:shd w:fill="F4F6F8"/>
            <w:tcMar>
              <w:top w:w="70" w:type="dxa"/>
              <w:start w:w="120" w:type="dxa"/>
              <w:bottom w:w="70" w:type="dxa"/>
              <w:end w:w="120" w:type="dxa"/>
            </w:tcMar>
            <w:tcBorders>
              <w:top w:val="nil"/>
              <w:left w:val="single" w:sz="18" w:color="B26A00"/>
              <w:bottom w:val="nil"/>
              <w:right w:val="nil"/>
            </w:tcBorders>
            <w:vAlign w:val="center"/>
          </w:tcPr>
          <w:p>
            <w:pPr>
              <w:spacing w:after="0" w:line="240" w:lineRule="auto"/>
            </w:pPr>
            <w:r>
              <w:rPr>
                <w:rFonts w:ascii="Carlito" w:hAnsi="Carlito" w:eastAsia="Carlito"/>
                <w:b/>
                <w:color w:val="5B6573"/>
                <w:sz w:val="20"/>
              </w:rPr>
              <w:t xml:space="preserve">Estimated wet-lab-request risk: </w:t>
            </w:r>
            <w:r>
              <w:rPr>
                <w:rFonts w:ascii="Carlito" w:hAnsi="Carlito" w:eastAsia="Carlito"/>
                <w:b/>
                <w:color w:val="B26A00"/>
                <w:sz w:val="20"/>
              </w:rPr>
              <w:t>Medium</w:t>
            </w:r>
          </w:p>
        </w:tc>
      </w:tr>
    </w:tbl>
    <w:p>
      <w:pPr>
        <w:spacing w:after="20" w:line="168" w:lineRule="auto"/>
      </w:pPr>
    </w:p>
    <w:p>
      <w:pPr>
        <w:keepNext w:val="0"/>
        <w:spacing w:after="100" w:line="259" w:lineRule="auto"/>
      </w:pPr>
      <w:r>
        <w:rPr>
          <w:rFonts w:ascii="Carlito" w:hAnsi="Carlito" w:eastAsia="Carlito"/>
          <w:color w:val="20252B"/>
          <w:sz w:val="21"/>
        </w:rPr>
        <w:t>BMC Plant Biology explicitly includes genomics, plant-biotic interactions, and scientifically valid studies without evaluating submissions primarily on perceived impact. It also has an open collection, Plant disease resistance - Part II, with a deadline of May 18, 2027. The collection mentions high-throughput sequencing, omics approaches, plant-pathogen interactions, and disease resistance.</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s</w:t>
      </w:r>
      <w:r>
        <w:rPr>
          <w:rFonts w:ascii="Carlito" w:hAnsi="Carlito" w:eastAsia="Carlito"/>
          <w:i/>
          <w:color w:val="5B6573"/>
          <w:sz w:val="17"/>
        </w:rPr>
        <w:t xml:space="preserve">: </w:t>
      </w:r>
      <w:hyperlink r:id="rId15">
        <w:r>
          <w:rPr>
            <w:rFonts w:ascii="Carlito" w:hAnsi="Carlito"/>
            <w:color w:val="0563C1"/>
            <w:u w:val="single"/>
            <w:i/>
          </w:rPr>
          <w:t>Journal scope</w:t>
        </w:r>
      </w:hyperlink>
      <w:r>
        <w:rPr>
          <w:rFonts w:ascii="Carlito" w:hAnsi="Carlito" w:eastAsia="Carlito"/>
          <w:color w:val="5B6573"/>
          <w:sz w:val="17"/>
        </w:rPr>
        <w:t xml:space="preserve"> | </w:t>
      </w:r>
      <w:hyperlink r:id="rId16">
        <w:r>
          <w:rPr>
            <w:rFonts w:ascii="Carlito" w:hAnsi="Carlito"/>
            <w:color w:val="0563C1"/>
            <w:u w:val="single"/>
            <w:i/>
          </w:rPr>
          <w:t>Plant disease resistance collection</w:t>
        </w:r>
      </w:hyperlink>
    </w:p>
    <w:p>
      <w:pPr>
        <w:keepNext w:val="0"/>
        <w:spacing w:after="60" w:line="259" w:lineRule="auto"/>
      </w:pPr>
      <w:r>
        <w:rPr>
          <w:rFonts w:ascii="Carlito" w:hAnsi="Carlito" w:eastAsia="Carlito"/>
          <w:color w:val="20252B"/>
          <w:sz w:val="21"/>
        </w:rPr>
        <w:t>Why it fits:</w:t>
      </w:r>
    </w:p>
    <w:p>
      <w:pPr>
        <w:pStyle w:val="ListBullet"/>
        <w:spacing w:after="50" w:line="252" w:lineRule="auto"/>
        <w:ind w:left="360" w:hanging="173"/>
      </w:pPr>
      <w:r>
        <w:rPr>
          <w:rFonts w:ascii="Carlito" w:hAnsi="Carlito" w:eastAsia="Carlito"/>
          <w:color w:val="20252B"/>
          <w:sz w:val="20"/>
        </w:rPr>
        <w:t>clear plant-biotic interaction;</w:t>
      </w:r>
    </w:p>
    <w:p>
      <w:pPr>
        <w:pStyle w:val="ListBullet"/>
        <w:spacing w:after="50" w:line="252" w:lineRule="auto"/>
        <w:ind w:left="360" w:hanging="173"/>
      </w:pPr>
      <w:r>
        <w:rPr>
          <w:rFonts w:ascii="Carlito" w:hAnsi="Carlito" w:eastAsia="Carlito"/>
          <w:color w:val="20252B"/>
          <w:sz w:val="20"/>
        </w:rPr>
        <w:t>cultivar-dependent infection responses;</w:t>
      </w:r>
    </w:p>
    <w:p>
      <w:pPr>
        <w:pStyle w:val="ListBullet"/>
        <w:spacing w:after="50" w:line="252" w:lineRule="auto"/>
        <w:ind w:left="360" w:hanging="173"/>
      </w:pPr>
      <w:r>
        <w:rPr>
          <w:rFonts w:ascii="Carlito" w:hAnsi="Carlito" w:eastAsia="Carlito"/>
          <w:color w:val="20252B"/>
          <w:sz w:val="20"/>
        </w:rPr>
        <w:t>genome-wide transcriptomics;</w:t>
      </w:r>
    </w:p>
    <w:p>
      <w:pPr>
        <w:pStyle w:val="ListBullet"/>
        <w:spacing w:after="50" w:line="252" w:lineRule="auto"/>
        <w:ind w:left="360" w:hanging="173"/>
      </w:pPr>
      <w:r>
        <w:rPr>
          <w:rFonts w:ascii="Carlito" w:hAnsi="Carlito" w:eastAsia="Carlito"/>
          <w:color w:val="20252B"/>
          <w:sz w:val="20"/>
        </w:rPr>
        <w:t>independent cross-context evaluation; and</w:t>
      </w:r>
    </w:p>
    <w:p>
      <w:pPr>
        <w:pStyle w:val="ListBullet"/>
        <w:spacing w:after="50" w:line="252" w:lineRule="auto"/>
        <w:ind w:left="360" w:hanging="173"/>
      </w:pPr>
      <w:r>
        <w:rPr>
          <w:rFonts w:ascii="Carlito" w:hAnsi="Carlito" w:eastAsia="Carlito"/>
          <w:color w:val="20252B"/>
          <w:sz w:val="20"/>
        </w:rPr>
        <w:t>hypotheses related to cell-wall, sugar metabolism, lipid signaling, and defense.</w:t>
      </w:r>
    </w:p>
    <w:p>
      <w:pPr>
        <w:keepNext w:val="0"/>
        <w:spacing w:after="100" w:line="259" w:lineRule="auto"/>
      </w:pPr>
      <w:r>
        <w:rPr>
          <w:rFonts w:ascii="Carlito" w:hAnsi="Carlito" w:eastAsia="Carlito"/>
          <w:b/>
          <w:color w:val="17365D"/>
          <w:sz w:val="21"/>
        </w:rPr>
        <w:t xml:space="preserve">Main risk: </w:t>
      </w:r>
      <w:r>
        <w:rPr>
          <w:rFonts w:ascii="Carlito" w:hAnsi="Carlito" w:eastAsia="Carlito"/>
          <w:color w:val="20252B"/>
          <w:sz w:val="21"/>
        </w:rPr>
        <w:t>This collection leans more strongly toward mechanisms of resistance. Your manuscript itself notes that Yurong1 and Heiye cannot be placed on a common resistance scale relative to Guiwei. Therefore, do not call the two externally supported genes "resistance genes." A general BMC Plant Biology submission may be marginally safer than overemphasizing the resistance collection.</w:t>
      </w:r>
    </w:p>
    <w:p>
      <w:pPr>
        <w:pStyle w:val="Heading2"/>
        <w:keepNext/>
        <w:spacing w:before="180" w:after="60"/>
      </w:pPr>
      <w:r>
        <w:t>Royal Society Open Science</w:t>
      </w:r>
    </w:p>
    <w:tbl>
      <w:tblPr>
        <w:tblW w:type="auto" w:w="0"/>
        <w:jc w:val="left"/>
        <w:tblLayout w:type="autofit"/>
        <w:tblLook w:firstColumn="1" w:firstRow="1" w:lastColumn="0" w:lastRow="0" w:noHBand="0" w:noVBand="1" w:val="04A0"/>
      </w:tblPr>
      <w:tblGrid>
        <w:gridCol w:w="9994"/>
      </w:tblGrid>
      <w:tr>
        <w:trPr>
          <w:cantSplit/>
        </w:trPr>
        <w:tc>
          <w:tcPr>
            <w:tcW w:type="dxa" w:w="9994"/>
            <w:shd w:fill="F4F6F8"/>
            <w:tcMar>
              <w:top w:w="70" w:type="dxa"/>
              <w:start w:w="120" w:type="dxa"/>
              <w:bottom w:w="70" w:type="dxa"/>
              <w:end w:w="120" w:type="dxa"/>
            </w:tcMar>
            <w:tcBorders>
              <w:top w:val="nil"/>
              <w:left w:val="single" w:sz="18" w:color="2E7D32"/>
              <w:bottom w:val="nil"/>
              <w:right w:val="nil"/>
            </w:tcBorders>
            <w:vAlign w:val="center"/>
          </w:tcPr>
          <w:p>
            <w:pPr>
              <w:spacing w:after="0" w:line="240" w:lineRule="auto"/>
            </w:pPr>
            <w:r>
              <w:rPr>
                <w:rFonts w:ascii="Carlito" w:hAnsi="Carlito" w:eastAsia="Carlito"/>
                <w:b/>
                <w:color w:val="5B6573"/>
                <w:sz w:val="20"/>
              </w:rPr>
              <w:t xml:space="preserve">Estimated wet-lab-request risk: </w:t>
            </w:r>
            <w:r>
              <w:rPr>
                <w:rFonts w:ascii="Carlito" w:hAnsi="Carlito" w:eastAsia="Carlito"/>
                <w:b/>
                <w:color w:val="2E7D32"/>
                <w:sz w:val="20"/>
              </w:rPr>
              <w:t>Low</w:t>
            </w:r>
          </w:p>
        </w:tc>
      </w:tr>
    </w:tbl>
    <w:p>
      <w:pPr>
        <w:spacing w:after="20" w:line="168" w:lineRule="auto"/>
      </w:pPr>
    </w:p>
    <w:p>
      <w:pPr>
        <w:keepNext w:val="0"/>
        <w:spacing w:after="100" w:line="259" w:lineRule="auto"/>
      </w:pPr>
      <w:r>
        <w:rPr>
          <w:rFonts w:ascii="Carlito" w:hAnsi="Carlito" w:eastAsia="Carlito"/>
          <w:color w:val="20252B"/>
          <w:sz w:val="21"/>
        </w:rPr>
        <w:t>Royal Society Open Science uses objective peer review and states that it publishes scientifically sound work without ordinary restrictions on scope or impact. It specifically welcomes studies containing negative findings and replication-related work and emphasizes open data and transparent review.</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17">
        <w:r>
          <w:rPr>
            <w:rFonts w:ascii="Carlito" w:hAnsi="Carlito"/>
            <w:color w:val="0563C1"/>
            <w:u w:val="single"/>
            <w:i/>
          </w:rPr>
          <w:t>About Royal Society Open Science</w:t>
        </w:r>
      </w:hyperlink>
    </w:p>
    <w:p>
      <w:pPr>
        <w:keepNext w:val="0"/>
        <w:spacing w:after="60" w:line="259" w:lineRule="auto"/>
      </w:pPr>
      <w:r>
        <w:rPr>
          <w:rFonts w:ascii="Carlito" w:hAnsi="Carlito" w:eastAsia="Carlito"/>
          <w:color w:val="20252B"/>
          <w:sz w:val="21"/>
        </w:rPr>
        <w:t>Why it fits:</w:t>
      </w:r>
    </w:p>
    <w:p>
      <w:pPr>
        <w:pStyle w:val="ListBullet"/>
        <w:spacing w:after="50" w:line="252" w:lineRule="auto"/>
        <w:ind w:left="360" w:hanging="173"/>
      </w:pPr>
      <w:r>
        <w:rPr>
          <w:rFonts w:ascii="Carlito" w:hAnsi="Carlito" w:eastAsia="Carlito"/>
          <w:color w:val="20252B"/>
          <w:sz w:val="20"/>
        </w:rPr>
        <w:t>preregistration and open-science emphasis;</w:t>
      </w:r>
    </w:p>
    <w:p>
      <w:pPr>
        <w:pStyle w:val="ListBullet"/>
        <w:spacing w:after="50" w:line="252" w:lineRule="auto"/>
        <w:ind w:left="360" w:hanging="173"/>
      </w:pPr>
      <w:r>
        <w:rPr>
          <w:rFonts w:ascii="Carlito" w:hAnsi="Carlito" w:eastAsia="Carlito"/>
          <w:color w:val="20252B"/>
          <w:sz w:val="20"/>
        </w:rPr>
        <w:t>complete release of null, unsupported, contradictory, and retired results;</w:t>
      </w:r>
    </w:p>
    <w:p>
      <w:pPr>
        <w:pStyle w:val="ListBullet"/>
        <w:spacing w:after="50" w:line="252" w:lineRule="auto"/>
        <w:ind w:left="360" w:hanging="173"/>
      </w:pPr>
      <w:r>
        <w:rPr>
          <w:rFonts w:ascii="Carlito" w:hAnsi="Carlito" w:eastAsia="Carlito"/>
          <w:color w:val="20252B"/>
          <w:sz w:val="20"/>
        </w:rPr>
        <w:t>extensive reproducibility documentation;</w:t>
      </w:r>
    </w:p>
    <w:p>
      <w:pPr>
        <w:pStyle w:val="ListBullet"/>
        <w:spacing w:after="50" w:line="252" w:lineRule="auto"/>
        <w:ind w:left="360" w:hanging="173"/>
      </w:pPr>
      <w:r>
        <w:rPr>
          <w:rFonts w:ascii="Carlito" w:hAnsi="Carlito" w:eastAsia="Carlito"/>
          <w:color w:val="20252B"/>
          <w:sz w:val="20"/>
        </w:rPr>
        <w:t>methodologically interesting distinction between exploration, confirmation, robustness, and external transport; and</w:t>
      </w:r>
    </w:p>
    <w:p>
      <w:pPr>
        <w:pStyle w:val="ListBullet"/>
        <w:spacing w:after="50" w:line="252" w:lineRule="auto"/>
        <w:ind w:left="360" w:hanging="173"/>
      </w:pPr>
      <w:r>
        <w:rPr>
          <w:rFonts w:ascii="Carlito" w:hAnsi="Carlito" w:eastAsia="Carlito"/>
          <w:color w:val="20252B"/>
          <w:sz w:val="20"/>
        </w:rPr>
        <w:t>no dependence on a spectacular biological claim.</w:t>
      </w:r>
    </w:p>
    <w:p>
      <w:pPr>
        <w:keepNext w:val="0"/>
        <w:spacing w:after="100" w:line="259" w:lineRule="auto"/>
      </w:pPr>
      <w:r>
        <w:rPr>
          <w:rFonts w:ascii="Carlito" w:hAnsi="Carlito" w:eastAsia="Carlito"/>
          <w:b/>
          <w:color w:val="17365D"/>
          <w:sz w:val="21"/>
        </w:rPr>
        <w:t xml:space="preserve">Main risk: </w:t>
      </w:r>
      <w:r>
        <w:rPr>
          <w:rFonts w:ascii="Carlito" w:hAnsi="Carlito" w:eastAsia="Carlito"/>
          <w:color w:val="20252B"/>
          <w:sz w:val="21"/>
        </w:rPr>
        <w:t>It has a broad scientific readership rather than a concentrated plant-pathology audience. The introduction and discussion would need to explain why the study is a general lesson for small-sample transcriptomic candidate discovery, not merely a niche lychee analysis.</w:t>
      </w:r>
    </w:p>
    <w:p>
      <w:pPr>
        <w:pStyle w:val="Heading2"/>
        <w:keepNext/>
        <w:spacing w:before="180" w:after="60"/>
      </w:pPr>
      <w:r>
        <w:t>PLOS ONE</w:t>
      </w:r>
    </w:p>
    <w:tbl>
      <w:tblPr>
        <w:tblW w:type="auto" w:w="0"/>
        <w:jc w:val="left"/>
        <w:tblLayout w:type="autofit"/>
        <w:tblLook w:firstColumn="1" w:firstRow="1" w:lastColumn="0" w:lastRow="0" w:noHBand="0" w:noVBand="1" w:val="04A0"/>
      </w:tblPr>
      <w:tblGrid>
        <w:gridCol w:w="9994"/>
      </w:tblGrid>
      <w:tr>
        <w:trPr>
          <w:cantSplit/>
        </w:trPr>
        <w:tc>
          <w:tcPr>
            <w:tcW w:type="dxa" w:w="9994"/>
            <w:shd w:fill="F4F6F8"/>
            <w:tcMar>
              <w:top w:w="70" w:type="dxa"/>
              <w:start w:w="120" w:type="dxa"/>
              <w:bottom w:w="70" w:type="dxa"/>
              <w:end w:w="120" w:type="dxa"/>
            </w:tcMar>
            <w:tcBorders>
              <w:top w:val="nil"/>
              <w:left w:val="single" w:sz="18" w:color="2E7D32"/>
              <w:bottom w:val="nil"/>
              <w:right w:val="nil"/>
            </w:tcBorders>
            <w:vAlign w:val="center"/>
          </w:tcPr>
          <w:p>
            <w:pPr>
              <w:spacing w:after="0" w:line="240" w:lineRule="auto"/>
            </w:pPr>
            <w:r>
              <w:rPr>
                <w:rFonts w:ascii="Carlito" w:hAnsi="Carlito" w:eastAsia="Carlito"/>
                <w:b/>
                <w:color w:val="5B6573"/>
                <w:sz w:val="20"/>
              </w:rPr>
              <w:t xml:space="preserve">Estimated wet-lab-request risk: </w:t>
            </w:r>
            <w:r>
              <w:rPr>
                <w:rFonts w:ascii="Carlito" w:hAnsi="Carlito" w:eastAsia="Carlito"/>
                <w:b/>
                <w:color w:val="2E7D32"/>
                <w:sz w:val="20"/>
              </w:rPr>
              <w:t>Low</w:t>
            </w:r>
          </w:p>
        </w:tc>
      </w:tr>
    </w:tbl>
    <w:p>
      <w:pPr>
        <w:spacing w:after="20" w:line="168" w:lineRule="auto"/>
      </w:pPr>
    </w:p>
    <w:p>
      <w:pPr>
        <w:keepNext w:val="0"/>
        <w:spacing w:after="100" w:line="259" w:lineRule="auto"/>
      </w:pPr>
      <w:r>
        <w:rPr>
          <w:rFonts w:ascii="Carlito" w:hAnsi="Carlito" w:eastAsia="Carlito"/>
          <w:color w:val="20252B"/>
          <w:sz w:val="21"/>
        </w:rPr>
        <w:t>PLOS ONE explicitly welcomes replication studies and negative or null results. Its publication criteria center on technical quality, appropriate analysis, and conclusions supported by the data.</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18">
        <w:r>
          <w:rPr>
            <w:rFonts w:ascii="Carlito" w:hAnsi="Carlito"/>
            <w:color w:val="0563C1"/>
            <w:u w:val="single"/>
            <w:i/>
          </w:rPr>
          <w:t>PLOS ONE journal information</w:t>
        </w:r>
      </w:hyperlink>
    </w:p>
    <w:p>
      <w:pPr>
        <w:keepNext w:val="0"/>
        <w:spacing w:after="60" w:line="259" w:lineRule="auto"/>
      </w:pPr>
      <w:r>
        <w:rPr>
          <w:rFonts w:ascii="Carlito" w:hAnsi="Carlito" w:eastAsia="Carlito"/>
          <w:color w:val="20252B"/>
          <w:sz w:val="21"/>
        </w:rPr>
        <w:t>This is a strong fallback because your paper already does many of the things PLOS ONE reviewers typically seek:</w:t>
      </w:r>
    </w:p>
    <w:p>
      <w:pPr>
        <w:pStyle w:val="ListBullet"/>
        <w:spacing w:after="50" w:line="252" w:lineRule="auto"/>
        <w:ind w:left="360" w:hanging="173"/>
      </w:pPr>
      <w:r>
        <w:rPr>
          <w:rFonts w:ascii="Carlito" w:hAnsi="Carlito" w:eastAsia="Carlito"/>
          <w:color w:val="20252B"/>
          <w:sz w:val="20"/>
        </w:rPr>
        <w:t>clearly stated limitations;</w:t>
      </w:r>
    </w:p>
    <w:p>
      <w:pPr>
        <w:pStyle w:val="ListBullet"/>
        <w:spacing w:after="50" w:line="252" w:lineRule="auto"/>
        <w:ind w:left="360" w:hanging="173"/>
      </w:pPr>
      <w:r>
        <w:rPr>
          <w:rFonts w:ascii="Carlito" w:hAnsi="Carlito" w:eastAsia="Carlito"/>
          <w:color w:val="20252B"/>
          <w:sz w:val="20"/>
        </w:rPr>
        <w:t>public raw data;</w:t>
      </w:r>
    </w:p>
    <w:p>
      <w:pPr>
        <w:pStyle w:val="ListBullet"/>
        <w:spacing w:after="50" w:line="252" w:lineRule="auto"/>
        <w:ind w:left="360" w:hanging="173"/>
      </w:pPr>
      <w:r>
        <w:rPr>
          <w:rFonts w:ascii="Carlito" w:hAnsi="Carlito" w:eastAsia="Carlito"/>
          <w:color w:val="20252B"/>
          <w:sz w:val="20"/>
        </w:rPr>
        <w:t>reproducible code;</w:t>
      </w:r>
    </w:p>
    <w:p>
      <w:pPr>
        <w:pStyle w:val="ListBullet"/>
        <w:spacing w:after="50" w:line="252" w:lineRule="auto"/>
        <w:ind w:left="360" w:hanging="173"/>
      </w:pPr>
      <w:r>
        <w:rPr>
          <w:rFonts w:ascii="Carlito" w:hAnsi="Carlito" w:eastAsia="Carlito"/>
          <w:color w:val="20252B"/>
          <w:sz w:val="20"/>
        </w:rPr>
        <w:t>genome-wide multiple-testing control;</w:t>
      </w:r>
    </w:p>
    <w:p>
      <w:pPr>
        <w:pStyle w:val="ListBullet"/>
        <w:spacing w:after="50" w:line="252" w:lineRule="auto"/>
        <w:ind w:left="360" w:hanging="173"/>
      </w:pPr>
      <w:r>
        <w:rPr>
          <w:rFonts w:ascii="Carlito" w:hAnsi="Carlito" w:eastAsia="Carlito"/>
          <w:color w:val="20252B"/>
          <w:sz w:val="20"/>
        </w:rPr>
        <w:t>sensitivity analyses;</w:t>
      </w:r>
    </w:p>
    <w:p>
      <w:pPr>
        <w:pStyle w:val="ListBullet"/>
        <w:spacing w:after="50" w:line="252" w:lineRule="auto"/>
        <w:ind w:left="360" w:hanging="173"/>
      </w:pPr>
      <w:r>
        <w:rPr>
          <w:rFonts w:ascii="Carlito" w:hAnsi="Carlito" w:eastAsia="Carlito"/>
          <w:color w:val="20252B"/>
          <w:sz w:val="20"/>
        </w:rPr>
        <w:t>external evaluation; and</w:t>
      </w:r>
    </w:p>
    <w:p>
      <w:pPr>
        <w:pStyle w:val="ListBullet"/>
        <w:spacing w:after="50" w:line="252" w:lineRule="auto"/>
        <w:ind w:left="360" w:hanging="173"/>
      </w:pPr>
      <w:r>
        <w:rPr>
          <w:rFonts w:ascii="Carlito" w:hAnsi="Carlito" w:eastAsia="Carlito"/>
          <w:color w:val="20252B"/>
          <w:sz w:val="20"/>
        </w:rPr>
        <w:t>restrained conclusions.</w:t>
      </w:r>
    </w:p>
    <w:p>
      <w:pPr>
        <w:keepNext w:val="0"/>
        <w:spacing w:after="100" w:line="259" w:lineRule="auto"/>
      </w:pPr>
      <w:r>
        <w:rPr>
          <w:rFonts w:ascii="Carlito" w:hAnsi="Carlito" w:eastAsia="Carlito"/>
          <w:b/>
          <w:color w:val="17365D"/>
          <w:sz w:val="21"/>
        </w:rPr>
        <w:t xml:space="preserve">Main risk: </w:t>
      </w:r>
      <w:r>
        <w:rPr>
          <w:rFonts w:ascii="Carlito" w:hAnsi="Carlito" w:eastAsia="Carlito"/>
          <w:color w:val="20252B"/>
          <w:sz w:val="21"/>
        </w:rPr>
        <w:t>The editor may ask whether the reanalysis provides enough original scientific contribution. Your answer should be that the original contribution is the prospectively specified genome-wide interaction framework, evidence audit, robustness hierarchy, and external evaluation - not the production of another differential-expression list.</w:t>
      </w:r>
    </w:p>
    <w:p>
      <w:pPr>
        <w:pStyle w:val="Heading2"/>
        <w:keepNext/>
        <w:spacing w:before="180" w:after="60"/>
      </w:pPr>
      <w:r>
        <w:t>G3: Genes|Genomes|Genetics</w:t>
      </w:r>
    </w:p>
    <w:tbl>
      <w:tblPr>
        <w:tblW w:type="auto" w:w="0"/>
        <w:jc w:val="left"/>
        <w:tblLayout w:type="autofit"/>
        <w:tblLook w:firstColumn="1" w:firstRow="1" w:lastColumn="0" w:lastRow="0" w:noHBand="0" w:noVBand="1" w:val="04A0"/>
      </w:tblPr>
      <w:tblGrid>
        <w:gridCol w:w="9994"/>
      </w:tblGrid>
      <w:tr>
        <w:trPr>
          <w:cantSplit/>
        </w:trPr>
        <w:tc>
          <w:tcPr>
            <w:tcW w:type="dxa" w:w="9994"/>
            <w:shd w:fill="F4F6F8"/>
            <w:tcMar>
              <w:top w:w="70" w:type="dxa"/>
              <w:start w:w="120" w:type="dxa"/>
              <w:bottom w:w="70" w:type="dxa"/>
              <w:end w:w="120" w:type="dxa"/>
            </w:tcMar>
            <w:tcBorders>
              <w:top w:val="nil"/>
              <w:left w:val="single" w:sz="18" w:color="B26A00"/>
              <w:bottom w:val="nil"/>
              <w:right w:val="nil"/>
            </w:tcBorders>
            <w:vAlign w:val="center"/>
          </w:tcPr>
          <w:p>
            <w:pPr>
              <w:spacing w:after="0" w:line="240" w:lineRule="auto"/>
            </w:pPr>
            <w:r>
              <w:rPr>
                <w:rFonts w:ascii="Carlito" w:hAnsi="Carlito" w:eastAsia="Carlito"/>
                <w:b/>
                <w:color w:val="5B6573"/>
                <w:sz w:val="20"/>
              </w:rPr>
              <w:t xml:space="preserve">Estimated wet-lab-request risk: </w:t>
            </w:r>
            <w:r>
              <w:rPr>
                <w:rFonts w:ascii="Carlito" w:hAnsi="Carlito" w:eastAsia="Carlito"/>
                <w:b/>
                <w:color w:val="B26A00"/>
                <w:sz w:val="20"/>
              </w:rPr>
              <w:t>Medium</w:t>
            </w:r>
          </w:p>
        </w:tc>
      </w:tr>
    </w:tbl>
    <w:p>
      <w:pPr>
        <w:spacing w:after="20" w:line="168" w:lineRule="auto"/>
      </w:pPr>
    </w:p>
    <w:p>
      <w:pPr>
        <w:keepNext w:val="0"/>
        <w:spacing w:after="100" w:line="259" w:lineRule="auto"/>
      </w:pPr>
      <w:r>
        <w:rPr>
          <w:rFonts w:ascii="Carlito" w:hAnsi="Carlito" w:eastAsia="Carlito"/>
          <w:color w:val="20252B"/>
          <w:sz w:val="21"/>
        </w:rPr>
        <w:t>G3 states that it does not base publication decisions on novelty or impact and welcomes preliminary, unexpected, and negative results. Its scope includes transcriptomes, gene-environment interactions, agricultural genomics, functional omics, and computational or statistical research.</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19">
        <w:r>
          <w:rPr>
            <w:rFonts w:ascii="Carlito" w:hAnsi="Carlito"/>
            <w:color w:val="0563C1"/>
            <w:u w:val="single"/>
            <w:i/>
          </w:rPr>
          <w:t>About G3</w:t>
        </w:r>
      </w:hyperlink>
    </w:p>
    <w:p>
      <w:pPr>
        <w:keepNext w:val="0"/>
        <w:spacing w:after="60" w:line="259" w:lineRule="auto"/>
      </w:pPr>
      <w:r>
        <w:rPr>
          <w:rFonts w:ascii="Carlito" w:hAnsi="Carlito" w:eastAsia="Carlito"/>
          <w:color w:val="20252B"/>
          <w:sz w:val="21"/>
        </w:rPr>
        <w:t>Why it could work:</w:t>
      </w:r>
    </w:p>
    <w:p>
      <w:pPr>
        <w:pStyle w:val="ListBullet"/>
        <w:spacing w:after="50" w:line="252" w:lineRule="auto"/>
        <w:ind w:left="360" w:hanging="173"/>
      </w:pPr>
      <w:r>
        <w:rPr>
          <w:rFonts w:ascii="Carlito" w:hAnsi="Carlito" w:eastAsia="Carlito"/>
          <w:color w:val="20252B"/>
          <w:sz w:val="20"/>
        </w:rPr>
        <w:t>genome-wide cultivar-by-environment interaction;</w:t>
      </w:r>
    </w:p>
    <w:p>
      <w:pPr>
        <w:pStyle w:val="ListBullet"/>
        <w:spacing w:after="50" w:line="252" w:lineRule="auto"/>
        <w:ind w:left="360" w:hanging="173"/>
      </w:pPr>
      <w:r>
        <w:rPr>
          <w:rFonts w:ascii="Carlito" w:hAnsi="Carlito" w:eastAsia="Carlito"/>
          <w:color w:val="20252B"/>
          <w:sz w:val="20"/>
        </w:rPr>
        <w:t>agricultural crop and disease context;</w:t>
      </w:r>
    </w:p>
    <w:p>
      <w:pPr>
        <w:pStyle w:val="ListBullet"/>
        <w:spacing w:after="50" w:line="252" w:lineRule="auto"/>
        <w:ind w:left="360" w:hanging="173"/>
      </w:pPr>
      <w:r>
        <w:rPr>
          <w:rFonts w:ascii="Carlito" w:hAnsi="Carlito" w:eastAsia="Carlito"/>
          <w:color w:val="20252B"/>
          <w:sz w:val="20"/>
        </w:rPr>
        <w:t>transcriptomic and transcript-usage analyses;</w:t>
      </w:r>
    </w:p>
    <w:p>
      <w:pPr>
        <w:pStyle w:val="ListBullet"/>
        <w:spacing w:after="50" w:line="252" w:lineRule="auto"/>
        <w:ind w:left="360" w:hanging="173"/>
      </w:pPr>
      <w:r>
        <w:rPr>
          <w:rFonts w:ascii="Carlito" w:hAnsi="Carlito" w:eastAsia="Carlito"/>
          <w:color w:val="20252B"/>
          <w:sz w:val="20"/>
        </w:rPr>
        <w:t>strong statistical quality control; and</w:t>
      </w:r>
    </w:p>
    <w:p>
      <w:pPr>
        <w:pStyle w:val="ListBullet"/>
        <w:spacing w:after="50" w:line="252" w:lineRule="auto"/>
        <w:ind w:left="360" w:hanging="173"/>
      </w:pPr>
      <w:r>
        <w:rPr>
          <w:rFonts w:ascii="Carlito" w:hAnsi="Carlito" w:eastAsia="Carlito"/>
          <w:color w:val="20252B"/>
          <w:sz w:val="20"/>
        </w:rPr>
        <w:t>a reproducible workflow and candidate resource.</w:t>
      </w:r>
    </w:p>
    <w:p>
      <w:pPr>
        <w:keepNext w:val="0"/>
        <w:spacing w:after="100" w:line="259" w:lineRule="auto"/>
      </w:pPr>
      <w:r>
        <w:rPr>
          <w:rFonts w:ascii="Carlito" w:hAnsi="Carlito" w:eastAsia="Carlito"/>
          <w:b/>
          <w:color w:val="17365D"/>
          <w:sz w:val="21"/>
        </w:rPr>
        <w:t xml:space="preserve">Main risk: </w:t>
      </w:r>
      <w:r>
        <w:rPr>
          <w:rFonts w:ascii="Carlito" w:hAnsi="Carlito" w:eastAsia="Carlito"/>
          <w:color w:val="20252B"/>
          <w:sz w:val="21"/>
        </w:rPr>
        <w:t>G3 has a stronger genetics/genomics identity than a pure plant-pathology identity. Because the paper does not map genetic variants, identify loci through crosses, or introduce a new method, the fit is good but not perfect. A regular Investigation or possibly an Omics Report would be more appropriate than presenting it as a software or method paper.</w:t>
      </w:r>
    </w:p>
    <w:p>
      <w:pPr>
        <w:pStyle w:val="Heading2"/>
        <w:keepNext/>
        <w:spacing w:before="180" w:after="60"/>
      </w:pPr>
      <w:r>
        <w:t>PeerJ</w:t>
      </w:r>
    </w:p>
    <w:tbl>
      <w:tblPr>
        <w:tblW w:type="auto" w:w="0"/>
        <w:jc w:val="left"/>
        <w:tblLayout w:type="autofit"/>
        <w:tblLook w:firstColumn="1" w:firstRow="1" w:lastColumn="0" w:lastRow="0" w:noHBand="0" w:noVBand="1" w:val="04A0"/>
      </w:tblPr>
      <w:tblGrid>
        <w:gridCol w:w="9994"/>
      </w:tblGrid>
      <w:tr>
        <w:trPr>
          <w:cantSplit/>
        </w:trPr>
        <w:tc>
          <w:tcPr>
            <w:tcW w:type="dxa" w:w="9994"/>
            <w:shd w:fill="F4F6F8"/>
            <w:tcMar>
              <w:top w:w="70" w:type="dxa"/>
              <w:start w:w="120" w:type="dxa"/>
              <w:bottom w:w="70" w:type="dxa"/>
              <w:end w:w="120" w:type="dxa"/>
            </w:tcMar>
            <w:tcBorders>
              <w:top w:val="nil"/>
              <w:left w:val="single" w:sz="18" w:color="2E7D32"/>
              <w:bottom w:val="nil"/>
              <w:right w:val="nil"/>
            </w:tcBorders>
            <w:vAlign w:val="center"/>
          </w:tcPr>
          <w:p>
            <w:pPr>
              <w:spacing w:after="0" w:line="240" w:lineRule="auto"/>
            </w:pPr>
            <w:r>
              <w:rPr>
                <w:rFonts w:ascii="Carlito" w:hAnsi="Carlito" w:eastAsia="Carlito"/>
                <w:b/>
                <w:color w:val="5B6573"/>
                <w:sz w:val="20"/>
              </w:rPr>
              <w:t xml:space="preserve">Estimated wet-lab-request risk: </w:t>
            </w:r>
            <w:r>
              <w:rPr>
                <w:rFonts w:ascii="Carlito" w:hAnsi="Carlito" w:eastAsia="Carlito"/>
                <w:b/>
                <w:color w:val="2E7D32"/>
                <w:sz w:val="20"/>
              </w:rPr>
              <w:t>Low</w:t>
            </w:r>
          </w:p>
        </w:tc>
      </w:tr>
    </w:tbl>
    <w:p>
      <w:pPr>
        <w:spacing w:after="20" w:line="168" w:lineRule="auto"/>
      </w:pPr>
    </w:p>
    <w:p>
      <w:pPr>
        <w:keepNext w:val="0"/>
        <w:spacing w:after="100" w:line="259" w:lineRule="auto"/>
      </w:pPr>
      <w:r>
        <w:rPr>
          <w:rFonts w:ascii="Carlito" w:hAnsi="Carlito" w:eastAsia="Carlito"/>
          <w:color w:val="20252B"/>
          <w:sz w:val="21"/>
        </w:rPr>
        <w:t>PeerJ covers biology and life sciences and explicitly evaluates articles according to scientific and methodological soundness rather than perceived impact, novelty, or general interest. It also considers null findings and replication studies.</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20">
        <w:r>
          <w:rPr>
            <w:rFonts w:ascii="Carlito" w:hAnsi="Carlito"/>
            <w:color w:val="0563C1"/>
            <w:u w:val="single"/>
            <w:i/>
          </w:rPr>
          <w:t>PeerJ aims and scope</w:t>
        </w:r>
      </w:hyperlink>
    </w:p>
    <w:p>
      <w:pPr>
        <w:keepNext w:val="0"/>
        <w:spacing w:after="60" w:line="259" w:lineRule="auto"/>
      </w:pPr>
      <w:r>
        <w:rPr>
          <w:rFonts w:ascii="Carlito" w:hAnsi="Carlito" w:eastAsia="Carlito"/>
          <w:color w:val="20252B"/>
          <w:sz w:val="21"/>
        </w:rPr>
        <w:t>Why it fits:</w:t>
      </w:r>
    </w:p>
    <w:p>
      <w:pPr>
        <w:pStyle w:val="ListBullet"/>
        <w:spacing w:after="50" w:line="252" w:lineRule="auto"/>
        <w:ind w:left="360" w:hanging="173"/>
      </w:pPr>
      <w:r>
        <w:rPr>
          <w:rFonts w:ascii="Carlito" w:hAnsi="Carlito" w:eastAsia="Carlito"/>
          <w:color w:val="20252B"/>
          <w:sz w:val="20"/>
        </w:rPr>
        <w:t>a soundness-oriented review model;</w:t>
      </w:r>
    </w:p>
    <w:p>
      <w:pPr>
        <w:pStyle w:val="ListBullet"/>
        <w:spacing w:after="50" w:line="252" w:lineRule="auto"/>
        <w:ind w:left="360" w:hanging="173"/>
      </w:pPr>
      <w:r>
        <w:rPr>
          <w:rFonts w:ascii="Carlito" w:hAnsi="Carlito" w:eastAsia="Carlito"/>
          <w:color w:val="20252B"/>
          <w:sz w:val="20"/>
        </w:rPr>
        <w:t>conclusions are carefully limited to what the data support;</w:t>
      </w:r>
    </w:p>
    <w:p>
      <w:pPr>
        <w:pStyle w:val="ListBullet"/>
        <w:spacing w:after="50" w:line="252" w:lineRule="auto"/>
        <w:ind w:left="360" w:hanging="173"/>
      </w:pPr>
      <w:r>
        <w:rPr>
          <w:rFonts w:ascii="Carlito" w:hAnsi="Carlito" w:eastAsia="Carlito"/>
          <w:color w:val="20252B"/>
          <w:sz w:val="20"/>
        </w:rPr>
        <w:t>no causal claim is made without experimental intervention; and</w:t>
      </w:r>
    </w:p>
    <w:p>
      <w:pPr>
        <w:pStyle w:val="ListBullet"/>
        <w:spacing w:after="50" w:line="252" w:lineRule="auto"/>
        <w:ind w:left="360" w:hanging="173"/>
      </w:pPr>
      <w:r>
        <w:rPr>
          <w:rFonts w:ascii="Carlito" w:hAnsi="Carlito" w:eastAsia="Carlito"/>
          <w:color w:val="20252B"/>
          <w:sz w:val="20"/>
        </w:rPr>
        <w:t>open data, code, and detailed methods are important strengths.</w:t>
      </w:r>
    </w:p>
    <w:p>
      <w:pPr>
        <w:keepNext w:val="0"/>
        <w:spacing w:after="100" w:line="259" w:lineRule="auto"/>
      </w:pPr>
      <w:r>
        <w:rPr>
          <w:rFonts w:ascii="Carlito" w:hAnsi="Carlito" w:eastAsia="Carlito"/>
          <w:b/>
          <w:color w:val="17365D"/>
          <w:sz w:val="21"/>
        </w:rPr>
        <w:t xml:space="preserve">Main risk: </w:t>
      </w:r>
      <w:r>
        <w:rPr>
          <w:rFonts w:ascii="Carlito" w:hAnsi="Carlito" w:eastAsia="Carlito"/>
          <w:color w:val="20252B"/>
          <w:sz w:val="21"/>
        </w:rPr>
        <w:t>Like PLOS ONE and Royal Society Open Science, it is broad and may provide less direct exposure among plant pathologists.</w:t>
      </w:r>
    </w:p>
    <w:p>
      <w:pPr>
        <w:pStyle w:val="Heading2"/>
        <w:keepNext/>
        <w:spacing w:before="180" w:after="60"/>
      </w:pPr>
      <w:r>
        <w:t>Scientific Reports</w:t>
      </w:r>
    </w:p>
    <w:tbl>
      <w:tblPr>
        <w:tblW w:type="auto" w:w="0"/>
        <w:jc w:val="left"/>
        <w:tblLayout w:type="autofit"/>
        <w:tblLook w:firstColumn="1" w:firstRow="1" w:lastColumn="0" w:lastRow="0" w:noHBand="0" w:noVBand="1" w:val="04A0"/>
      </w:tblPr>
      <w:tblGrid>
        <w:gridCol w:w="9994"/>
      </w:tblGrid>
      <w:tr>
        <w:trPr>
          <w:cantSplit/>
        </w:trPr>
        <w:tc>
          <w:tcPr>
            <w:tcW w:type="dxa" w:w="9994"/>
            <w:shd w:fill="F4F6F8"/>
            <w:tcMar>
              <w:top w:w="70" w:type="dxa"/>
              <w:start w:w="120" w:type="dxa"/>
              <w:bottom w:w="70" w:type="dxa"/>
              <w:end w:w="120" w:type="dxa"/>
            </w:tcMar>
            <w:tcBorders>
              <w:top w:val="nil"/>
              <w:left w:val="single" w:sz="18" w:color="B26A00"/>
              <w:bottom w:val="nil"/>
              <w:right w:val="nil"/>
            </w:tcBorders>
            <w:vAlign w:val="center"/>
          </w:tcPr>
          <w:p>
            <w:pPr>
              <w:spacing w:after="0" w:line="240" w:lineRule="auto"/>
            </w:pPr>
            <w:r>
              <w:rPr>
                <w:rFonts w:ascii="Carlito" w:hAnsi="Carlito" w:eastAsia="Carlito"/>
                <w:b/>
                <w:color w:val="5B6573"/>
                <w:sz w:val="20"/>
              </w:rPr>
              <w:t xml:space="preserve">Estimated wet-lab-request risk: </w:t>
            </w:r>
            <w:r>
              <w:rPr>
                <w:rFonts w:ascii="Carlito" w:hAnsi="Carlito" w:eastAsia="Carlito"/>
                <w:b/>
                <w:color w:val="B26A00"/>
                <w:sz w:val="20"/>
              </w:rPr>
              <w:t>Medium</w:t>
            </w:r>
          </w:p>
        </w:tc>
      </w:tr>
    </w:tbl>
    <w:p>
      <w:pPr>
        <w:spacing w:after="20" w:line="168" w:lineRule="auto"/>
      </w:pPr>
    </w:p>
    <w:p>
      <w:pPr>
        <w:keepNext w:val="0"/>
        <w:spacing w:after="100" w:line="259" w:lineRule="auto"/>
      </w:pPr>
      <w:r>
        <w:rPr>
          <w:rFonts w:ascii="Carlito" w:hAnsi="Carlito" w:eastAsia="Carlito"/>
          <w:color w:val="20252B"/>
          <w:sz w:val="21"/>
        </w:rPr>
        <w:t>Scientific Reports sends manuscripts for review when they appear technically sound, scientifically valid, and within scope. It also formally supports preregistration and replication principles.</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s</w:t>
      </w:r>
      <w:r>
        <w:rPr>
          <w:rFonts w:ascii="Carlito" w:hAnsi="Carlito" w:eastAsia="Carlito"/>
          <w:i/>
          <w:color w:val="5B6573"/>
          <w:sz w:val="17"/>
        </w:rPr>
        <w:t xml:space="preserve">: </w:t>
      </w:r>
      <w:hyperlink r:id="rId21">
        <w:r>
          <w:rPr>
            <w:rFonts w:ascii="Carlito" w:hAnsi="Carlito"/>
            <w:color w:val="0563C1"/>
            <w:u w:val="single"/>
            <w:i/>
          </w:rPr>
          <w:t>Peer-review policy</w:t>
        </w:r>
      </w:hyperlink>
      <w:r>
        <w:rPr>
          <w:rFonts w:ascii="Carlito" w:hAnsi="Carlito" w:eastAsia="Carlito"/>
          <w:color w:val="5B6573"/>
          <w:sz w:val="17"/>
        </w:rPr>
        <w:t xml:space="preserve"> | </w:t>
      </w:r>
      <w:hyperlink r:id="rId22">
        <w:r>
          <w:rPr>
            <w:rFonts w:ascii="Carlito" w:hAnsi="Carlito"/>
            <w:color w:val="0563C1"/>
            <w:u w:val="single"/>
            <w:i/>
          </w:rPr>
          <w:t>Registered Reports policy</w:t>
        </w:r>
      </w:hyperlink>
    </w:p>
    <w:p>
      <w:pPr>
        <w:keepNext w:val="0"/>
        <w:spacing w:after="60" w:line="259" w:lineRule="auto"/>
      </w:pPr>
      <w:r>
        <w:rPr>
          <w:rFonts w:ascii="Carlito" w:hAnsi="Carlito" w:eastAsia="Carlito"/>
          <w:color w:val="20252B"/>
          <w:sz w:val="21"/>
        </w:rPr>
        <w:t>Why it is plausible:</w:t>
      </w:r>
    </w:p>
    <w:p>
      <w:pPr>
        <w:pStyle w:val="ListBullet"/>
        <w:spacing w:after="50" w:line="252" w:lineRule="auto"/>
        <w:ind w:left="360" w:hanging="173"/>
      </w:pPr>
      <w:r>
        <w:rPr>
          <w:rFonts w:ascii="Carlito" w:hAnsi="Carlito" w:eastAsia="Carlito"/>
          <w:color w:val="20252B"/>
          <w:sz w:val="20"/>
        </w:rPr>
        <w:t>technically extensive study;</w:t>
      </w:r>
    </w:p>
    <w:p>
      <w:pPr>
        <w:pStyle w:val="ListBullet"/>
        <w:spacing w:after="50" w:line="252" w:lineRule="auto"/>
        <w:ind w:left="360" w:hanging="173"/>
      </w:pPr>
      <w:r>
        <w:rPr>
          <w:rFonts w:ascii="Carlito" w:hAnsi="Carlito" w:eastAsia="Carlito"/>
          <w:color w:val="20252B"/>
          <w:sz w:val="20"/>
        </w:rPr>
        <w:t>multiple cohorts;</w:t>
      </w:r>
    </w:p>
    <w:p>
      <w:pPr>
        <w:pStyle w:val="ListBullet"/>
        <w:spacing w:after="50" w:line="252" w:lineRule="auto"/>
        <w:ind w:left="360" w:hanging="173"/>
      </w:pPr>
      <w:r>
        <w:rPr>
          <w:rFonts w:ascii="Carlito" w:hAnsi="Carlito" w:eastAsia="Carlito"/>
          <w:color w:val="20252B"/>
          <w:sz w:val="20"/>
        </w:rPr>
        <w:t>registered analysis plan;</w:t>
      </w:r>
    </w:p>
    <w:p>
      <w:pPr>
        <w:pStyle w:val="ListBullet"/>
        <w:spacing w:after="50" w:line="252" w:lineRule="auto"/>
        <w:ind w:left="360" w:hanging="173"/>
      </w:pPr>
      <w:r>
        <w:rPr>
          <w:rFonts w:ascii="Carlito" w:hAnsi="Carlito" w:eastAsia="Carlito"/>
          <w:color w:val="20252B"/>
          <w:sz w:val="20"/>
        </w:rPr>
        <w:t>external evaluation;</w:t>
      </w:r>
    </w:p>
    <w:p>
      <w:pPr>
        <w:pStyle w:val="ListBullet"/>
        <w:spacing w:after="50" w:line="252" w:lineRule="auto"/>
        <w:ind w:left="360" w:hanging="173"/>
      </w:pPr>
      <w:r>
        <w:rPr>
          <w:rFonts w:ascii="Carlito" w:hAnsi="Carlito" w:eastAsia="Carlito"/>
          <w:color w:val="20252B"/>
          <w:sz w:val="20"/>
        </w:rPr>
        <w:t>clear data and code availability; and</w:t>
      </w:r>
    </w:p>
    <w:p>
      <w:pPr>
        <w:pStyle w:val="ListBullet"/>
        <w:spacing w:after="50" w:line="252" w:lineRule="auto"/>
        <w:ind w:left="360" w:hanging="173"/>
      </w:pPr>
      <w:r>
        <w:rPr>
          <w:rFonts w:ascii="Carlito" w:hAnsi="Carlito" w:eastAsia="Carlito"/>
          <w:color w:val="20252B"/>
          <w:sz w:val="20"/>
        </w:rPr>
        <w:t>broad interest in problems of reproducibility and candidate instability.</w:t>
      </w:r>
    </w:p>
    <w:p>
      <w:pPr>
        <w:keepNext w:val="0"/>
        <w:spacing w:after="100" w:line="259" w:lineRule="auto"/>
      </w:pPr>
      <w:r>
        <w:rPr>
          <w:rFonts w:ascii="Carlito" w:hAnsi="Carlito" w:eastAsia="Carlito"/>
          <w:b/>
          <w:color w:val="17365D"/>
          <w:sz w:val="21"/>
        </w:rPr>
        <w:t xml:space="preserve">Main risk: </w:t>
      </w:r>
      <w:r>
        <w:rPr>
          <w:rFonts w:ascii="Carlito" w:hAnsi="Carlito" w:eastAsia="Carlito"/>
          <w:color w:val="20252B"/>
          <w:sz w:val="21"/>
        </w:rPr>
        <w:t>In practice, the editor and reviewers may expect a stronger general biological conclusion or more decisive external support. I would place it below Plant Direct, PhytoFrontiers, BMC Genomics, and BMC Plant Biology.</w:t>
      </w:r>
    </w:p>
    <w:p>
      <w:pPr>
        <w:pStyle w:val="Heading2"/>
        <w:keepNext/>
        <w:spacing w:before="180" w:after="60"/>
      </w:pPr>
      <w:r>
        <w:t>Frontiers in Plant Science - Plant Bioinformatics section</w:t>
      </w:r>
    </w:p>
    <w:tbl>
      <w:tblPr>
        <w:tblW w:type="auto" w:w="0"/>
        <w:jc w:val="left"/>
        <w:tblLayout w:type="autofit"/>
        <w:tblLook w:firstColumn="1" w:firstRow="1" w:lastColumn="0" w:lastRow="0" w:noHBand="0" w:noVBand="1" w:val="04A0"/>
      </w:tblPr>
      <w:tblGrid>
        <w:gridCol w:w="9994"/>
      </w:tblGrid>
      <w:tr>
        <w:trPr>
          <w:cantSplit/>
        </w:trPr>
        <w:tc>
          <w:tcPr>
            <w:tcW w:type="dxa" w:w="9994"/>
            <w:shd w:fill="F4F6F8"/>
            <w:tcMar>
              <w:top w:w="70" w:type="dxa"/>
              <w:start w:w="120" w:type="dxa"/>
              <w:bottom w:w="70" w:type="dxa"/>
              <w:end w:w="120" w:type="dxa"/>
            </w:tcMar>
            <w:tcBorders>
              <w:top w:val="nil"/>
              <w:left w:val="single" w:sz="18" w:color="A33A2B"/>
              <w:bottom w:val="nil"/>
              <w:right w:val="nil"/>
            </w:tcBorders>
            <w:vAlign w:val="center"/>
          </w:tcPr>
          <w:p>
            <w:pPr>
              <w:spacing w:after="0" w:line="240" w:lineRule="auto"/>
            </w:pPr>
            <w:r>
              <w:rPr>
                <w:rFonts w:ascii="Carlito" w:hAnsi="Carlito" w:eastAsia="Carlito"/>
                <w:b/>
                <w:color w:val="5B6573"/>
                <w:sz w:val="20"/>
              </w:rPr>
              <w:t xml:space="preserve">Estimated wet-lab-request risk: </w:t>
            </w:r>
            <w:r>
              <w:rPr>
                <w:rFonts w:ascii="Carlito" w:hAnsi="Carlito" w:eastAsia="Carlito"/>
                <w:b/>
                <w:color w:val="A33A2B"/>
                <w:sz w:val="20"/>
              </w:rPr>
              <w:t>Medium to high</w:t>
            </w:r>
          </w:p>
        </w:tc>
      </w:tr>
    </w:tbl>
    <w:p>
      <w:pPr>
        <w:spacing w:after="20" w:line="168" w:lineRule="auto"/>
      </w:pPr>
    </w:p>
    <w:p>
      <w:pPr>
        <w:keepNext w:val="0"/>
        <w:spacing w:after="100" w:line="259" w:lineRule="auto"/>
      </w:pPr>
      <w:r>
        <w:rPr>
          <w:rFonts w:ascii="Carlito" w:hAnsi="Carlito" w:eastAsia="Carlito"/>
          <w:color w:val="20252B"/>
          <w:sz w:val="21"/>
        </w:rPr>
        <w:t>The Plant Bioinformatics section explicitly welcomes computational analysis of plant omics and statistical modeling. It requires at least three biological replicates for quantitative analysis, which your datasets meet at the deposited-library level. However, it also says that purely descriptive gene-family or comparative transcriptomic studies without sufficiently deep biological insight will not be considered.</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23">
        <w:r>
          <w:rPr>
            <w:rFonts w:ascii="Carlito" w:hAnsi="Carlito"/>
            <w:color w:val="0563C1"/>
            <w:u w:val="single"/>
            <w:i/>
          </w:rPr>
          <w:t>Plant Bioinformatics section scope</w:t>
        </w:r>
      </w:hyperlink>
    </w:p>
    <w:p>
      <w:pPr>
        <w:keepNext w:val="0"/>
        <w:spacing w:after="60" w:line="259" w:lineRule="auto"/>
      </w:pPr>
      <w:r>
        <w:rPr>
          <w:rFonts w:ascii="Carlito" w:hAnsi="Carlito" w:eastAsia="Carlito"/>
          <w:color w:val="20252B"/>
          <w:sz w:val="21"/>
        </w:rPr>
        <w:t>Your paper is substantially more rigorous than a routine descriptive transcriptomic paper because it includes:</w:t>
      </w:r>
    </w:p>
    <w:p>
      <w:pPr>
        <w:pStyle w:val="ListBullet"/>
        <w:spacing w:after="50" w:line="252" w:lineRule="auto"/>
        <w:ind w:left="360" w:hanging="173"/>
      </w:pPr>
      <w:r>
        <w:rPr>
          <w:rFonts w:ascii="Carlito" w:hAnsi="Carlito" w:eastAsia="Carlito"/>
          <w:color w:val="20252B"/>
          <w:sz w:val="20"/>
        </w:rPr>
        <w:t>a true interaction model;</w:t>
      </w:r>
    </w:p>
    <w:p>
      <w:pPr>
        <w:pStyle w:val="ListBullet"/>
        <w:spacing w:after="50" w:line="252" w:lineRule="auto"/>
        <w:ind w:left="360" w:hanging="173"/>
      </w:pPr>
      <w:r>
        <w:rPr>
          <w:rFonts w:ascii="Carlito" w:hAnsi="Carlito" w:eastAsia="Carlito"/>
          <w:color w:val="20252B"/>
          <w:sz w:val="20"/>
        </w:rPr>
        <w:t>genome-wide multiple-testing control;</w:t>
      </w:r>
    </w:p>
    <w:p>
      <w:pPr>
        <w:pStyle w:val="ListBullet"/>
        <w:spacing w:after="50" w:line="252" w:lineRule="auto"/>
        <w:ind w:left="360" w:hanging="173"/>
      </w:pPr>
      <w:r>
        <w:rPr>
          <w:rFonts w:ascii="Carlito" w:hAnsi="Carlito" w:eastAsia="Carlito"/>
          <w:color w:val="20252B"/>
          <w:sz w:val="20"/>
        </w:rPr>
        <w:t>alternative quantification and statistical frameworks;</w:t>
      </w:r>
    </w:p>
    <w:p>
      <w:pPr>
        <w:pStyle w:val="ListBullet"/>
        <w:spacing w:after="50" w:line="252" w:lineRule="auto"/>
        <w:ind w:left="360" w:hanging="173"/>
      </w:pPr>
      <w:r>
        <w:rPr>
          <w:rFonts w:ascii="Carlito" w:hAnsi="Carlito" w:eastAsia="Carlito"/>
          <w:color w:val="20252B"/>
          <w:sz w:val="20"/>
        </w:rPr>
        <w:t>leave-one-library-out analysis;</w:t>
      </w:r>
    </w:p>
    <w:p>
      <w:pPr>
        <w:pStyle w:val="ListBullet"/>
        <w:spacing w:after="50" w:line="252" w:lineRule="auto"/>
        <w:ind w:left="360" w:hanging="173"/>
      </w:pPr>
      <w:r>
        <w:rPr>
          <w:rFonts w:ascii="Carlito" w:hAnsi="Carlito" w:eastAsia="Carlito"/>
          <w:color w:val="20252B"/>
          <w:sz w:val="20"/>
        </w:rPr>
        <w:t>a frozen external evaluation;</w:t>
      </w:r>
    </w:p>
    <w:p>
      <w:pPr>
        <w:pStyle w:val="ListBullet"/>
        <w:spacing w:after="50" w:line="252" w:lineRule="auto"/>
        <w:ind w:left="360" w:hanging="173"/>
      </w:pPr>
      <w:r>
        <w:rPr>
          <w:rFonts w:ascii="Carlito" w:hAnsi="Carlito" w:eastAsia="Carlito"/>
          <w:color w:val="20252B"/>
          <w:sz w:val="20"/>
        </w:rPr>
        <w:t>power simulations; and</w:t>
      </w:r>
    </w:p>
    <w:p>
      <w:pPr>
        <w:pStyle w:val="ListBullet"/>
        <w:spacing w:after="50" w:line="252" w:lineRule="auto"/>
        <w:ind w:left="360" w:hanging="173"/>
      </w:pPr>
      <w:r>
        <w:rPr>
          <w:rFonts w:ascii="Carlito" w:hAnsi="Carlito" w:eastAsia="Carlito"/>
          <w:color w:val="20252B"/>
          <w:sz w:val="20"/>
        </w:rPr>
        <w:t>explicit contradictory and null outcomes.</w:t>
      </w:r>
    </w:p>
    <w:p>
      <w:pPr>
        <w:keepNext w:val="0"/>
        <w:spacing w:after="120" w:line="259" w:lineRule="auto"/>
      </w:pPr>
      <w:r>
        <w:rPr>
          <w:rFonts w:ascii="Carlito" w:hAnsi="Carlito" w:eastAsia="Carlito"/>
          <w:color w:val="20252B"/>
          <w:sz w:val="21"/>
        </w:rPr>
        <w:t>Nevertheless, Frontiers reviewers may still request qPCR or functional support. It is a reasonable later option, but not my first choice.</w:t>
      </w:r>
    </w:p>
    <w:p>
      <w:pPr>
        <w:pStyle w:val="Heading1"/>
        <w:keepNext/>
        <w:spacing w:before="200" w:after="80"/>
      </w:pPr>
      <w:r>
        <w:rPr>
          <w:rFonts w:ascii="Carlito" w:hAnsi="Carlito" w:eastAsia="Carlito"/>
          <w:b/>
          <w:color w:val="17365D"/>
          <w:sz w:val="32"/>
        </w:rPr>
        <w:t>Journals I would not prioritize</w:t>
      </w:r>
    </w:p>
    <w:p>
      <w:pPr>
        <w:pStyle w:val="Heading2"/>
        <w:keepNext/>
        <w:spacing w:before="160" w:after="60"/>
      </w:pPr>
      <w:r>
        <w:rPr>
          <w:rFonts w:ascii="Carlito" w:hAnsi="Carlito" w:eastAsia="Carlito"/>
          <w:b/>
          <w:color w:val="1F6D7A"/>
          <w:sz w:val="25"/>
        </w:rPr>
        <w:t>Functional &amp; Integrative Genomics</w:t>
      </w:r>
    </w:p>
    <w:p>
      <w:pPr>
        <w:keepNext w:val="0"/>
        <w:spacing w:after="80" w:line="259" w:lineRule="auto"/>
      </w:pPr>
      <w:r>
        <w:rPr>
          <w:rFonts w:ascii="Carlito" w:hAnsi="Carlito" w:eastAsia="Carlito"/>
          <w:color w:val="20252B"/>
          <w:sz w:val="21"/>
        </w:rPr>
        <w:t>This journal's current instructions explicitly state that a research article's major new finding must be "experimentally supported." That makes it a poor match for the present manuscript.</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24">
        <w:r>
          <w:rPr>
            <w:rFonts w:ascii="Carlito" w:hAnsi="Carlito"/>
            <w:color w:val="0563C1"/>
            <w:u w:val="single"/>
            <w:i/>
          </w:rPr>
          <w:t>Submission guidelines</w:t>
        </w:r>
      </w:hyperlink>
    </w:p>
    <w:p>
      <w:pPr>
        <w:pStyle w:val="Heading2"/>
        <w:keepNext/>
        <w:spacing w:before="160" w:after="60"/>
      </w:pPr>
      <w:r>
        <w:rPr>
          <w:rFonts w:ascii="Carlito" w:hAnsi="Carlito" w:eastAsia="Carlito"/>
          <w:b/>
          <w:color w:val="1F6D7A"/>
          <w:sz w:val="25"/>
        </w:rPr>
        <w:t>Mechanism-focused plant journals</w:t>
      </w:r>
    </w:p>
    <w:p>
      <w:pPr>
        <w:keepNext w:val="0"/>
        <w:spacing w:after="120" w:line="259" w:lineRule="auto"/>
      </w:pPr>
      <w:r>
        <w:rPr>
          <w:rFonts w:ascii="Carlito" w:hAnsi="Carlito" w:eastAsia="Carlito"/>
          <w:color w:val="20252B"/>
          <w:sz w:val="21"/>
        </w:rPr>
        <w:t>I would not initially target Plant Physiology, The Plant Journal, Molecular Plant Pathology, Molecular Plant-Microbe Interactions, or Horticulture Research. Submission is not formally impossible, but the probability of requests for qPCR, inoculation experiments, gene perturbation, resistant/susceptible phenotype confirmation, or promoter assays is high.</w:t>
      </w:r>
    </w:p>
    <w:p>
      <w:pPr>
        <w:pStyle w:val="Heading2"/>
        <w:keepNext/>
        <w:spacing w:before="160" w:after="60"/>
      </w:pPr>
      <w:r>
        <w:rPr>
          <w:rFonts w:ascii="Carlito" w:hAnsi="Carlito" w:eastAsia="Carlito"/>
          <w:b/>
          <w:color w:val="1F6D7A"/>
          <w:sz w:val="25"/>
        </w:rPr>
        <w:t>Method-development journals and archival bioinformatics proceedings</w:t>
      </w:r>
    </w:p>
    <w:p>
      <w:pPr>
        <w:keepNext w:val="0"/>
        <w:spacing w:after="120" w:line="259" w:lineRule="auto"/>
      </w:pPr>
      <w:r>
        <w:rPr>
          <w:rFonts w:ascii="Carlito" w:hAnsi="Carlito" w:eastAsia="Carlito"/>
          <w:color w:val="20252B"/>
          <w:sz w:val="21"/>
        </w:rPr>
        <w:t>Plant Methods, BMC Bioinformatics, Bioinformatics, and computational conference proceedings are poor primary targets because the manuscript applies and integrates established methods rather than introducing a new algorithm or software platform.</w:t>
      </w:r>
    </w:p>
    <w:p>
      <w:pPr>
        <w:pStyle w:val="Heading1"/>
        <w:keepNext/>
        <w:spacing w:before="200" w:after="80"/>
      </w:pPr>
      <w:r>
        <w:rPr>
          <w:rFonts w:ascii="Carlito" w:hAnsi="Carlito" w:eastAsia="Carlito"/>
          <w:b/>
          <w:color w:val="17365D"/>
          <w:sz w:val="32"/>
        </w:rPr>
        <w:t>Conference options</w:t>
      </w:r>
    </w:p>
    <w:p>
      <w:pPr>
        <w:keepNext w:val="0"/>
        <w:spacing w:after="120" w:line="259" w:lineRule="auto"/>
      </w:pPr>
      <w:r>
        <w:rPr>
          <w:rFonts w:ascii="Carlito" w:hAnsi="Carlito" w:eastAsia="Carlito"/>
          <w:color w:val="20252B"/>
          <w:sz w:val="21"/>
        </w:rPr>
        <w:t>A conference presentation could increase visibility and obtain expert feedback, but it should be considered in addition to a journal submission, not a replacement for the archival paper.</w:t>
      </w:r>
    </w:p>
    <w:p>
      <w:pPr>
        <w:pStyle w:val="Heading2"/>
        <w:keepNext/>
        <w:spacing w:before="180" w:after="60"/>
      </w:pPr>
      <w:r>
        <w:rPr>
          <w:rFonts w:ascii="Carlito" w:hAnsi="Carlito" w:eastAsia="Carlito"/>
          <w:b/>
          <w:color w:val="1F6D7A"/>
          <w:sz w:val="26"/>
        </w:rPr>
        <w:t>1. Plant and Animal Genome Conference 34</w:t>
      </w:r>
      <w:r>
        <w:rPr>
          <w:rFonts w:ascii="Carlito" w:hAnsi="Carlito" w:eastAsia="Carlito"/>
          <w:b/>
          <w:color w:val="1F6D7A"/>
          <w:sz w:val="26"/>
        </w:rPr>
        <w:t xml:space="preserve"> - best immediate conference option</w:t>
      </w:r>
    </w:p>
    <w:p>
      <w:pPr>
        <w:keepNext w:val="0"/>
        <w:spacing w:after="100" w:line="259" w:lineRule="auto"/>
      </w:pPr>
      <w:r>
        <w:rPr>
          <w:rFonts w:ascii="Carlito" w:hAnsi="Carlito" w:eastAsia="Carlito"/>
          <w:color w:val="20252B"/>
          <w:sz w:val="21"/>
        </w:rPr>
        <w:t>PAG 34 will be held January 8-12, 2027, in San Diego and describes itself as a major agricultural-genomics meeting.</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25">
        <w:r>
          <w:rPr>
            <w:rFonts w:ascii="Carlito" w:hAnsi="Carlito"/>
            <w:color w:val="0563C1"/>
            <w:u w:val="single"/>
            <w:i/>
          </w:rPr>
          <w:t>PAG 34</w:t>
        </w:r>
      </w:hyperlink>
    </w:p>
    <w:p>
      <w:pPr>
        <w:keepNext w:val="0"/>
        <w:spacing w:after="60" w:line="259" w:lineRule="auto"/>
      </w:pPr>
      <w:r>
        <w:rPr>
          <w:rFonts w:ascii="Carlito" w:hAnsi="Carlito" w:eastAsia="Carlito"/>
          <w:color w:val="20252B"/>
          <w:sz w:val="21"/>
        </w:rPr>
        <w:t>Poster abstracts:</w:t>
      </w:r>
    </w:p>
    <w:p>
      <w:pPr>
        <w:pStyle w:val="ListBullet"/>
        <w:spacing w:after="50" w:line="252" w:lineRule="auto"/>
        <w:ind w:left="360" w:hanging="173"/>
      </w:pPr>
      <w:r>
        <w:rPr>
          <w:rFonts w:ascii="Carlito" w:hAnsi="Carlito" w:eastAsia="Carlito"/>
          <w:color w:val="20252B"/>
          <w:sz w:val="20"/>
        </w:rPr>
        <w:t>are limited to 500 words;</w:t>
      </w:r>
    </w:p>
    <w:p>
      <w:pPr>
        <w:pStyle w:val="ListBullet"/>
        <w:spacing w:after="50" w:line="252" w:lineRule="auto"/>
        <w:ind w:left="360" w:hanging="173"/>
      </w:pPr>
      <w:r>
        <w:rPr>
          <w:rFonts w:ascii="Carlito" w:hAnsi="Carlito" w:eastAsia="Carlito"/>
          <w:color w:val="20252B"/>
          <w:sz w:val="20"/>
        </w:rPr>
        <w:t>are due November 6, 2026;</w:t>
      </w:r>
    </w:p>
    <w:p>
      <w:pPr>
        <w:pStyle w:val="ListBullet"/>
        <w:spacing w:after="50" w:line="252" w:lineRule="auto"/>
        <w:ind w:left="360" w:hanging="173"/>
      </w:pPr>
      <w:r>
        <w:rPr>
          <w:rFonts w:ascii="Carlito" w:hAnsi="Carlito" w:eastAsia="Carlito"/>
          <w:color w:val="20252B"/>
          <w:sz w:val="20"/>
        </w:rPr>
        <w:t>are reviewed and placed in the online program and later archive; and</w:t>
      </w:r>
    </w:p>
    <w:p>
      <w:pPr>
        <w:pStyle w:val="ListBullet"/>
        <w:spacing w:after="50" w:line="252" w:lineRule="auto"/>
        <w:ind w:left="360" w:hanging="173"/>
      </w:pPr>
      <w:r>
        <w:rPr>
          <w:rFonts w:ascii="Carlito" w:hAnsi="Carlito" w:eastAsia="Carlito"/>
          <w:color w:val="20252B"/>
          <w:sz w:val="20"/>
        </w:rPr>
        <w:t>require the presenting author to have full conference registration.</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26">
        <w:r>
          <w:rPr>
            <w:rFonts w:ascii="Carlito" w:hAnsi="Carlito"/>
            <w:color w:val="0563C1"/>
            <w:u w:val="single"/>
            <w:i/>
          </w:rPr>
          <w:t>Poster abstract instructions</w:t>
        </w:r>
      </w:hyperlink>
    </w:p>
    <w:p>
      <w:pPr>
        <w:keepNext w:val="0"/>
        <w:spacing w:after="120" w:line="259" w:lineRule="auto"/>
      </w:pPr>
      <w:r>
        <w:rPr>
          <w:rFonts w:ascii="Carlito" w:hAnsi="Carlito" w:eastAsia="Carlito"/>
          <w:color w:val="20252B"/>
          <w:sz w:val="21"/>
        </w:rPr>
        <w:t>This is probably the best conference audience for the genome-scale and crop components of the study. A poster should emphasize the evidence-attrition figure, external evaluation, context dependence, and the 12 Tier B candidates.</w:t>
      </w:r>
    </w:p>
    <w:p>
      <w:pPr>
        <w:pStyle w:val="Heading2"/>
        <w:keepNext/>
        <w:spacing w:before="180" w:after="60"/>
      </w:pPr>
      <w:r>
        <w:rPr>
          <w:rFonts w:ascii="Carlito" w:hAnsi="Carlito" w:eastAsia="Carlito"/>
          <w:b/>
          <w:color w:val="1F6D7A"/>
          <w:sz w:val="26"/>
        </w:rPr>
        <w:t>2. Plant Biology 2027</w:t>
      </w:r>
    </w:p>
    <w:p>
      <w:pPr>
        <w:keepNext w:val="0"/>
        <w:spacing w:after="80" w:line="259" w:lineRule="auto"/>
      </w:pPr>
      <w:r>
        <w:rPr>
          <w:rFonts w:ascii="Carlito" w:hAnsi="Carlito" w:eastAsia="Carlito"/>
          <w:color w:val="20252B"/>
          <w:sz w:val="21"/>
        </w:rPr>
        <w:t>The ASPB Plant Biology meeting will accept independent abstracts from September 11, 2026 through January 8, 2027. Selected abstracts receive a concurrent-session talk; others may be offered poster presentation. The meeting is in Albuquerque, New Mexico.</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27">
        <w:r>
          <w:rPr>
            <w:rFonts w:ascii="Carlito" w:hAnsi="Carlito"/>
            <w:color w:val="0563C1"/>
            <w:u w:val="single"/>
            <w:i/>
          </w:rPr>
          <w:t>Abstract submission information</w:t>
        </w:r>
      </w:hyperlink>
    </w:p>
    <w:p>
      <w:pPr>
        <w:keepNext w:val="0"/>
        <w:spacing w:after="120" w:line="259" w:lineRule="auto"/>
      </w:pPr>
      <w:r>
        <w:rPr>
          <w:rFonts w:ascii="Carlito" w:hAnsi="Carlito" w:eastAsia="Carlito"/>
          <w:color w:val="20252B"/>
          <w:sz w:val="21"/>
        </w:rPr>
        <w:t>This is a strong venue for presenting the work under topics such as computational biology, genes and genomes, transcriptional networks, or plant-microbe pathogenesis.</w:t>
      </w:r>
    </w:p>
    <w:p>
      <w:pPr>
        <w:pStyle w:val="Heading2"/>
        <w:keepNext/>
        <w:spacing w:before="180" w:after="60"/>
      </w:pPr>
      <w:r>
        <w:rPr>
          <w:rFonts w:ascii="Carlito" w:hAnsi="Carlito" w:eastAsia="Carlito"/>
          <w:b/>
          <w:color w:val="1F6D7A"/>
          <w:sz w:val="26"/>
        </w:rPr>
        <w:t>3. APS Plant Health 2027</w:t>
      </w:r>
    </w:p>
    <w:p>
      <w:pPr>
        <w:keepNext w:val="0"/>
        <w:spacing w:after="80" w:line="259" w:lineRule="auto"/>
      </w:pPr>
      <w:r>
        <w:rPr>
          <w:rFonts w:ascii="Carlito" w:hAnsi="Carlito" w:eastAsia="Carlito"/>
          <w:color w:val="20252B"/>
          <w:sz w:val="21"/>
        </w:rPr>
        <w:t>Plant Health 2027, the annual meeting of the American Phytopathological Society, will take place July 31-August 3, 2027, in Minneapolis and will include scientific sessions, posters, and workshops across plant pathology.</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28">
        <w:r>
          <w:rPr>
            <w:rFonts w:ascii="Carlito" w:hAnsi="Carlito"/>
            <w:color w:val="0563C1"/>
            <w:u w:val="single"/>
            <w:i/>
          </w:rPr>
          <w:t>Plant Health 2027</w:t>
        </w:r>
      </w:hyperlink>
    </w:p>
    <w:p>
      <w:pPr>
        <w:keepNext w:val="0"/>
        <w:spacing w:after="120" w:line="259" w:lineRule="auto"/>
      </w:pPr>
      <w:r>
        <w:rPr>
          <w:rFonts w:ascii="Carlito" w:hAnsi="Carlito" w:eastAsia="Carlito"/>
          <w:color w:val="20252B"/>
          <w:sz w:val="21"/>
        </w:rPr>
        <w:t>This is the most directly relevant conference audience for the Peronophythora litchii disease story. The 2027 abstract call does not yet appear to be posted, so it is worth monitoring.</w:t>
      </w:r>
    </w:p>
    <w:p>
      <w:pPr>
        <w:pStyle w:val="Heading2"/>
        <w:keepNext/>
        <w:spacing w:before="180" w:after="60"/>
      </w:pPr>
      <w:r>
        <w:rPr>
          <w:rFonts w:ascii="Carlito" w:hAnsi="Carlito" w:eastAsia="Carlito"/>
          <w:b/>
          <w:color w:val="1F6D7A"/>
          <w:sz w:val="26"/>
        </w:rPr>
        <w:t>4. ISMB/ECCB 2027</w:t>
      </w:r>
      <w:r>
        <w:rPr>
          <w:rFonts w:ascii="Carlito" w:hAnsi="Carlito" w:eastAsia="Carlito"/>
          <w:b/>
          <w:color w:val="1F6D7A"/>
          <w:sz w:val="26"/>
        </w:rPr>
        <w:t xml:space="preserve"> - poster rather than proceedings paper</w:t>
      </w:r>
    </w:p>
    <w:p>
      <w:pPr>
        <w:keepNext w:val="0"/>
        <w:spacing w:after="80" w:line="259" w:lineRule="auto"/>
      </w:pPr>
      <w:r>
        <w:rPr>
          <w:rFonts w:ascii="Carlito" w:hAnsi="Carlito" w:eastAsia="Carlito"/>
          <w:color w:val="20252B"/>
          <w:sz w:val="21"/>
        </w:rPr>
        <w:t>ISMB/ECCB 2027 will be held July 18-22 in Copenhagen and is a major computational biology meeting. A poster could be framed around preregistration, analysis robustness, genome-wide interaction testing, and external transportability. It is less attractive than PAG or Plant Health for reaching lychee and plant-pathology researchers, and I would not target its full-paper proceedings route without a genuinely new computational method.</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29">
        <w:r>
          <w:rPr>
            <w:rFonts w:ascii="Carlito" w:hAnsi="Carlito"/>
            <w:color w:val="0563C1"/>
            <w:u w:val="single"/>
            <w:i/>
          </w:rPr>
          <w:t>ISMB/ECCB 2027</w:t>
        </w:r>
      </w:hyperlink>
    </w:p>
    <w:p>
      <w:pPr>
        <w:pStyle w:val="Heading1"/>
        <w:keepNext/>
        <w:spacing w:before="200" w:after="80"/>
      </w:pPr>
      <w:r>
        <w:rPr>
          <w:rFonts w:ascii="Carlito" w:hAnsi="Carlito" w:eastAsia="Carlito"/>
          <w:b/>
          <w:color w:val="17365D"/>
          <w:sz w:val="32"/>
        </w:rPr>
        <w:t>How I would submit it</w:t>
      </w:r>
    </w:p>
    <w:p>
      <w:pPr/>
      <w:r>
        <w:t>For the fastest low-risk path, I would submit in this order:</w:t>
      </w:r>
    </w:p>
    <w:p>
      <w:pPr>
        <w:spacing w:after="20"/>
        <w:ind w:left="288" w:hanging="288"/>
      </w:pPr>
      <w:r>
        <w:t>1.  Plant Direct</w:t>
      </w:r>
    </w:p>
    <w:p>
      <w:pPr>
        <w:spacing w:after="20"/>
        <w:ind w:left="288" w:hanging="288"/>
      </w:pPr>
      <w:r>
        <w:t>2.  Royal Society Open Science</w:t>
      </w:r>
    </w:p>
    <w:p>
      <w:pPr>
        <w:spacing w:after="20"/>
        <w:ind w:left="288" w:hanging="288"/>
      </w:pPr>
      <w:r>
        <w:t>3.  PeerJ</w:t>
      </w:r>
    </w:p>
    <w:p>
      <w:pPr>
        <w:spacing w:after="20"/>
        <w:ind w:left="288" w:hanging="288"/>
      </w:pPr>
      <w:r>
        <w:t>4.  PhytoFrontiers</w:t>
      </w:r>
    </w:p>
    <w:p>
      <w:pPr>
        <w:spacing w:after="20"/>
        <w:ind w:left="288" w:hanging="288"/>
      </w:pPr>
      <w:r>
        <w:t>5.  PLOS ONE</w:t>
      </w:r>
    </w:p>
    <w:p>
      <w:pPr>
        <w:spacing w:after="20"/>
        <w:ind w:left="288" w:hanging="288"/>
      </w:pPr>
      <w:r>
        <w:t>6.  BMC Genomics</w:t>
      </w:r>
    </w:p>
    <w:p>
      <w:pPr>
        <w:spacing w:after="20"/>
        <w:ind w:left="288" w:hanging="288"/>
      </w:pPr>
      <w:r>
        <w:t>7.  BMC Plant Biology</w:t>
      </w:r>
    </w:p>
    <w:p>
      <w:pPr>
        <w:spacing w:after="20"/>
        <w:ind w:left="288" w:hanging="288"/>
      </w:pPr>
      <w:r>
        <w:t>8.  G3: Genes|Genomes|Genetics</w:t>
      </w:r>
    </w:p>
    <w:p>
      <w:pPr>
        <w:spacing w:after="20"/>
        <w:ind w:left="288" w:hanging="288"/>
      </w:pPr>
      <w:r>
        <w:t>9.  Scientific Reports</w:t>
      </w:r>
    </w:p>
    <w:p>
      <w:pPr>
        <w:spacing w:after="20"/>
        <w:ind w:left="288" w:hanging="288"/>
      </w:pPr>
      <w:r>
        <w:t>10.  Frontiers in Plant Science</w:t>
      </w:r>
    </w:p>
    <w:p>
      <w:pPr/>
      <w:r>
        <w:t>Optional exception: because the BMC Genomics collection is time-limited and the journal reports a 4-day median first decision, one attempt there before Plant Direct is reasonable only if you are comfortable with its higher desk-rejection risk. Prepare the Plant Direct files in parallel so that a rejection causes no additional delay.</w:t>
      </w:r>
    </w:p>
    <w:p>
      <w:pPr>
        <w:pStyle w:val="Heading1"/>
        <w:keepNext/>
        <w:spacing w:before="200" w:after="80"/>
      </w:pPr>
      <w:r>
        <w:rPr>
          <w:rFonts w:ascii="Carlito" w:hAnsi="Carlito" w:eastAsia="Carlito"/>
          <w:b/>
          <w:color w:val="17365D"/>
          <w:sz w:val="32"/>
        </w:rPr>
        <w:t>Important positioning changes before submission</w:t>
      </w:r>
    </w:p>
    <w:p>
      <w:pPr>
        <w:pStyle w:val="Heading2"/>
        <w:keepNext/>
        <w:spacing w:before="160" w:after="60"/>
      </w:pPr>
      <w:r>
        <w:rPr>
          <w:rFonts w:ascii="Carlito" w:hAnsi="Carlito" w:eastAsia="Carlito"/>
          <w:b/>
          <w:color w:val="1F6D7A"/>
          <w:sz w:val="25"/>
        </w:rPr>
        <w:t>Use "external evaluation," not unqualified "validation"</w:t>
      </w:r>
    </w:p>
    <w:p>
      <w:pPr>
        <w:keepNext w:val="0"/>
        <w:spacing w:after="60" w:line="259" w:lineRule="auto"/>
      </w:pPr>
      <w:r>
        <w:rPr>
          <w:rFonts w:ascii="Carlito" w:hAnsi="Carlito" w:eastAsia="Carlito"/>
          <w:color w:val="20252B"/>
          <w:sz w:val="21"/>
        </w:rPr>
        <w:t>A strong cover-letter sentence would be:</w:t>
      </w:r>
    </w:p>
    <w:tbl>
      <w:tblPr>
        <w:tblW w:type="auto" w:w="0"/>
        <w:jc w:val="center"/>
        <w:tblLayout w:type="autofit"/>
        <w:tblLook w:firstColumn="1" w:firstRow="1" w:lastColumn="0" w:lastRow="0" w:noHBand="0" w:noVBand="1" w:val="04A0"/>
      </w:tblPr>
      <w:tblGrid>
        <w:gridCol w:w="9994"/>
      </w:tblGrid>
      <w:tr>
        <w:trPr>
          <w:cantSplit/>
        </w:trPr>
        <w:tc>
          <w:tcPr>
            <w:tcW w:type="dxa" w:w="9994"/>
            <w:shd w:fill="EAF6F6"/>
            <w:tcMar>
              <w:top w:w="150" w:type="dxa"/>
              <w:start w:w="220" w:type="dxa"/>
              <w:bottom w:w="150" w:type="dxa"/>
              <w:end w:w="220" w:type="dxa"/>
            </w:tcMar>
            <w:tcBorders>
              <w:top w:val="single" w:sz="4" w:color="C9E4E4"/>
              <w:left w:val="single" w:sz="22" w:color="1F6D7A"/>
              <w:bottom w:val="single" w:sz="4" w:color="C9E4E4"/>
              <w:right w:val="single" w:sz="4" w:color="C9E4E4"/>
            </w:tcBorders>
            <w:vAlign w:val="center"/>
          </w:tcPr>
          <w:p>
            <w:pPr>
              <w:spacing w:after="0" w:line="252" w:lineRule="auto"/>
            </w:pPr>
            <w:r>
              <w:rPr>
                <w:rFonts w:ascii="Carlito" w:hAnsi="Carlito" w:eastAsia="Carlito"/>
                <w:i/>
                <w:color w:val="20454B"/>
                <w:sz w:val="21"/>
              </w:rPr>
              <w:t>"This study reports a prospectively registered computational analysis of public lychee-P. litchii transcriptomes, including genome-wide interaction testing, predeclared robustness analyses, and frozen cross-context external evaluation."</w:t>
            </w:r>
          </w:p>
        </w:tc>
      </w:tr>
    </w:tbl>
    <w:p>
      <w:pPr>
        <w:spacing w:after="20" w:line="168" w:lineRule="auto"/>
      </w:pPr>
    </w:p>
    <w:p>
      <w:pPr>
        <w:keepNext w:val="0"/>
        <w:spacing w:after="60" w:line="259" w:lineRule="auto"/>
      </w:pPr>
      <w:r>
        <w:rPr>
          <w:rFonts w:ascii="Carlito" w:hAnsi="Carlito" w:eastAsia="Carlito"/>
          <w:color w:val="20252B"/>
          <w:sz w:val="21"/>
        </w:rPr>
        <w:t>Do not say that the candidates were "independently validated." A more accurate formulation is:</w:t>
      </w:r>
    </w:p>
    <w:tbl>
      <w:tblPr>
        <w:tblW w:type="auto" w:w="0"/>
        <w:jc w:val="center"/>
        <w:tblLayout w:type="autofit"/>
        <w:tblLook w:firstColumn="1" w:firstRow="1" w:lastColumn="0" w:lastRow="0" w:noHBand="0" w:noVBand="1" w:val="04A0"/>
      </w:tblPr>
      <w:tblGrid>
        <w:gridCol w:w="9994"/>
      </w:tblGrid>
      <w:tr>
        <w:trPr>
          <w:cantSplit/>
        </w:trPr>
        <w:tc>
          <w:tcPr>
            <w:tcW w:type="dxa" w:w="9994"/>
            <w:shd w:fill="EAF6F6"/>
            <w:tcMar>
              <w:top w:w="150" w:type="dxa"/>
              <w:start w:w="220" w:type="dxa"/>
              <w:bottom w:w="150" w:type="dxa"/>
              <w:end w:w="220" w:type="dxa"/>
            </w:tcMar>
            <w:tcBorders>
              <w:top w:val="single" w:sz="4" w:color="C9E4E4"/>
              <w:left w:val="single" w:sz="22" w:color="1F6D7A"/>
              <w:bottom w:val="single" w:sz="4" w:color="C9E4E4"/>
              <w:right w:val="single" w:sz="4" w:color="C9E4E4"/>
            </w:tcBorders>
            <w:vAlign w:val="center"/>
          </w:tcPr>
          <w:p>
            <w:pPr>
              <w:spacing w:after="0" w:line="252" w:lineRule="auto"/>
            </w:pPr>
            <w:r>
              <w:rPr>
                <w:rFonts w:ascii="Carlito" w:hAnsi="Carlito" w:eastAsia="Carlito"/>
                <w:i/>
                <w:color w:val="20454B"/>
                <w:sz w:val="21"/>
              </w:rPr>
              <w:t>"Two genes received prespecified cross-context support in an independent cohort, while five showed significant opposite-direction effects."</w:t>
            </w:r>
          </w:p>
        </w:tc>
      </w:tr>
    </w:tbl>
    <w:p>
      <w:pPr>
        <w:spacing w:after="20" w:line="168" w:lineRule="auto"/>
      </w:pPr>
    </w:p>
    <w:p>
      <w:pPr>
        <w:pStyle w:val="Heading2"/>
        <w:keepNext/>
        <w:spacing w:before="160" w:after="60"/>
      </w:pPr>
      <w:r>
        <w:rPr>
          <w:rFonts w:ascii="Carlito" w:hAnsi="Carlito" w:eastAsia="Carlito"/>
          <w:b/>
          <w:color w:val="1F6D7A"/>
          <w:sz w:val="25"/>
        </w:rPr>
        <w:t>Present the negative findings as the central result</w:t>
      </w:r>
    </w:p>
    <w:p>
      <w:pPr>
        <w:keepNext w:val="0"/>
        <w:spacing w:after="120" w:line="259" w:lineRule="auto"/>
      </w:pPr>
      <w:r>
        <w:rPr>
          <w:rFonts w:ascii="Carlito" w:hAnsi="Carlito" w:eastAsia="Carlito"/>
          <w:color w:val="20252B"/>
          <w:sz w:val="21"/>
        </w:rPr>
        <w:t>The zero overlap and weak transport are not embarrassing side findings. They demonstrate why candidate lists obtained from three-replicate transcriptomic experiments should not automatically be treated as portable resistance markers. That is arguably the most general lesson in the paper.</w:t>
      </w:r>
    </w:p>
    <w:p>
      <w:pPr>
        <w:pStyle w:val="Heading2"/>
        <w:keepNext/>
        <w:spacing w:before="160" w:after="60"/>
      </w:pPr>
      <w:r>
        <w:rPr>
          <w:rFonts w:ascii="Carlito" w:hAnsi="Carlito" w:eastAsia="Carlito"/>
          <w:b/>
          <w:color w:val="1F6D7A"/>
          <w:sz w:val="25"/>
        </w:rPr>
        <w:t>Make the repository permanent before submission</w:t>
      </w:r>
    </w:p>
    <w:p>
      <w:pPr>
        <w:keepNext w:val="0"/>
        <w:spacing w:after="120" w:line="259" w:lineRule="auto"/>
      </w:pPr>
      <w:r>
        <w:rPr>
          <w:rFonts w:ascii="Carlito" w:hAnsi="Carlito" w:eastAsia="Carlito"/>
          <w:color w:val="20252B"/>
          <w:sz w:val="21"/>
        </w:rPr>
        <w:t xml:space="preserve">The manuscript says that a DOI-matched archived release will accompany the revised submission. Make that archive publicly accessible at initial submission, rather than promising that it will appear later. Your frozen tables, Snakemake workflow, checksums, amendment log, and figure-source data are major selling points. </w:t>
      </w:r>
      <w:r>
        <w:rPr>
          <w:rFonts w:ascii="Carlito" w:hAnsi="Carlito" w:eastAsia="Carlito"/>
          <w:i/>
          <w:color w:val="5B6573"/>
          <w:sz w:val="21"/>
        </w:rPr>
        <w:t>(Manuscript, Data and code availability, p. 22.)</w:t>
      </w:r>
    </w:p>
    <w:p>
      <w:pPr>
        <w:pStyle w:val="Heading2"/>
        <w:keepNext/>
        <w:spacing w:before="160" w:after="60"/>
      </w:pPr>
      <w:r>
        <w:rPr>
          <w:rFonts w:ascii="Carlito" w:hAnsi="Carlito" w:eastAsia="Carlito"/>
          <w:b/>
          <w:color w:val="1F6D7A"/>
          <w:sz w:val="25"/>
        </w:rPr>
        <w:t>Shorten the title</w:t>
      </w:r>
    </w:p>
    <w:p>
      <w:pPr>
        <w:keepNext w:val="0"/>
        <w:spacing w:after="60" w:line="259" w:lineRule="auto"/>
      </w:pPr>
      <w:r>
        <w:rPr>
          <w:rFonts w:ascii="Carlito" w:hAnsi="Carlito" w:eastAsia="Carlito"/>
          <w:color w:val="20252B"/>
          <w:sz w:val="21"/>
        </w:rPr>
        <w:t>A more direct title would be:</w:t>
      </w:r>
    </w:p>
    <w:tbl>
      <w:tblPr>
        <w:tblW w:type="auto" w:w="0"/>
        <w:jc w:val="center"/>
        <w:tblLayout w:type="autofit"/>
        <w:tblLook w:firstColumn="1" w:firstRow="1" w:lastColumn="0" w:lastRow="0" w:noHBand="0" w:noVBand="1" w:val="04A0"/>
      </w:tblPr>
      <w:tblGrid>
        <w:gridCol w:w="9994"/>
      </w:tblGrid>
      <w:tr>
        <w:trPr>
          <w:cantSplit/>
        </w:trPr>
        <w:tc>
          <w:tcPr>
            <w:tcW w:type="dxa" w:w="9994"/>
            <w:shd w:fill="EAF6F6"/>
            <w:tcMar>
              <w:top w:w="150" w:type="dxa"/>
              <w:start w:w="220" w:type="dxa"/>
              <w:bottom w:w="150" w:type="dxa"/>
              <w:end w:w="220" w:type="dxa"/>
            </w:tcMar>
            <w:tcBorders>
              <w:top w:val="single" w:sz="4" w:color="C9E4E4"/>
              <w:left w:val="single" w:sz="22" w:color="1F6D7A"/>
              <w:bottom w:val="single" w:sz="4" w:color="C9E4E4"/>
              <w:right w:val="single" w:sz="4" w:color="C9E4E4"/>
            </w:tcBorders>
            <w:vAlign w:val="center"/>
          </w:tcPr>
          <w:p>
            <w:pPr>
              <w:spacing w:after="0" w:line="252" w:lineRule="auto"/>
            </w:pPr>
            <w:r>
              <w:rPr>
                <w:rFonts w:ascii="Carlito" w:hAnsi="Carlito" w:eastAsia="Carlito"/>
                <w:i/>
                <w:color w:val="20454B"/>
                <w:sz w:val="21"/>
              </w:rPr>
              <w:t>"Preregistered genome-wide analysis of cultivar-dependent lychee responses to Peronophythora litchii with cross-context external evaluation"</w:t>
            </w:r>
          </w:p>
        </w:tc>
      </w:tr>
    </w:tbl>
    <w:p>
      <w:pPr>
        <w:spacing w:after="20" w:line="168" w:lineRule="auto"/>
      </w:pPr>
    </w:p>
    <w:p>
      <w:pPr>
        <w:pStyle w:val="Heading2"/>
        <w:keepNext/>
        <w:spacing w:before="160" w:after="60"/>
      </w:pPr>
      <w:r>
        <w:rPr>
          <w:rFonts w:ascii="Carlito" w:hAnsi="Carlito" w:eastAsia="Carlito"/>
          <w:b/>
          <w:color w:val="1F6D7A"/>
          <w:sz w:val="25"/>
        </w:rPr>
        <w:t>Check publication costs before committing</w:t>
      </w:r>
    </w:p>
    <w:p>
      <w:pPr>
        <w:keepNext w:val="0"/>
        <w:spacing w:after="100" w:line="259" w:lineRule="auto"/>
      </w:pPr>
      <w:r>
        <w:t>Use the comparison table above as the current list-price baseline. Most of the strongest matches are fully open-access journals and charge only after acceptance. Because the manuscript reports no external funding, confirm NYU Langone institutional support and any waiver or society-discount eligibility before submission; waiver requests often must be made at submission. Do not commit personal funds until the publisher confirms the invoice amount.</w:t>
      </w:r>
    </w:p>
    <w:p>
      <w:pPr>
        <w:keepNext w:val="0"/>
        <w:spacing w:after="80" w:line="259" w:lineRule="auto"/>
      </w:pPr>
      <w:r>
        <w:rPr>
          <w:rFonts w:ascii="Carlito" w:hAnsi="Carlito" w:eastAsia="Carlito"/>
          <w:color w:val="20252B"/>
          <w:sz w:val="21"/>
        </w:rPr>
        <w:t>Hybrid, potentially no-mandatory-APC backups include the European Journal of Plant Pathology, whose scope covers fundamental and applied plant pathology, and the Journal of Plant Biochemistry and Biotechnology, which explicitly includes genomics and bioinformatics.</w:t>
      </w:r>
    </w:p>
    <w:p>
      <w:pPr>
        <w:spacing w:after="100" w:line="240" w:lineRule="auto"/>
      </w:pPr>
      <w:r>
        <w:rPr>
          <w:rFonts w:ascii="Carlito" w:hAnsi="Carlito" w:eastAsia="Carlito"/>
          <w:i/>
          <w:color w:val="5B6573"/>
          <w:sz w:val="17"/>
        </w:rPr>
        <w:t>Official source</w:t>
      </w:r>
      <w:r>
        <w:rPr>
          <w:rFonts w:ascii="Carlito" w:hAnsi="Carlito" w:eastAsia="Carlito"/>
          <w:i/>
          <w:color w:val="5B6573"/>
          <w:sz w:val="17"/>
        </w:rPr>
        <w:t xml:space="preserve">: </w:t>
      </w:r>
      <w:hyperlink r:id="rId30">
        <w:r>
          <w:rPr>
            <w:rFonts w:ascii="Carlito" w:hAnsi="Carlito"/>
            <w:color w:val="0563C1"/>
            <w:u w:val="single"/>
            <w:i/>
          </w:rPr>
          <w:t>European Journal of Plant Pathology scope</w:t>
        </w:r>
      </w:hyperlink>
    </w:p>
    <w:tbl>
      <w:tblPr>
        <w:tblW w:type="auto" w:w="0"/>
        <w:jc w:val="center"/>
        <w:tblLook w:firstColumn="1" w:firstRow="1" w:lastColumn="0" w:lastRow="0" w:noHBand="0" w:noVBand="1" w:val="04A0"/>
      </w:tblPr>
      <w:tblGrid>
        <w:gridCol w:w="9994"/>
      </w:tblGrid>
      <w:tr>
        <w:trPr>
          <w:cantSplit/>
        </w:trPr>
        <w:tc>
          <w:tcPr>
            <w:tcW w:type="dxa" w:w="9994"/>
            <w:shd w:fill="EAF2F8"/>
            <w:tcMar>
              <w:top w:w="180" w:type="dxa"/>
              <w:start w:w="220" w:type="dxa"/>
              <w:bottom w:w="180" w:type="dxa"/>
              <w:end w:w="220" w:type="dxa"/>
            </w:tcMar>
            <w:tcBorders>
              <w:top w:val="single" w:sz="6" w:color="B8CCE4"/>
              <w:left w:val="single" w:sz="22" w:color="17365D"/>
              <w:bottom w:val="single" w:sz="6" w:color="B8CCE4"/>
              <w:right w:val="single" w:sz="6" w:color="B8CCE4"/>
            </w:tcBorders>
            <w:vAlign w:val="center"/>
          </w:tcPr>
          <w:p>
            <w:pPr>
              <w:spacing w:after="60"/>
            </w:pPr>
            <w:r>
              <w:rPr>
                <w:rFonts w:ascii="Carlito" w:hAnsi="Carlito" w:eastAsia="Carlito"/>
                <w:b/>
                <w:color w:val="17365D"/>
                <w:sz w:val="24"/>
              </w:rPr>
              <w:t>Final recommendation</w:t>
            </w:r>
          </w:p>
          <w:p>
            <w:pPr>
              <w:spacing w:after="0" w:line="259" w:lineRule="auto"/>
            </w:pPr>
            <w:r>
              <w:rPr>
                <w:rFonts w:ascii="Carlito" w:hAnsi="Carlito" w:eastAsia="Carlito"/>
                <w:b/>
                <w:color w:val="20252B"/>
                <w:sz w:val="21"/>
              </w:rPr>
              <w:t>Submit to Plant Direct, or make one higher-risk attempt at the current BMC Genomics plant-pathogen collection first. In parallel, submit a PAG 34 poster abstract by November 6, 2026.</w:t>
            </w:r>
          </w:p>
        </w:tc>
      </w:tr>
    </w:tbl>
    <w:p>
      <w:pPr>
        <w:spacing w:after="0"/>
      </w:pPr>
    </w:p>
    <w:sectPr w:rsidR="00FC693F" w:rsidRPr="0006063C" w:rsidSect="00034616">
      <w:headerReference w:type="default" r:id="rId9"/>
      <w:footerReference w:type="default" r:id="rId10"/>
      <w:pgSz w:w="12240" w:h="15840"/>
      <w:pgMar w:top="979"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056"/>
      <w:gridCol w:w="2736"/>
    </w:tblGrid>
    <w:tr>
      <w:tc>
        <w:tcPr>
          <w:tcW w:type="dxa" w:w="4896"/>
          <w:tcMar>
            <w:top w:w="0" w:type="dxa"/>
            <w:start w:w="0" w:type="dxa"/>
            <w:bottom w:w="0" w:type="dxa"/>
            <w:end w:w="0" w:type="dxa"/>
          </w:tcMar>
          <w:tcBorders>
            <w:top w:val="nil"/>
            <w:left w:val="nil"/>
            <w:bottom w:val="nil"/>
            <w:right w:val="nil"/>
          </w:tcBorders>
        </w:tcPr>
        <w:p>
          <w:pPr>
            <w:spacing w:after="0"/>
          </w:pPr>
          <w:r>
            <w:rPr>
              <w:rFonts w:ascii="Carlito" w:hAnsi="Carlito" w:eastAsia="Carlito"/>
              <w:color w:val="5B6573"/>
              <w:sz w:val="17"/>
            </w:rPr>
            <w:t>Lychee transcriptomics manuscript</w:t>
          </w:r>
        </w:p>
      </w:tc>
      <w:tc>
        <w:tcPr>
          <w:tcW w:type="dxa" w:w="4896"/>
          <w:tcMar>
            <w:top w:w="0" w:type="dxa"/>
            <w:start w:w="0" w:type="dxa"/>
            <w:bottom w:w="0" w:type="dxa"/>
            <w:end w:w="0" w:type="dxa"/>
          </w:tcMar>
          <w:tcBorders>
            <w:top w:val="nil"/>
            <w:left w:val="nil"/>
            <w:bottom w:val="nil"/>
            <w:right w:val="nil"/>
          </w:tcBorders>
        </w:tcPr>
        <w:p>
          <w:pPr>
            <w:spacing w:after="0"/>
            <w:jc w:val="right"/>
          </w:pPr>
          <w:r>
            <w:rPr>
              <w:rFonts w:ascii="Carlito" w:hAnsi="Carlito" w:eastAsia="Carlito"/>
              <w:color w:val="5B6573"/>
              <w:sz w:val="17"/>
            </w:rPr>
            <w:t xml:space="preserve">Page </w:t>
          </w:r>
          <w:r>
            <w:rPr>
              <w:rFonts w:ascii="Carlito" w:hAnsi="Carlito" w:eastAsia="Carlito"/>
              <w:color w:val="5B6573"/>
              <w:sz w:val="18"/>
            </w:rPr>
            <w:fldChar w:fldCharType="begin"/>
            <w:instrText xml:space="preserve">PAGE</w:instrText>
            <w:fldChar w:fldCharType="separate"/>
            <w:t>1</w:t>
            <w:fldChar w:fldCharType="end"/>
          </w:r>
          <w:r>
            <w:rPr>
              <w:rFonts w:ascii="Carlito" w:hAnsi="Carlito" w:eastAsia="Carlito"/>
              <w:color w:val="5B6573"/>
              <w:sz w:val="17"/>
            </w:rPr>
            <w:t xml:space="preserve"> of </w:t>
          </w:r>
          <w:r>
            <w:rPr>
              <w:rFonts w:ascii="Carlito" w:hAnsi="Carlito" w:eastAsia="Carlito"/>
              <w:color w:val="5B6573"/>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3" w:color="D9E1E8"/>
      </w:pBdr>
    </w:pPr>
    <w:r>
      <w:rPr>
        <w:rFonts w:ascii="Carlito" w:hAnsi="Carlito" w:eastAsia="Carlito"/>
        <w:b/>
        <w:color w:val="5B6573"/>
        <w:sz w:val="17"/>
      </w:rPr>
      <w:t>PUBLICATION VENUE RECOMMENDATIONS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1F6D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biology.org/journals/plant-direct.html" TargetMode="External"/><Relationship Id="rId12" Type="http://schemas.openxmlformats.org/officeDocument/2006/relationships/hyperlink" Target="https://link.springer.com/collections/ejjhjhbgfe" TargetMode="External"/><Relationship Id="rId13" Type="http://schemas.openxmlformats.org/officeDocument/2006/relationships/hyperlink" Target="https://bmcgenomics.biomedcentral.com/join-our-editorial-board/submit-your-application" TargetMode="External"/><Relationship Id="rId14" Type="http://schemas.openxmlformats.org/officeDocument/2006/relationships/hyperlink" Target="https://www.apsnet.org/members/community/newsroom/releases/Pages/Phytofrontierslaunch.aspx" TargetMode="External"/><Relationship Id="rId15" Type="http://schemas.openxmlformats.org/officeDocument/2006/relationships/hyperlink" Target="https://bmcplantbiol.biomedcentral.com/about" TargetMode="External"/><Relationship Id="rId16" Type="http://schemas.openxmlformats.org/officeDocument/2006/relationships/hyperlink" Target="https://link.springer.com/collections/jifbjhghfg" TargetMode="External"/><Relationship Id="rId17" Type="http://schemas.openxmlformats.org/officeDocument/2006/relationships/hyperlink" Target="https://royalsocietypublishing.org/rsos/pages/About" TargetMode="External"/><Relationship Id="rId18" Type="http://schemas.openxmlformats.org/officeDocument/2006/relationships/hyperlink" Target="https://journals.plos.org/plosone/s/journal-information" TargetMode="External"/><Relationship Id="rId19" Type="http://schemas.openxmlformats.org/officeDocument/2006/relationships/hyperlink" Target="https://academic.oup.com/g3journal/pages/About" TargetMode="External"/><Relationship Id="rId20" Type="http://schemas.openxmlformats.org/officeDocument/2006/relationships/hyperlink" Target="https://peerj.com/about/aims-and-scope/" TargetMode="External"/><Relationship Id="rId21" Type="http://schemas.openxmlformats.org/officeDocument/2006/relationships/hyperlink" Target="https://preview-www.nature.com/srep/journal-policies/peer-review" TargetMode="External"/><Relationship Id="rId22" Type="http://schemas.openxmlformats.org/officeDocument/2006/relationships/hyperlink" Target="https://www.nature.com/srep/journal-policies/registered-reports" TargetMode="External"/><Relationship Id="rId23" Type="http://schemas.openxmlformats.org/officeDocument/2006/relationships/hyperlink" Target="https://www.frontiersin.org/journals/plant-science/sections/plant-bioinformatics/about" TargetMode="External"/><Relationship Id="rId24" Type="http://schemas.openxmlformats.org/officeDocument/2006/relationships/hyperlink" Target="https://link.springer.com/journal/10142/submission-guidelines" TargetMode="External"/><Relationship Id="rId25" Type="http://schemas.openxmlformats.org/officeDocument/2006/relationships/hyperlink" Target="https://intlpag.org/PAG/" TargetMode="External"/><Relationship Id="rId26" Type="http://schemas.openxmlformats.org/officeDocument/2006/relationships/hyperlink" Target="https://intlpag.org/PAG/abstracts/poster-abstracts" TargetMode="External"/><Relationship Id="rId27" Type="http://schemas.openxmlformats.org/officeDocument/2006/relationships/hyperlink" Target="https://plantbiology.aspb.org/submit-a-proposal-or-abstract/" TargetMode="External"/><Relationship Id="rId28" Type="http://schemas.openxmlformats.org/officeDocument/2006/relationships/hyperlink" Target="https://www.apsnet.org/meetings/annual/PH2027/About/Pages/default.aspx" TargetMode="External"/><Relationship Id="rId29" Type="http://schemas.openxmlformats.org/officeDocument/2006/relationships/hyperlink" Target="https://www.iscb.org/ismbeccb2027/home" TargetMode="External"/><Relationship Id="rId30" Type="http://schemas.openxmlformats.org/officeDocument/2006/relationships/hyperlink" Target="https://link.springer.com/journal/10658/aims-and-scope" TargetMode="External"/><Relationship Id="rId31" Type="http://schemas.openxmlformats.org/officeDocument/2006/relationships/hyperlink" Target="https://onlinelibrary.wiley.com/journal/24754455" TargetMode="External"/><Relationship Id="rId32" Type="http://schemas.openxmlformats.org/officeDocument/2006/relationships/hyperlink" Target="https://onlinelibrary.wiley.com/page/journal/24754455/homepage/article_publication_charges.htm" TargetMode="External"/><Relationship Id="rId33" Type="http://schemas.openxmlformats.org/officeDocument/2006/relationships/hyperlink" Target="https://link.springer.com/journal/12864" TargetMode="External"/><Relationship Id="rId34" Type="http://schemas.openxmlformats.org/officeDocument/2006/relationships/hyperlink" Target="https://link.springer.com/journal/12864/how-to-publish-with-us" TargetMode="External"/><Relationship Id="rId35" Type="http://schemas.openxmlformats.org/officeDocument/2006/relationships/hyperlink" Target="https://apsjournals.apsnet.org/page/impact" TargetMode="External"/><Relationship Id="rId36" Type="http://schemas.openxmlformats.org/officeDocument/2006/relationships/hyperlink" Target="https://apsjournals.apsnet.org/page/authorinformation" TargetMode="External"/><Relationship Id="rId37" Type="http://schemas.openxmlformats.org/officeDocument/2006/relationships/hyperlink" Target="https://link.springer.com/journal/12870" TargetMode="External"/><Relationship Id="rId38" Type="http://schemas.openxmlformats.org/officeDocument/2006/relationships/hyperlink" Target="https://link.springer.com/journal/12870/how-to-publish-with-us" TargetMode="External"/><Relationship Id="rId39" Type="http://schemas.openxmlformats.org/officeDocument/2006/relationships/hyperlink" Target="https://royalsociety.org/journals/authors/benefits/publishing-times/" TargetMode="External"/><Relationship Id="rId40" Type="http://schemas.openxmlformats.org/officeDocument/2006/relationships/hyperlink" Target="https://royalsociety.org/journals/open-access/" TargetMode="External"/><Relationship Id="rId41" Type="http://schemas.openxmlformats.org/officeDocument/2006/relationships/hyperlink" Target="https://plos.org/fees/" TargetMode="External"/><Relationship Id="rId42" Type="http://schemas.openxmlformats.org/officeDocument/2006/relationships/hyperlink" Target="https://academic.oup.com/g3journal/pages/why-publish" TargetMode="External"/><Relationship Id="rId43" Type="http://schemas.openxmlformats.org/officeDocument/2006/relationships/hyperlink" Target="https://academic.oup.com/g3journal/pages/author-guidelines" TargetMode="External"/><Relationship Id="rId44" Type="http://schemas.openxmlformats.org/officeDocument/2006/relationships/hyperlink" Target="https://static.peerj.com/docs/peerj-stm-journal-factsheet.pdf" TargetMode="External"/><Relationship Id="rId45" Type="http://schemas.openxmlformats.org/officeDocument/2006/relationships/hyperlink" Target="https://peerj.com/pricing/" TargetMode="External"/><Relationship Id="rId46" Type="http://schemas.openxmlformats.org/officeDocument/2006/relationships/hyperlink" Target="https://www.nature.com/srep/about/editorial-process" TargetMode="External"/><Relationship Id="rId47" Type="http://schemas.openxmlformats.org/officeDocument/2006/relationships/hyperlink" Target="https://www.nature.com/srep/open-access" TargetMode="External"/><Relationship Id="rId48" Type="http://schemas.openxmlformats.org/officeDocument/2006/relationships/hyperlink" Target="https://www.frontiersin.org/journals/plant-science/for-authors/why-submit" TargetMode="External"/><Relationship Id="rId49" Type="http://schemas.openxmlformats.org/officeDocument/2006/relationships/hyperlink" Target="https://www.frontiersin.org/journals/plant-science/for-authors/publishing-fees" TargetMode="External"/><Relationship Id="rId50" Type="http://schemas.openxmlformats.org/officeDocument/2006/relationships/hyperlink" Target="https://www.springernature.com/gp/open-science/oa-agreements/individual-institutional-agreements" TargetMode="External"/><Relationship Id="rId51" Type="http://schemas.openxmlformats.org/officeDocument/2006/relationships/hyperlink" Target="https://plos.org/libraries/part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Venue Recommendations for a Lychee Transcriptomics Manuscript</dc:title>
  <dc:subject>Journal and conference recommendations, with attention to the absence of wet-lab validation</dc:subject>
  <dc:creator>OpenAI</dc:creator>
  <cp:keywords>lychee, transcriptomics, plant pathology, journal recommendations, conference recommendations</cp:keywords>
  <dc:description>generated by python-docx</dc:description>
  <cp:lastModifiedBy/>
  <cp:revision>1</cp:revision>
  <dcterms:created xsi:type="dcterms:W3CDTF">2013-12-23T23:15:00Z</dcterms:created>
  <dcterms:modified xsi:type="dcterms:W3CDTF">2026-09-05T00:00:00Z</dcterms:modified>
  <cp:category/>
</cp:coreProperties>
</file>