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2FB6F7" w14:textId="77777777" w:rsidR="00083884" w:rsidRDefault="00000000">
      <w:pPr>
        <w:spacing w:after="120" w:line="360" w:lineRule="auto"/>
      </w:pPr>
      <w:r>
        <w:t xml:space="preserve">Manuscript type: </w:t>
      </w:r>
      <w:r>
        <w:rPr>
          <w:b/>
        </w:rPr>
        <w:t>original paper</w:t>
      </w:r>
    </w:p>
    <w:p w14:paraId="638AC731" w14:textId="77777777" w:rsidR="00083884" w:rsidRDefault="00000000">
      <w:pPr>
        <w:keepNext/>
        <w:spacing w:after="160" w:line="360" w:lineRule="auto"/>
      </w:pPr>
      <w:r>
        <w:rPr>
          <w:b/>
          <w:sz w:val="28"/>
        </w:rPr>
        <w:t xml:space="preserve">Differences among lychee cultivars in responses to </w:t>
      </w:r>
      <w:r>
        <w:rPr>
          <w:b/>
          <w:i/>
          <w:sz w:val="28"/>
        </w:rPr>
        <w:t>Phytophthora litchii</w:t>
      </w:r>
      <w:r>
        <w:rPr>
          <w:b/>
          <w:sz w:val="28"/>
        </w:rPr>
        <w:t xml:space="preserve"> nominate cell-wall and carbohydrate-associated candidates</w:t>
      </w:r>
    </w:p>
    <w:p w14:paraId="5E089C1C" w14:textId="4343AE6E" w:rsidR="00083884" w:rsidRDefault="00000000">
      <w:pPr>
        <w:spacing w:after="120" w:line="360" w:lineRule="auto"/>
        <w:jc w:val="both"/>
      </w:pPr>
      <w:r>
        <w:rPr>
          <w:b/>
        </w:rPr>
        <w:t xml:space="preserve">Abstract: </w:t>
      </w:r>
      <w:r>
        <w:t xml:space="preserve">Litchi downy blight, caused by the oomycete </w:t>
      </w:r>
      <w:r>
        <w:rPr>
          <w:i/>
        </w:rPr>
        <w:t>Phytophthora litchii</w:t>
      </w:r>
      <w:r>
        <w:t>, affects young leaves, inflorescences and fruit of lychee (</w:t>
      </w:r>
      <w:r>
        <w:rPr>
          <w:i/>
        </w:rPr>
        <w:t>Litchi chinensis</w:t>
      </w:r>
      <w:r>
        <w:t xml:space="preserve">). We assembled five public sequencing cohorts for discovery, cross-context evaluation and auxiliary analyses of cultivar-dependent infection responses. Discovery in Guiwei and Yurong1 </w:t>
      </w:r>
      <w:proofErr w:type="spellStart"/>
      <w:r>
        <w:t>leaves</w:t>
      </w:r>
      <w:proofErr w:type="spellEnd"/>
      <w:r>
        <w:t xml:space="preserve"> </w:t>
      </w:r>
      <w:proofErr w:type="spellStart"/>
      <w:r>
        <w:t>tested</w:t>
      </w:r>
      <w:proofErr w:type="spellEnd"/>
      <w:r>
        <w:t xml:space="preserve"> 19445 </w:t>
      </w:r>
      <w:proofErr w:type="spellStart"/>
      <w:r>
        <w:t>expressed</w:t>
      </w:r>
      <w:proofErr w:type="spellEnd"/>
      <w:r>
        <w:t xml:space="preserve"> </w:t>
      </w:r>
      <w:proofErr w:type="spellStart"/>
      <w:r>
        <w:t>genes</w:t>
      </w:r>
      <w:proofErr w:type="spellEnd"/>
      <w:r>
        <w:t>. Two hundred and six genes passed the DESeq2 discovery rule and mapping and gene-model quality control; 16 remained stable under alternative quantification, statistical analysis, expression filtering, leave-one-library-out analysis and mapping checks. Twelve were prioritised in Tier B, with provisional annotations related to sugar transport, starch metabolism, cell-wall remodelling, lipid signalling and RNA metabolism. In an independent pericarp time course, LITCHI005518, a putative alpha-xylosidase, and LITCHI001963 showed same-direction cultivar-dependent effects, whereas five genes reversed direction. Neither externally supported gene passed all internal robustness criteria. The frozen 206-gene signature showed tissue-dependent infection responses in Feizixiao. Most of 18 earlier candidates responded within at least one cultivar, but none passed the genome-wide cultivar-interaction criterion. These results distinguish general infection responses from cultivar-dependent effects and nominate context-qualified candidates for experimental validation.</w:t>
      </w:r>
    </w:p>
    <w:p w14:paraId="0B59BAF0" w14:textId="77777777" w:rsidR="00083884" w:rsidRDefault="00000000">
      <w:pPr>
        <w:spacing w:after="200" w:line="360" w:lineRule="auto"/>
        <w:jc w:val="both"/>
      </w:pPr>
      <w:r>
        <w:rPr>
          <w:b/>
        </w:rPr>
        <w:t xml:space="preserve">Keywords: </w:t>
      </w:r>
      <w:r>
        <w:t>oomycete disease; host response; differential expression; transcript usage; reproducible bioinformatics; crop improvement</w:t>
      </w:r>
    </w:p>
    <w:p w14:paraId="0C6537B9" w14:textId="77777777" w:rsidR="00083884" w:rsidRDefault="00000000">
      <w:pPr>
        <w:keepNext/>
        <w:spacing w:before="200" w:after="60" w:line="360" w:lineRule="auto"/>
      </w:pPr>
      <w:r>
        <w:rPr>
          <w:b/>
        </w:rPr>
        <w:t>INTRODUCTION</w:t>
      </w:r>
    </w:p>
    <w:p w14:paraId="22175FF8" w14:textId="77777777" w:rsidR="00083884" w:rsidRDefault="00000000">
      <w:pPr>
        <w:spacing w:after="120" w:line="360" w:lineRule="auto"/>
        <w:jc w:val="both"/>
      </w:pPr>
      <w:r>
        <w:t xml:space="preserve">Lychee (</w:t>
      </w:r>
      <w:r>
        <w:rPr>
          <w:i/>
        </w:rPr>
        <w:t xml:space="preserve">Litchi chinensis</w:t>
      </w:r>
      <w:r>
        <w:t xml:space="preserve">) downy blight, caused by the oomycete </w:t>
      </w:r>
      <w:r>
        <w:rPr>
          <w:i/>
        </w:rPr>
        <w:t xml:space="preserve">Phytophthora litchii</w:t>
      </w:r>
      <w:r>
        <w:t xml:space="preserve">, affects young leaves, inflorescences and fruit and causes field and postharvest losses. Cultivars differ in disease response, but the associated host processes remain unclear. Identifying cultivar-dependent infection responses could nominate candidates for resistance breeding. A cultivar-by-infection interaction tests whether infection responses differ between cultivars; infection responsiveness within either cultivar alone does not establish such a difference.</w:t>
      </w:r>
    </w:p>
    <w:p w14:paraId="75C96390" w14:textId="77777777" w:rsidR="00083884" w:rsidRDefault="00000000">
      <w:pPr>
        <w:spacing w:after="120" w:line="360" w:lineRule="auto"/>
        <w:jc w:val="both"/>
      </w:pPr>
      <w:r>
        <w:t xml:space="preserve">Earlier studies reported distinct early pericarp responses in susceptible and resistant cultivars (Sun et al. 2019), molecular machinery used by the pathogen (Sun et al. 2017), antioxidant and phenolic responses (Yi et al. 2010), and LcCDPK expression changes under downy mildew stress (Liu et al. 2023). The effector PlAvh202 also promotes virulence by destabilising a host ethylene-biosynthesis enzyme (Li et al. 2023). These findings motivate defence hypotheses, but differences in cultivar, tissue and sampling time leave the generality of individual candidates uncertain. Public RNA-sequencing datasets allow infection responsiveness, cultivar-dependent responses and transfer across biological contexts to be examined together.</w:t>
      </w:r>
    </w:p>
    <w:p w14:paraId="49FD8D8A" w14:textId="77777777" w:rsidR="00083884" w:rsidRDefault="00000000">
      <w:pPr>
        <w:spacing w:after="120" w:line="360" w:lineRule="auto"/>
        <w:jc w:val="both"/>
      </w:pPr>
      <w:r>
        <w:t xml:space="preserve">An exploratory reanalysis of GSE201243, comparing mock-inoculated and infected Guiwei and Yurong1 leaves at 24 h, nominated 18 defence-related genes and associated promoter hypotheses. We subsequently registered a distinct genome-wide secondary analysis, fixing cohort roles, models, thresholds and external evaluations before its outcomes were computed. We tested 19 445 expressed genes for cultivar-by-infection interactions, assessed mapping and gene-model quality and sensitivity to analytical choices, and evaluated frozen candidates in independent pericarp and leaf-fruit datasets. Five public cohorts supported discovery, cross-context evaluation and auxiliary analyses. The objectives were to identify stable cultivar-dependent responses and assess their biological scope without allowing annotation or regulatory hypotheses to replace expression evidence.</w:t>
      </w:r>
    </w:p>
    <w:p w14:paraId="63F88AA7" w14:textId="77777777" w:rsidR="00083884" w:rsidRDefault="00000000">
      <w:pPr>
        <w:keepNext/>
        <w:spacing w:before="200" w:after="60" w:line="360" w:lineRule="auto"/>
      </w:pPr>
      <w:r>
        <w:rPr>
          <w:b/>
        </w:rPr>
        <w:t>MATERIAL AND METHODS</w:t>
      </w:r>
    </w:p>
    <w:p w14:paraId="50EC0880" w14:textId="77777777" w:rsidR="00083884" w:rsidRDefault="00000000">
      <w:pPr>
        <w:spacing w:after="120" w:line="360" w:lineRule="auto"/>
        <w:jc w:val="both"/>
      </w:pPr>
      <w:r>
        <w:rPr>
          <w:b/>
        </w:rPr>
        <w:t xml:space="preserve">Study design and registration. </w:t>
      </w:r>
      <w:r>
        <w:t xml:space="preserve">After exploratory analysis of discovery data, protocol v1.0.0 was frozen on 18 August 2026, before registered secondary-analysis outcomes were computed. Five public cohorts had fixed roles (Table 1; Figure 1A); PRJNA1090613 remained exploratory because time and resistance metadata were unresolved. Discovery membership, signature weights and thresholds were frozen before external processing. Cross-context support denotes a passing external test despite differences in tissue, comparator or design. Time-stamped amendments comprised 20 outcome-blind clarifications, corrections and optimisations and three post-outcome technical quality-control or manifest changes. The primary external study’s published conclusions were already known; delayed count-matrix processing provided a computational safeguard, not experimental blinding. Frozen denotes a result fixed at a recorded checkpoint, robustness denotes prespecified discovery sensitivity analyses, and orthogonal evidence could not replace expression support.</w:t>
      </w:r>
    </w:p>
    <w:p w14:paraId="0A0EFC8E" w14:textId="77777777" w:rsidR="00083884" w:rsidRDefault="00000000">
      <w:pPr>
        <w:spacing w:after="120" w:line="360" w:lineRule="auto"/>
        <w:jc w:val="both"/>
      </w:pPr>
      <w:r>
        <w:rPr>
          <w:b/>
        </w:rPr>
        <w:t xml:space="preserve">Data provenance and eligibility. </w:t>
      </w:r>
      <w:r>
        <w:t xml:space="preserve">NCBI and GEO metadata were reconciled into a biological-unit registry. The missing historical search log required retrospective reconstruction of database coverage. A super-series duplicate was collapsed; PRJNA1157370 was excluded for studying </w:t>
      </w:r>
      <w:r>
        <w:rPr>
          <w:i/>
        </w:rPr>
        <w:t xml:space="preserve">Colletotrichum gloeosporioides</w:t>
      </w:r>
      <w:r>
        <w:t xml:space="preserve"> and PRJNA268587/GSE63658 for studying senescence and storage without </w:t>
      </w:r>
      <w:r>
        <w:rPr>
          <w:i/>
        </w:rPr>
        <w:t xml:space="preserve">P. litchii</w:t>
      </w:r>
      <w:r>
        <w:t xml:space="preserve"> inoculation. All five prespecified cohorts remained eligible. Discovery required at least three libraries per cultivar-treatment cell. Unreported source-tree, pooling, harvest and extraction independence means that q-values assume deposited libraries represent independent biological units; technical checks cannot establish independence.</w:t>
      </w:r>
    </w:p>
    <w:p w14:paraId="7BFB9632" w14:textId="77777777" w:rsidR="00083884" w:rsidRDefault="00000000">
      <w:pPr>
        <w:spacing w:after="120" w:line="360" w:lineRule="auto"/>
        <w:jc w:val="both"/>
      </w:pPr>
      <w:r>
        <w:rPr>
          <w:b/>
        </w:rPr>
        <w:t xml:space="preserve">Preprocessing and quality control. </w:t>
      </w:r>
      <w:r>
        <w:t xml:space="preserve">The host SCAU_Lch_v2.0 assembly (Hu et al. 2022) and pathogen reference were combined with prefixed contigs to absorb pathogen reads. Paired reads were checked, trimmed with fastp (Chen et al. 2018), aligned with STAR two-pass mapping (Dobin et al. 2013), counted with featureCounts (Liao et al. 2014) and independently quantified with Salmon (Patro et al. 2017). Library gates were at least 10 million surviving read pairs and 40% unique alignment. GenMap measured exon uniqueness (Pockrandt et al. 2020); observed-mapping checks assessed candidate dependence on ambiguous reads. All 12 discovery libraries passed the library gates.</w:t>
      </w:r>
    </w:p>
    <w:p w14:paraId="7DBDE85B" w14:textId="77777777" w:rsidR="00083884" w:rsidRDefault="00000000">
      <w:pPr>
        <w:spacing w:after="120" w:line="360" w:lineRule="auto"/>
        <w:jc w:val="both"/>
      </w:pPr>
      <w:r>
        <w:rPr>
          <w:b/>
        </w:rPr>
        <w:t xml:space="preserve">Genome-wide discovery. </w:t>
      </w:r>
      <w:r>
        <w:t xml:space="preserve">DESeq2 fitted cultivar + treatment + cultivar:treatment, referencing Guiwei and mock (Love et al. 2014). The interaction estimates Yurong1-minus-Guiwei differences in infected-minus-mock responses. Genes required counts ≥10 in ≥3 libraries; candidates required genome-wide Benjamini-Hochberg q &lt; 0.05 and |estimated interaction log2 fold change| ≥ log2(1.5) (Benjamini &amp; Hochberg 1995). This point-null test followed by observed-effect filtering does not test whether the true effect exceeds that threshold. Post hoc sensitivity analyses tested the composite null |effect| ≤ log2(1.5) and calculated apeglm false-sign-or-small values (Zhu et al. 2019), without altering frozen membership. Reported effects are unshrunken maximum-likelihood estimates; shrinkage was used only for signature weights.</w:t>
      </w:r>
    </w:p>
    <w:p w14:paraId="7987F659" w14:textId="77777777" w:rsidR="00083884" w:rsidRDefault="00000000">
      <w:pPr>
        <w:spacing w:after="120" w:line="360" w:lineRule="auto"/>
        <w:jc w:val="both"/>
      </w:pPr>
      <w:r>
        <w:rPr>
          <w:b/>
        </w:rPr>
        <w:t xml:space="preserve">Exploratory-candidate audit. </w:t>
      </w:r>
      <w:r>
        <w:t xml:space="preserve">Separate infected-versus-mock DESeq2 models within Guiwei and Yurong1 used the same count matrix and 19 445-gene universe, with genome-wide Benjamini-Hochberg adjustment per cultivar. These assess infection responsiveness, distinct from cultivar-by-infection interaction. The 18 exploratory candidates underwent the same exon-mappability and gene-model checks as genome-wide candidates. The exploratory pipeline used TopHat2/Bowtie2 (Kim et al. 2013), HTSeq union-mode counting (Anders et al. 2015), and TBtools and PlantCARE for structural and promoter analyses (Chen et al. 2020; Lescot et al. 2002).</w:t>
      </w:r>
    </w:p>
    <w:p w14:paraId="7002A7F2" w14:textId="77777777" w:rsidR="00083884" w:rsidRDefault="00000000">
      <w:pPr>
        <w:spacing w:after="120" w:line="360" w:lineRule="auto"/>
        <w:jc w:val="both"/>
      </w:pPr>
      <w:r>
        <w:rPr>
          <w:b/>
        </w:rPr>
        <w:t xml:space="preserve">Internal robustness. </w:t>
      </w:r>
      <w:r>
        <w:t xml:space="preserve">Frozen genes were retested with Salmon gene counts, edgeR quasi-likelihood inference (Robinson et al. 2010), a counts-per-million filter and all 12 leave-one-library-out refits. Salmon required direction agreement and |effect difference| ≤0.5 log2 units. edgeR used the same design, coefficient and 19 445-gene universe, TMM normalisation, robust dispersion estimation and Benjamini-Hochberg q &lt; 0.10 with direction agreement. Leave-one-out analysis required direction agreement in all 12 refits and q &lt; 0.10 in ≥10. Expression-filter sensitivity refitted the primary model after filtering. All applicable gates, followed by observed-mapping sensitivity, were required; no additive score was used. Pathway robustness required competitive and rotation tests, leading-edge deletion and a matched-null comparison.</w:t>
      </w:r>
    </w:p>
    <w:p w14:paraId="30F1D33F" w14:textId="77777777" w:rsidR="00083884" w:rsidRDefault="00000000">
      <w:pPr>
        <w:spacing w:after="120" w:line="360" w:lineRule="auto"/>
        <w:jc w:val="both"/>
      </w:pPr>
      <w:r>
        <w:rPr>
          <w:b/>
        </w:rPr>
        <w:t xml:space="preserve">External evaluation and signed signature. </w:t>
      </w:r>
      <w:r>
        <w:t xml:space="preserve">PRJNA450886 used cultivar by treatment by categorical time, referencing 24 h. The primary estimand was the Heiye-minus-Guiwei infection-response difference at 24 h; 6 h and 48 h were secondary. Tests applied Benjamini-Hochberg adjustment across the complete candidate-by-contrast family, |log2 fold change| ≥ log2(1.5), a confidence interval excluding zero and discovery-direction agreement. Significant opposite-direction effects were recorded separately. PRJNA922966 used tissue + treatment + tissue:treatment to assess generic infection transfer within Feizixiao, not cultivar effects. A frozen library-level signed score summarised 206 genes using shrunken discovery effects as weights.</w:t>
      </w:r>
    </w:p>
    <w:p w14:paraId="4841D3C1" w14:textId="77777777" w:rsidR="00083884" w:rsidRDefault="00000000">
      <w:pPr>
        <w:spacing w:after="120" w:line="360" w:lineRule="auto"/>
        <w:jc w:val="both"/>
      </w:pPr>
      <w:r>
        <w:rPr>
          <w:b/>
        </w:rPr>
        <w:t xml:space="preserve">Pathways and transcript usage. </w:t>
      </w:r>
      <w:r>
        <w:t xml:space="preserve">Plant Reactome pathways were mapped through one-to-one </w:t>
      </w:r>
      <w:r>
        <w:rPr>
          <w:i/>
        </w:rPr>
        <w:t xml:space="preserve">Oryza</w:t>
      </w:r>
      <w:r>
        <w:t xml:space="preserve"> orthologues (Naithani et al. 2024). Discovery used the frozen interaction statistic; robustness combined camera competitive testing (Wu &amp; Smyth 2012), ROAST rotation testing (Wu et al. 2010), leading-edge deletion and an expression- and length-matched null. Salmon transcript abundances were analysed with DRIMSeq and DEXSeq under stageR stage-wise error control (Anders et al. 2012; Nowicka &amp; Robinson 2016; Van den Berge et al. 2017). Event-level reporting required the registered gate for interpretable gene- and transcript-level error control.</w:t>
      </w:r>
    </w:p>
    <w:p w14:paraId="206571FA" w14:textId="77777777" w:rsidR="00083884" w:rsidRDefault="00000000">
      <w:pPr>
        <w:spacing w:after="120" w:line="360" w:lineRule="auto"/>
        <w:jc w:val="both"/>
      </w:pPr>
      <w:r>
        <w:rPr>
          <w:b/>
        </w:rPr>
        <w:t xml:space="preserve">Annotation and orthogonal evidence. </w:t>
      </w:r>
      <w:r>
        <w:t xml:space="preserve">Representative proteins used the longest coding sequence, with lexicographic tie-breaking. Reviewed Swiss-Prot DIAMOND matches (The UniProt Consortium 2023; Buchfink et al. 2015), InterPro/Pfam domains (Jones et al. 2014) and one-to-one </w:t>
      </w:r>
      <w:r>
        <w:rPr>
          <w:i/>
        </w:rPr>
        <w:t xml:space="preserve">Oryza</w:t>
      </w:r>
      <w:r>
        <w:t xml:space="preserve"> orthology were separate annotation classes. AME tested 927 JASPAR plant motifs in strand-aware 1-kb and 2-kb promoters against 100 expression- and GC-matched backgrounds (McLeay &amp; Bailey 2010; Rauluseviciute et al. 2024). Robustness required passing ≥80 backgrounds in both windows; FIMO supplied sensitivity testing (Grant et al. 2011). The PmiREN bulk archive was audited before small-RNA analysis (Guo et al. 2020); no study-derived reference replaced an absent exact-species reference.</w:t>
      </w:r>
    </w:p>
    <w:p w14:paraId="6ED235A5" w14:textId="77777777" w:rsidR="00083884" w:rsidRDefault="00000000">
      <w:pPr>
        <w:spacing w:after="120" w:line="360" w:lineRule="auto"/>
        <w:jc w:val="both"/>
      </w:pPr>
      <w:r>
        <w:rPr>
          <w:b/>
        </w:rPr>
        <w:t xml:space="preserve">Controlled promoter audit. </w:t>
      </w:r>
      <w:r>
        <w:t xml:space="preserve">A post hoc PlantCARE audit held published totals for six element strings and one standard TCA-element variant fixed while comparing backgrounds with unchanged scoring and multiplicity correction: 100 000 simulated sets of eighteen 2-kb sequences at 34% GC versus 100 genomic sets matched by expression and promoter-GC quintiles. The simulated rerun closely reproduced the exploratory pattern. With genomic backgrounds, ARE lost significance, ABRE gained it, and MeJA-responsive, TCA and TC-rich classes remained significant. The original observed-motif table was not archived; canonical-promoter recounts matched the published total only for ARE. This provenance-limited audit assessed background sensitivity, not regulatory function.</w:t>
      </w:r>
    </w:p>
    <w:p w14:paraId="1160F321" w14:textId="77777777" w:rsidR="00083884" w:rsidRDefault="00000000">
      <w:pPr>
        <w:spacing w:after="120" w:line="360" w:lineRule="auto"/>
        <w:jc w:val="both"/>
      </w:pPr>
      <w:r>
        <w:rPr>
          <w:b/>
        </w:rPr>
        <w:t xml:space="preserve">Evidence tiers and reproducibility. </w:t>
      </w:r>
      <w:r>
        <w:t xml:space="preserve">Tier A required discovery, complete internal robustness, cross-context support, clean mapping and annotation, and attributable orthogonal evidence. Tier B required discovery and complete internal robustness with partial or non-testable external evidence, denoting prioritisation rather than external validation. Tier C required a robust, externally supported pathway. Snakemake enforced staged analysis and SHA-256 manifests (Mölder et al. 2021). Complete tables, software versions, amendments and figure-generation checks are in the supplementary archive.</w:t>
      </w:r>
    </w:p>
    <w:p w14:paraId="4F5BF9F3" w14:textId="77777777" w:rsidR="00083884" w:rsidRDefault="00000000">
      <w:pPr>
        <w:spacing w:after="120" w:line="360" w:lineRule="auto"/>
        <w:jc w:val="both"/>
      </w:pPr>
      <w:r>
        <w:rPr>
          <w:b/>
        </w:rPr>
        <w:t xml:space="preserve">Simulation design. </w:t>
      </w:r>
      <w:r>
        <w:t xml:space="preserve">Negative-binomial power simulations retained fitted gene means, maximum-a-posteriori dispersions, cultivar and treatment main effects, and library size factors from discovery and the 24-h external subset. Equal positive and negative interactions were injected at 12 absolute log2 fold changes from 0 to 4, with 100 simulations each. Discovery injected 262 targets, applying genome-wide adjustment over 19 445 genes and the registered effect filter. External simulations injected two targets among 177 eligible frozen genes, also requiring the prespecified direction and a 95% confidence interval excluding zero; seven of 184 measurable genes were ineligible for count/dispersion fitting. Dispersions were treated as known. These conditional illustrations do not estimate full-pipeline power; the 24-h simulation differs from the complete observed candidate-by-contrast testing family.</w:t>
      </w:r>
    </w:p>
    <w:p w14:paraId="1690CBA0" w14:textId="77777777" w:rsidR="00083884" w:rsidRDefault="00000000">
      <w:pPr>
        <w:keepNext/>
        <w:spacing w:before="200" w:after="60" w:line="360" w:lineRule="auto"/>
      </w:pPr>
      <w:r>
        <w:rPr>
          <w:b/>
        </w:rPr>
        <w:t>RESULTS</w:t>
      </w:r>
    </w:p>
    <w:p w14:paraId="4BE085A0" w14:textId="77777777" w:rsidR="00083884" w:rsidRDefault="00000000">
      <w:pPr>
        <w:spacing w:after="120" w:line="360" w:lineRule="auto"/>
        <w:jc w:val="both"/>
      </w:pPr>
      <w:r>
        <w:t xml:space="preserve">Discovery quality and genome-wide interaction. All 12 libraries passed technical gates (Figure 1B). Principal components separated cultivar (PC1, 54.2% of variance) and infection status (PC2, 16.1%), without isolated libraries (Figure 1C). Of 19 445 expressed genes, 262 met the registered significance and observed-effect criteria; mappability and gene-model checks removed 31 and 25, respectively, leaving 206 frozen candidates (Figure 2A,C). Adjustment within 13 602 QC-eligible genes retained all 206 and added 12, but does not establish an FDR guarantee for post-test filtering. Composite-null tests supported 8 of 262 statistical and 7 of 206 QC-retained candidates; apeglm false-sign-or-small values were below 0.05 for 149 and 113, respectively. These post hoc checks did not change membership and limit claims that true effects exceed the chosen magnitude.</w:t>
      </w:r>
    </w:p>
    <w:p w14:paraId="7F73366B" w14:textId="77777777" w:rsidR="00083884" w:rsidRDefault="00000000">
      <w:pPr>
        <w:keepNext/>
        <w:jc w:val="center"/>
      </w:pPr>
      <w:r>
        <w:rPr>
          <w:noProof/>
        </w:rPr>
        <w:lastRenderedPageBreak/>
        <w:drawing>
          <wp:inline distT="0" distB="0" distL="0" distR="0" wp14:anchorId="194D219D" wp14:editId="3F0F4F90">
            <wp:extent cx="4892040" cy="4303583"/>
            <wp:effectExtent l="0" t="0" r="0" b="0"/>
            <wp:docPr id="1" name="Picture 1" descr="Study-design diagram and quality-control summaries for five public cohorts and twelve discovery librar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tudy_design_and_QC.tif"/>
                    <pic:cNvPicPr/>
                  </pic:nvPicPr>
                  <pic:blipFill>
                    <a:blip r:embed="rId7"/>
                    <a:stretch>
                      <a:fillRect/>
                    </a:stretch>
                  </pic:blipFill>
                  <pic:spPr>
                    <a:xfrm>
                      <a:off x="0" y="0"/>
                      <a:ext cx="4892040" cy="4303583"/>
                    </a:xfrm>
                    <a:prstGeom prst="rect">
                      <a:avLst/>
                    </a:prstGeom>
                  </pic:spPr>
                </pic:pic>
              </a:graphicData>
            </a:graphic>
          </wp:inline>
        </w:drawing>
      </w:r>
    </w:p>
    <w:p w14:paraId="01FBAB46" w14:textId="77777777" w:rsidR="00083884" w:rsidRDefault="00000000">
      <w:pPr>
        <w:spacing w:before="60" w:after="160"/>
        <w:jc w:val="both"/>
      </w:pPr>
      <w:r>
        <w:rPr>
          <w:sz w:val="20"/>
        </w:rPr>
        <w:t>Figure 1. Study cohorts and discovery quality. (A) Five public cohorts with fixed roles. (B) Per-library read survival, STAR unique alignment and Salmon mapping; all 12 discovery libraries passed. (C) Principal components separate cultivar and infection status.</w:t>
      </w:r>
    </w:p>
    <w:p w14:paraId="2EE64E69" w14:textId="77777777" w:rsidR="00083884" w:rsidRDefault="00000000">
      <w:pPr>
        <w:keepNext/>
        <w:spacing w:before="60" w:after="160"/>
        <w:jc w:val="both"/>
      </w:pPr>
      <w:r>
        <w:rPr>
          <w:sz w:val="20"/>
        </w:rPr>
        <w:t>Table 1. Fixed dataset roles and eligibility.</w:t>
      </w:r>
    </w:p>
    <w:tbl>
      <w:tblPr>
        <w:tblW w:w="0" w:type="auto"/>
        <w:jc w:val="center"/>
        <w:tblLayout w:type="fixed"/>
        <w:tblLook w:val="04A0" w:firstRow="1" w:lastRow="0" w:firstColumn="1" w:lastColumn="0" w:noHBand="0" w:noVBand="1"/>
      </w:tblPr>
      <w:tblGrid>
        <w:gridCol w:w="2232"/>
        <w:gridCol w:w="4104"/>
        <w:gridCol w:w="2376"/>
      </w:tblGrid>
      <w:tr w:rsidR="00083884" w14:paraId="7F620C27"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45ACB8B" w14:textId="77777777" w:rsidR="00083884" w:rsidRDefault="00000000">
            <w:pPr>
              <w:keepNext/>
              <w:jc w:val="center"/>
            </w:pPr>
            <w:r>
              <w:rPr>
                <w:b/>
                <w:sz w:val="17"/>
              </w:rPr>
              <w:t>Accession</w:t>
            </w:r>
          </w:p>
        </w:tc>
        <w:tc>
          <w:tcPr>
            <w:tcW w:w="4104"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A3F6338" w14:textId="77777777" w:rsidR="00083884" w:rsidRDefault="00000000">
            <w:pPr>
              <w:keepNext/>
            </w:pPr>
            <w:r>
              <w:rPr>
                <w:b/>
                <w:sz w:val="17"/>
              </w:rPr>
              <w:t>Design</w:t>
            </w:r>
          </w:p>
        </w:tc>
        <w:tc>
          <w:tcPr>
            <w:tcW w:w="237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2CCE3F60" w14:textId="77777777" w:rsidR="00083884" w:rsidRDefault="00000000">
            <w:pPr>
              <w:keepNext/>
              <w:jc w:val="center"/>
            </w:pPr>
            <w:r>
              <w:rPr>
                <w:b/>
                <w:sz w:val="17"/>
              </w:rPr>
              <w:t>Fixed role</w:t>
            </w:r>
          </w:p>
        </w:tc>
      </w:tr>
      <w:tr w:rsidR="00083884" w14:paraId="40E08A8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F7942E7" w14:textId="77777777" w:rsidR="00083884" w:rsidRDefault="00000000">
            <w:pPr>
              <w:keepNext/>
              <w:jc w:val="center"/>
            </w:pPr>
            <w:r>
              <w:rPr>
                <w:sz w:val="17"/>
              </w:rPr>
              <w:t>PRJNA830488 / GSE201243</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A08992C" w14:textId="77777777" w:rsidR="00083884" w:rsidRDefault="00000000">
            <w:pPr>
              <w:keepNext/>
            </w:pPr>
            <w:r>
              <w:rPr>
                <w:sz w:val="17"/>
              </w:rPr>
              <w:t>Guiwei and Yurong1 leaf;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E8ED32" w14:textId="77777777" w:rsidR="00083884" w:rsidRDefault="00000000">
            <w:pPr>
              <w:keepNext/>
              <w:jc w:val="center"/>
            </w:pPr>
            <w:r>
              <w:rPr>
                <w:sz w:val="17"/>
              </w:rPr>
              <w:t>Discovery</w:t>
            </w:r>
          </w:p>
        </w:tc>
      </w:tr>
      <w:tr w:rsidR="00083884" w14:paraId="71E6E3D7"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13038F0" w14:textId="77777777" w:rsidR="00083884" w:rsidRDefault="00000000">
            <w:pPr>
              <w:keepNext/>
              <w:jc w:val="center"/>
            </w:pPr>
            <w:r>
              <w:rPr>
                <w:sz w:val="17"/>
              </w:rPr>
              <w:t>PRJNA450886</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2051060" w14:textId="77777777" w:rsidR="00083884" w:rsidRDefault="00000000">
            <w:pPr>
              <w:keepNext/>
            </w:pPr>
            <w:r>
              <w:rPr>
                <w:sz w:val="17"/>
              </w:rPr>
              <w:t>Guiwei and Heiye pericarp; 6, 24, 48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7520DC5" w14:textId="77777777" w:rsidR="00083884" w:rsidRDefault="00000000">
            <w:pPr>
              <w:keepNext/>
              <w:jc w:val="center"/>
            </w:pPr>
            <w:r>
              <w:rPr>
                <w:sz w:val="17"/>
              </w:rPr>
              <w:t>Primary external</w:t>
            </w:r>
          </w:p>
        </w:tc>
      </w:tr>
      <w:tr w:rsidR="00083884" w14:paraId="38EFB54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1BFAA2D" w14:textId="77777777" w:rsidR="00083884" w:rsidRDefault="00000000">
            <w:pPr>
              <w:keepNext/>
              <w:jc w:val="center"/>
            </w:pPr>
            <w:r>
              <w:rPr>
                <w:sz w:val="17"/>
              </w:rPr>
              <w:t>PRJNA922966 / GSE222651</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0F05431" w14:textId="77777777" w:rsidR="00083884" w:rsidRDefault="00000000">
            <w:pPr>
              <w:keepNext/>
            </w:pPr>
            <w:r>
              <w:rPr>
                <w:sz w:val="17"/>
              </w:rPr>
              <w:t>Feizixiao leaf and fruit;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DABF74" w14:textId="77777777" w:rsidR="00083884" w:rsidRDefault="00000000">
            <w:pPr>
              <w:keepNext/>
              <w:jc w:val="center"/>
            </w:pPr>
            <w:r>
              <w:rPr>
                <w:sz w:val="17"/>
              </w:rPr>
              <w:t>Generic transfer</w:t>
            </w:r>
          </w:p>
        </w:tc>
      </w:tr>
      <w:tr w:rsidR="00083884" w14:paraId="2106CA9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F0B6E51" w14:textId="77777777" w:rsidR="00083884" w:rsidRDefault="00000000">
            <w:pPr>
              <w:keepNext/>
              <w:jc w:val="center"/>
            </w:pPr>
            <w:r>
              <w:rPr>
                <w:sz w:val="17"/>
              </w:rPr>
              <w:t>PRJNA922965 / GSE222650</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493F25D" w14:textId="77777777" w:rsidR="00083884" w:rsidRDefault="00000000">
            <w:pPr>
              <w:keepNext/>
            </w:pPr>
            <w:r>
              <w:rPr>
                <w:sz w:val="17"/>
              </w:rPr>
              <w:t>Feizixiao small RNA; 24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AC5CAED" w14:textId="77777777" w:rsidR="00083884" w:rsidRDefault="00000000">
            <w:pPr>
              <w:keepNext/>
              <w:jc w:val="center"/>
            </w:pPr>
            <w:r>
              <w:rPr>
                <w:sz w:val="17"/>
              </w:rPr>
              <w:t>Orthogonal modality</w:t>
            </w:r>
          </w:p>
        </w:tc>
      </w:tr>
      <w:tr w:rsidR="00083884" w14:paraId="71480808"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C96597F" w14:textId="77777777" w:rsidR="00083884" w:rsidRDefault="00000000">
            <w:pPr>
              <w:jc w:val="center"/>
            </w:pPr>
            <w:r>
              <w:rPr>
                <w:sz w:val="17"/>
              </w:rPr>
              <w:t>PRJNA1090613 / GSE262200</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F42CC9" w14:textId="77777777" w:rsidR="00083884" w:rsidRDefault="00000000">
            <w:r>
              <w:rPr>
                <w:sz w:val="17"/>
              </w:rPr>
              <w:t>Guiwei and SFZ leaf</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66F816" w14:textId="77777777" w:rsidR="00083884" w:rsidRDefault="00000000">
            <w:pPr>
              <w:jc w:val="center"/>
            </w:pPr>
            <w:r>
              <w:rPr>
                <w:sz w:val="17"/>
              </w:rPr>
              <w:t>Exploratory only</w:t>
            </w:r>
          </w:p>
        </w:tc>
      </w:tr>
    </w:tbl>
    <w:p w14:paraId="736902E7" w14:textId="77777777" w:rsidR="00083884" w:rsidRDefault="00000000">
      <w:pPr>
        <w:spacing w:after="120" w:line="360" w:lineRule="auto"/>
        <w:jc w:val="both"/>
      </w:pPr>
      <w:r>
        <w:t xml:space="preserve">Exploratory candidates and internal robustness. Among 18 exploratory genes, 13 were significant within Guiwei and 16 within Yurong1 at genome-wide q &lt; 0.05; 13 and 15, respectively, also exceeded the observed-effect threshold. None passed the interaction criterion, and two failed uniform mappability. Among 206 frozen genes, alternative quantification, edgeR, expression filtering and leave-one-out checks retained 196, 19, 205 and 125, respectively. Eighteen passed jointly and 16 survived observed-mapping checks (Figure 3A). DESeq2 and edgeR effects correlated at r = 0.995 genome-wide and r = 0.999 among candidates, with complete candidate direction agreement. Nevertheless, the significance discrepancy remains unresolved and prevents treating the full discovery set as robust across statistical methods.</w:t>
      </w:r>
    </w:p>
    <w:p w14:paraId="1EA15C9E" w14:textId="77777777" w:rsidR="00083884" w:rsidRDefault="00000000">
      <w:pPr>
        <w:keepNext/>
        <w:jc w:val="center"/>
      </w:pPr>
      <w:r>
        <w:rPr>
          <w:noProof/>
        </w:rPr>
        <w:drawing>
          <wp:inline distT="0" distB="0" distL="0" distR="0" wp14:anchorId="496C24BF" wp14:editId="54CAA0A2">
            <wp:extent cx="5486400" cy="4970842"/>
            <wp:effectExtent l="0" t="0" r="0" b="0"/>
            <wp:docPr id="2" name="Picture 2" descr="Genome-wide interaction effects, exploratory-candidate audit and attrition to the internally robust gene se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covery_and_legacy_audit.tif"/>
                    <pic:cNvPicPr/>
                  </pic:nvPicPr>
                  <pic:blipFill>
                    <a:blip r:embed="rId8"/>
                    <a:stretch>
                      <a:fillRect/>
                    </a:stretch>
                  </pic:blipFill>
                  <pic:spPr>
                    <a:xfrm>
                      <a:off x="0" y="0"/>
                      <a:ext cx="5486400" cy="4970842"/>
                    </a:xfrm>
                    <a:prstGeom prst="rect">
                      <a:avLst/>
                    </a:prstGeom>
                  </pic:spPr>
                </pic:pic>
              </a:graphicData>
            </a:graphic>
          </wp:inline>
        </w:drawing>
      </w:r>
    </w:p>
    <w:p w14:paraId="2F6AE740" w14:textId="77777777" w:rsidR="00083884" w:rsidRDefault="00000000">
      <w:pPr>
        <w:spacing w:before="60" w:after="160"/>
        <w:jc w:val="both"/>
      </w:pPr>
      <w:r>
        <w:rPr>
          <w:sz w:val="20"/>
        </w:rPr>
        <w:t>Figure 2. Genome-wide discovery and reassessment of exploratory candidates. (A) Interaction effects across 19 445 genes; 262 met the statistical threshold and 206 remained after quality control. (B) Interaction estimates for 18 exploratory candidates. (C) Attrition to the internally robust set.</w:t>
      </w:r>
    </w:p>
    <w:p w14:paraId="33365186" w14:textId="77777777" w:rsidR="00083884" w:rsidRDefault="00000000">
      <w:pPr>
        <w:spacing w:after="120" w:line="360" w:lineRule="auto"/>
        <w:jc w:val="both"/>
      </w:pPr>
      <w:r>
        <w:t xml:space="preserve">Cross-context outcomes. In the primary 24-h pericarp evaluation, 184 of 206 candidates were measurable. LITCHI005518 and LITCHI001963 met all external criteria in the discovery direction; five genes met magnitude and significance criteria in the opposite direction (Table 2; Figure 3C). Other outcomes were below threshold or not testable. Effect agreement was weak (Pearson r = -0.05, 95% confidence interval -0.19 to 0.10; Spearman rho = -0.04); 95 of 184 shared direction. The 16 internally robust and two externally supported genes did not overlap (Figure 3B). Because tissue, cultivar comparator and study conditions changed together, these results provide cross-context support rather than direct replication or an isolated test of tissue effects.</w:t>
      </w:r>
    </w:p>
    <w:p w14:paraId="45E26243" w14:textId="77777777" w:rsidR="00083884" w:rsidRDefault="00000000">
      <w:pPr>
        <w:keepNext/>
        <w:jc w:val="center"/>
      </w:pPr>
      <w:r>
        <w:rPr>
          <w:noProof/>
        </w:rPr>
        <w:drawing>
          <wp:inline distT="0" distB="0" distL="0" distR="0" wp14:anchorId="7C813A3E" wp14:editId="04A46319">
            <wp:extent cx="5486400" cy="4841952"/>
            <wp:effectExtent l="0" t="0" r="0" b="0"/>
            <wp:docPr id="3" name="Picture 3" descr="Internal robustness gates, overlap with cross-context support and comparison of discovery with pericarp effec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robustness_and_external_evaluation.tif"/>
                    <pic:cNvPicPr/>
                  </pic:nvPicPr>
                  <pic:blipFill>
                    <a:blip r:embed="rId9"/>
                    <a:stretch>
                      <a:fillRect/>
                    </a:stretch>
                  </pic:blipFill>
                  <pic:spPr>
                    <a:xfrm>
                      <a:off x="0" y="0"/>
                      <a:ext cx="5486400" cy="4841952"/>
                    </a:xfrm>
                    <a:prstGeom prst="rect">
                      <a:avLst/>
                    </a:prstGeom>
                  </pic:spPr>
                </pic:pic>
              </a:graphicData>
            </a:graphic>
          </wp:inline>
        </w:drawing>
      </w:r>
    </w:p>
    <w:p w14:paraId="18E0835A" w14:textId="77777777" w:rsidR="00083884" w:rsidRDefault="00000000">
      <w:pPr>
        <w:spacing w:before="60" w:after="160"/>
        <w:jc w:val="both"/>
      </w:pPr>
      <w:r>
        <w:rPr>
          <w:sz w:val="20"/>
        </w:rPr>
        <w:t xml:space="preserve">Figure 3. Internal robustness and primary external evaluation. (A) Retention by each robustness gate. (B) The 16 internally robust and two cross-context-supported genes do not overlap. (C) Discovery effects against </w:t>
      </w:r>
      <w:proofErr w:type="gramStart"/>
      <w:r>
        <w:rPr>
          <w:sz w:val="20"/>
        </w:rPr>
        <w:t>24-h</w:t>
      </w:r>
      <w:proofErr w:type="gramEnd"/>
      <w:r>
        <w:rPr>
          <w:sz w:val="20"/>
        </w:rPr>
        <w:t xml:space="preserve"> pericarp effects; the diagonal is a visual reference. Support denotes the external criteria only.</w:t>
      </w:r>
    </w:p>
    <w:p w14:paraId="781BD375" w14:textId="77777777" w:rsidR="00083884" w:rsidRDefault="00000000">
      <w:r>
        <w:br w:type="page"/>
      </w:r>
    </w:p>
    <w:p w14:paraId="5E8C1F72" w14:textId="77777777" w:rsidR="00083884" w:rsidRDefault="00000000">
      <w:pPr>
        <w:spacing w:before="60" w:after="160"/>
        <w:jc w:val="both"/>
      </w:pPr>
      <w:r>
        <w:rPr>
          <w:sz w:val="20"/>
        </w:rPr>
        <w:lastRenderedPageBreak/>
        <w:t>Table 2. Supported and opposite-direction genes in the primary external evaluation. Effects are cultivar-by-infection interaction log2 fold changes; external intervals are 95% confidence intervals. Annotations are provisional. Neither supported gene passed every internal robustness gate.</w:t>
      </w:r>
    </w:p>
    <w:tbl>
      <w:tblPr>
        <w:tblW w:w="0" w:type="auto"/>
        <w:jc w:val="center"/>
        <w:tblLayout w:type="fixed"/>
        <w:tblLook w:val="04A0" w:firstRow="1" w:lastRow="0" w:firstColumn="1" w:lastColumn="0" w:noHBand="0" w:noVBand="1"/>
      </w:tblPr>
      <w:tblGrid>
        <w:gridCol w:w="1152"/>
        <w:gridCol w:w="1656"/>
        <w:gridCol w:w="936"/>
        <w:gridCol w:w="792"/>
        <w:gridCol w:w="1872"/>
        <w:gridCol w:w="792"/>
        <w:gridCol w:w="936"/>
      </w:tblGrid>
      <w:tr w:rsidR="00083884" w14:paraId="06A3B335" w14:textId="77777777">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409F407D" w14:textId="77777777" w:rsidR="00083884" w:rsidRDefault="00000000">
            <w:pPr>
              <w:jc w:val="center"/>
            </w:pPr>
            <w:r>
              <w:rPr>
                <w:b/>
                <w:sz w:val="15"/>
              </w:rPr>
              <w:t>Gene</w:t>
            </w:r>
          </w:p>
        </w:tc>
        <w:tc>
          <w:tcPr>
            <w:tcW w:w="165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879E0B7" w14:textId="77777777" w:rsidR="00083884" w:rsidRDefault="00000000">
            <w:r>
              <w:rPr>
                <w:b/>
                <w:sz w:val="15"/>
              </w:rPr>
              <w:t>Annotation</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6AE9623" w14:textId="77777777" w:rsidR="00083884" w:rsidRDefault="00000000">
            <w:pPr>
              <w:jc w:val="center"/>
            </w:pPr>
            <w:r>
              <w:rPr>
                <w:b/>
                <w:sz w:val="15"/>
              </w:rPr>
              <w:t>Discovery log2FC</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30" w:type="dxa"/>
              <w:bottom w:w="90" w:type="dxa"/>
              <w:right w:w="30" w:type="dxa"/>
            </w:tcMar>
            <w:vAlign w:val="center"/>
          </w:tcPr>
          <w:p w14:paraId="62C28565" w14:textId="77777777" w:rsidR="00083884" w:rsidRDefault="00000000">
            <w:pPr>
              <w:jc w:val="center"/>
            </w:pPr>
            <w:r>
              <w:rPr>
                <w:b/>
                <w:sz w:val="15"/>
              </w:rPr>
              <w:t>Discovery q</w:t>
            </w:r>
          </w:p>
        </w:tc>
        <w:tc>
          <w:tcPr>
            <w:tcW w:w="187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B8454DF" w14:textId="77777777" w:rsidR="00083884" w:rsidRDefault="00000000">
            <w:pPr>
              <w:jc w:val="center"/>
            </w:pPr>
            <w:r>
              <w:rPr>
                <w:b/>
                <w:sz w:val="15"/>
              </w:rPr>
              <w:t>External log2FC (</w:t>
            </w:r>
            <w:proofErr w:type="gramStart"/>
            <w:r>
              <w:rPr>
                <w:b/>
                <w:sz w:val="15"/>
              </w:rPr>
              <w:t>95%</w:t>
            </w:r>
            <w:proofErr w:type="gramEnd"/>
            <w:r>
              <w:rPr>
                <w:b/>
                <w:sz w:val="15"/>
              </w:rPr>
              <w:t xml:space="preserve"> CI)</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7EB8DF67" w14:textId="77777777" w:rsidR="00083884" w:rsidRDefault="00000000">
            <w:pPr>
              <w:jc w:val="center"/>
            </w:pPr>
            <w:r>
              <w:rPr>
                <w:b/>
                <w:sz w:val="15"/>
              </w:rPr>
              <w:t>External q</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155F5DF1" w14:textId="77777777" w:rsidR="00083884" w:rsidRDefault="00000000">
            <w:pPr>
              <w:jc w:val="center"/>
            </w:pPr>
            <w:r>
              <w:rPr>
                <w:b/>
                <w:sz w:val="15"/>
              </w:rPr>
              <w:t>Outcome</w:t>
            </w:r>
          </w:p>
        </w:tc>
      </w:tr>
      <w:tr w:rsidR="00083884" w14:paraId="044126E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11EA4C3" w14:textId="77777777" w:rsidR="00083884" w:rsidRDefault="00000000">
            <w:pPr>
              <w:jc w:val="center"/>
            </w:pPr>
            <w:r>
              <w:rPr>
                <w:sz w:val="15"/>
              </w:rPr>
              <w:t>LITCHI005518</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FA3A2A3" w14:textId="77777777" w:rsidR="00083884" w:rsidRDefault="00000000">
            <w:r>
              <w:rPr>
                <w:sz w:val="15"/>
              </w:rPr>
              <w:t>Alpha-xylosidase 1</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A2F9DD" w14:textId="77777777" w:rsidR="00083884" w:rsidRDefault="00000000">
            <w:pPr>
              <w:jc w:val="center"/>
            </w:pPr>
            <w:r>
              <w:rPr>
                <w:sz w:val="15"/>
              </w:rPr>
              <w:t>+0.64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E588B64" w14:textId="77777777" w:rsidR="00083884" w:rsidRDefault="00000000">
            <w:pPr>
              <w:jc w:val="center"/>
            </w:pPr>
            <w:r>
              <w:rPr>
                <w:sz w:val="15"/>
              </w:rPr>
              <w:t>0.025</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E8820D" w14:textId="77777777" w:rsidR="00083884" w:rsidRDefault="00000000">
            <w:pPr>
              <w:jc w:val="center"/>
            </w:pPr>
            <w:r>
              <w:rPr>
                <w:sz w:val="15"/>
              </w:rPr>
              <w:t>+0.67 (+0.32 to +1.02)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D1F6D3"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F6EF25" w14:textId="77777777" w:rsidR="00083884" w:rsidRDefault="00000000">
            <w:pPr>
              <w:jc w:val="center"/>
            </w:pPr>
            <w:r>
              <w:rPr>
                <w:sz w:val="15"/>
              </w:rPr>
              <w:t>Supported</w:t>
            </w:r>
          </w:p>
        </w:tc>
      </w:tr>
      <w:tr w:rsidR="00083884" w14:paraId="5763A89C"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27E11D5" w14:textId="77777777" w:rsidR="00083884" w:rsidRDefault="00000000">
            <w:pPr>
              <w:jc w:val="center"/>
            </w:pPr>
            <w:r>
              <w:rPr>
                <w:sz w:val="15"/>
              </w:rPr>
              <w:t>LITCHI001963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97EEEC5" w14:textId="77777777" w:rsidR="00083884" w:rsidRDefault="00000000">
            <w:r>
              <w:rPr>
                <w:sz w:val="15"/>
              </w:rPr>
              <w:t>Uncharacterised; 1:1 Oryza orthologue</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59AE5F7" w14:textId="77777777" w:rsidR="00083884" w:rsidRDefault="00000000">
            <w:pPr>
              <w:jc w:val="center"/>
            </w:pPr>
            <w:r>
              <w:rPr>
                <w:sz w:val="15"/>
              </w:rPr>
              <w:t>-1.41</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2750BDF" w14:textId="77777777" w:rsidR="00083884" w:rsidRDefault="00000000">
            <w:pPr>
              <w:jc w:val="center"/>
            </w:pPr>
            <w:r>
              <w:rPr>
                <w:sz w:val="15"/>
              </w:rPr>
              <w:t>0.024</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1F554D5E" w14:textId="77777777" w:rsidR="00083884" w:rsidRDefault="00000000">
            <w:pPr>
              <w:jc w:val="center"/>
            </w:pPr>
            <w:r>
              <w:rPr>
                <w:sz w:val="15"/>
              </w:rPr>
              <w:t>-0.94 (-1.43 to -0.46)</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685E372"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79734D26" w14:textId="77777777" w:rsidR="00083884" w:rsidRDefault="00000000">
            <w:pPr>
              <w:jc w:val="center"/>
            </w:pPr>
            <w:r>
              <w:rPr>
                <w:sz w:val="15"/>
              </w:rPr>
              <w:t>Supported</w:t>
            </w:r>
          </w:p>
        </w:tc>
      </w:tr>
      <w:tr w:rsidR="00083884" w14:paraId="6D27F412"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48419D" w14:textId="77777777" w:rsidR="00083884" w:rsidRDefault="00000000">
            <w:pPr>
              <w:jc w:val="center"/>
            </w:pPr>
            <w:r>
              <w:rPr>
                <w:sz w:val="15"/>
              </w:rPr>
              <w:t>LITCHI030761</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009EED0" w14:textId="77777777" w:rsidR="00083884" w:rsidRDefault="00000000">
            <w:r>
              <w:rPr>
                <w:sz w:val="15"/>
              </w:rPr>
              <w:t>Caffeoylshikimate esterase</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81B860A" w14:textId="77777777" w:rsidR="00083884" w:rsidRDefault="00000000">
            <w:pPr>
              <w:jc w:val="center"/>
            </w:pPr>
            <w:r>
              <w:rPr>
                <w:sz w:val="15"/>
              </w:rPr>
              <w:t>-0.92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2F21DBA" w14:textId="77777777" w:rsidR="00083884" w:rsidRDefault="00000000">
            <w:pPr>
              <w:jc w:val="center"/>
            </w:pPr>
            <w:r>
              <w:rPr>
                <w:sz w:val="15"/>
              </w:rPr>
              <w:t>0.040</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D6B3838" w14:textId="77777777" w:rsidR="00083884" w:rsidRDefault="00000000">
            <w:pPr>
              <w:jc w:val="center"/>
            </w:pPr>
            <w:r>
              <w:rPr>
                <w:sz w:val="15"/>
              </w:rPr>
              <w:t>+1.31 (+0.78 to +1.85)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5589969" w14:textId="77777777" w:rsidR="00083884" w:rsidRDefault="00000000">
            <w:pPr>
              <w:jc w:val="center"/>
            </w:pPr>
            <w:r>
              <w:rPr>
                <w:sz w:val="15"/>
              </w:rPr>
              <w:t>0.0002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301F530" w14:textId="77777777" w:rsidR="00083884" w:rsidRDefault="00000000">
            <w:pPr>
              <w:jc w:val="center"/>
            </w:pPr>
            <w:r>
              <w:rPr>
                <w:sz w:val="15"/>
              </w:rPr>
              <w:t>Reversed</w:t>
            </w:r>
          </w:p>
        </w:tc>
      </w:tr>
      <w:tr w:rsidR="00083884" w14:paraId="7A24348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0CB5B3D" w14:textId="77777777" w:rsidR="00083884" w:rsidRDefault="00000000">
            <w:pPr>
              <w:jc w:val="center"/>
            </w:pPr>
            <w:r>
              <w:rPr>
                <w:sz w:val="15"/>
              </w:rPr>
              <w:t>LITCHI029534</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4780104" w14:textId="77777777" w:rsidR="00083884" w:rsidRDefault="00000000">
            <w:r>
              <w:rPr>
                <w:sz w:val="15"/>
              </w:rPr>
              <w:t>Thiamine thiazole synthase 2</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ACB9F5E" w14:textId="77777777" w:rsidR="00083884" w:rsidRDefault="00000000">
            <w:pPr>
              <w:jc w:val="center"/>
            </w:pPr>
            <w:r>
              <w:rPr>
                <w:sz w:val="15"/>
              </w:rPr>
              <w:t>+1.48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0AD935E" w14:textId="77777777" w:rsidR="00083884" w:rsidRDefault="00000000">
            <w:pPr>
              <w:jc w:val="center"/>
            </w:pPr>
            <w:r>
              <w:rPr>
                <w:sz w:val="15"/>
              </w:rPr>
              <w:t>0.002</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DFB5C28" w14:textId="77777777" w:rsidR="00083884" w:rsidRDefault="00000000">
            <w:pPr>
              <w:jc w:val="center"/>
            </w:pPr>
            <w:r>
              <w:rPr>
                <w:sz w:val="15"/>
              </w:rPr>
              <w:t>-1.04 (-1.61 to -0.48)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F0B50A9" w14:textId="77777777" w:rsidR="00083884" w:rsidRDefault="00000000">
            <w:pPr>
              <w:jc w:val="center"/>
            </w:pPr>
            <w:r>
              <w:rPr>
                <w:sz w:val="15"/>
              </w:rPr>
              <w:t>0.010</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0222CF9" w14:textId="77777777" w:rsidR="00083884" w:rsidRDefault="00000000">
            <w:pPr>
              <w:jc w:val="center"/>
            </w:pPr>
            <w:r>
              <w:rPr>
                <w:sz w:val="15"/>
              </w:rPr>
              <w:t>Reversed</w:t>
            </w:r>
          </w:p>
        </w:tc>
      </w:tr>
      <w:tr w:rsidR="00083884" w14:paraId="587587C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A002AB5" w14:textId="77777777" w:rsidR="00083884" w:rsidRDefault="00000000">
            <w:pPr>
              <w:jc w:val="center"/>
            </w:pPr>
            <w:r>
              <w:rPr>
                <w:sz w:val="15"/>
              </w:rPr>
              <w:t>LITCHI021860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7351C5" w14:textId="77777777" w:rsidR="00083884" w:rsidRDefault="00000000">
            <w:r>
              <w:rPr>
                <w:sz w:val="15"/>
              </w:rPr>
              <w:t xml:space="preserve">Phosphatidylinositol </w:t>
            </w:r>
            <w:proofErr w:type="gramStart"/>
            <w:r>
              <w:rPr>
                <w:sz w:val="15"/>
              </w:rPr>
              <w:t>4-kinase</w:t>
            </w:r>
            <w:proofErr w:type="gramEnd"/>
            <w:r>
              <w:rPr>
                <w:sz w:val="15"/>
              </w:rPr>
              <w:t xml:space="preserve"> gamma 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A14E19D" w14:textId="77777777" w:rsidR="00083884" w:rsidRDefault="00000000">
            <w:pPr>
              <w:jc w:val="center"/>
            </w:pPr>
            <w:r>
              <w:rPr>
                <w:sz w:val="15"/>
              </w:rPr>
              <w:t>-0.65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E1FFEDA" w14:textId="77777777" w:rsidR="00083884" w:rsidRDefault="00000000">
            <w:pPr>
              <w:jc w:val="center"/>
            </w:pPr>
            <w:r>
              <w:rPr>
                <w:sz w:val="15"/>
              </w:rPr>
              <w:t>0.032</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C80E197" w14:textId="77777777" w:rsidR="00083884" w:rsidRDefault="00000000">
            <w:pPr>
              <w:jc w:val="center"/>
            </w:pPr>
            <w:r>
              <w:rPr>
                <w:sz w:val="15"/>
              </w:rPr>
              <w:t>+0.97 (+0.39 to +1.54)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75B2304" w14:textId="77777777" w:rsidR="00083884" w:rsidRDefault="00000000">
            <w:pPr>
              <w:jc w:val="center"/>
            </w:pPr>
            <w:r>
              <w:rPr>
                <w:sz w:val="15"/>
              </w:rPr>
              <w:t>0.029</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E5B1D08" w14:textId="77777777" w:rsidR="00083884" w:rsidRDefault="00000000">
            <w:pPr>
              <w:jc w:val="center"/>
            </w:pPr>
            <w:r>
              <w:rPr>
                <w:sz w:val="15"/>
              </w:rPr>
              <w:t>Reversed</w:t>
            </w:r>
          </w:p>
        </w:tc>
      </w:tr>
      <w:tr w:rsidR="00083884" w14:paraId="433F2326"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FE7EA1D" w14:textId="77777777" w:rsidR="00083884" w:rsidRDefault="00000000">
            <w:pPr>
              <w:jc w:val="center"/>
            </w:pPr>
            <w:r>
              <w:rPr>
                <w:sz w:val="15"/>
              </w:rPr>
              <w:t>LITCHI008313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F0D332C" w14:textId="77777777" w:rsidR="00083884" w:rsidRDefault="00000000">
            <w:r>
              <w:rPr>
                <w:sz w:val="15"/>
              </w:rPr>
              <w:t>Beta-glucosidase 44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8711A9D" w14:textId="77777777" w:rsidR="00083884" w:rsidRDefault="00000000">
            <w:pPr>
              <w:jc w:val="center"/>
            </w:pPr>
            <w:r>
              <w:rPr>
                <w:sz w:val="15"/>
              </w:rPr>
              <w:t>+0.90</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616EDFF" w14:textId="77777777" w:rsidR="00083884" w:rsidRDefault="00000000">
            <w:pPr>
              <w:jc w:val="center"/>
            </w:pPr>
            <w:r>
              <w:rPr>
                <w:sz w:val="15"/>
              </w:rPr>
              <w:t>0.045</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8B53E3B" w14:textId="77777777" w:rsidR="00083884" w:rsidRDefault="00000000">
            <w:pPr>
              <w:jc w:val="center"/>
            </w:pPr>
            <w:r>
              <w:rPr>
                <w:sz w:val="15"/>
              </w:rPr>
              <w:t>-1.12 (-1.81 to -0.44)</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C213B2B" w14:textId="77777777" w:rsidR="00083884" w:rsidRDefault="00000000">
            <w:pPr>
              <w:jc w:val="center"/>
            </w:pPr>
            <w:r>
              <w:rPr>
                <w:sz w:val="15"/>
              </w:rPr>
              <w:t>0.034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1E7C360" w14:textId="77777777" w:rsidR="00083884" w:rsidRDefault="00000000">
            <w:pPr>
              <w:jc w:val="center"/>
            </w:pPr>
            <w:r>
              <w:rPr>
                <w:sz w:val="15"/>
              </w:rPr>
              <w:t>Reversed</w:t>
            </w:r>
          </w:p>
        </w:tc>
      </w:tr>
      <w:tr w:rsidR="00083884" w14:paraId="0FB87CD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8344A82" w14:textId="77777777" w:rsidR="00083884" w:rsidRDefault="00000000">
            <w:pPr>
              <w:jc w:val="center"/>
            </w:pPr>
            <w:r>
              <w:rPr>
                <w:sz w:val="15"/>
              </w:rPr>
              <w:t>LITCHI001700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91B5809" w14:textId="77777777" w:rsidR="00083884" w:rsidRDefault="00000000">
            <w:proofErr w:type="gramStart"/>
            <w:r>
              <w:rPr>
                <w:sz w:val="15"/>
              </w:rPr>
              <w:t>Fe(</w:t>
            </w:r>
            <w:proofErr w:type="gramEnd"/>
            <w:r>
              <w:rPr>
                <w:sz w:val="15"/>
              </w:rPr>
              <w:t>II)/2-OG-dependent dioxygenase 4</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0D1FF1" w14:textId="77777777" w:rsidR="00083884" w:rsidRDefault="00000000">
            <w:pPr>
              <w:jc w:val="center"/>
            </w:pPr>
            <w:r>
              <w:rPr>
                <w:sz w:val="15"/>
              </w:rPr>
              <w:t>+3.70</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78F561D" w14:textId="77777777" w:rsidR="00083884" w:rsidRDefault="00000000">
            <w:pPr>
              <w:jc w:val="center"/>
            </w:pPr>
            <w:r>
              <w:rPr>
                <w:sz w:val="15"/>
              </w:rPr>
              <w:t>0.033</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0E77027" w14:textId="77777777" w:rsidR="00083884" w:rsidRDefault="00000000">
            <w:pPr>
              <w:jc w:val="center"/>
            </w:pPr>
            <w:r>
              <w:rPr>
                <w:sz w:val="15"/>
              </w:rPr>
              <w:t>-2.00 (-3.24 to -0.77)</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9C644F0" w14:textId="77777777" w:rsidR="00083884" w:rsidRDefault="00000000">
            <w:pPr>
              <w:jc w:val="center"/>
            </w:pPr>
            <w:r>
              <w:rPr>
                <w:sz w:val="15"/>
              </w:rPr>
              <w:t>0.035</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64F6A93" w14:textId="77777777" w:rsidR="00083884" w:rsidRDefault="00000000">
            <w:pPr>
              <w:jc w:val="center"/>
            </w:pPr>
            <w:r>
              <w:rPr>
                <w:sz w:val="15"/>
              </w:rPr>
              <w:t>Reversed</w:t>
            </w:r>
          </w:p>
        </w:tc>
      </w:tr>
    </w:tbl>
    <w:p w14:paraId="339B26F8" w14:textId="77777777" w:rsidR="00083884" w:rsidRDefault="00000000">
      <w:pPr>
        <w:spacing w:after="120" w:line="360" w:lineRule="auto"/>
        <w:jc w:val="both"/>
      </w:pPr>
      <w:r>
        <w:rPr>
          <w:b/>
        </w:rPr>
        <w:t xml:space="preserve">Signatures, pathways and transcript usage. </w:t>
      </w:r>
      <w:r>
        <w:t xml:space="preserve">The frozen 206-gene score tracked infection positively in Feizixiao leaf (0.107, q = 0.0015) and negatively in fruit (-0.181, q &lt; 0.001), with a tissue interaction of 0.289 (q &lt; 0.001). In pericarp, cultivar-by-infection effects were 0.109 at 24 h (95% confidence interval -0.079 to 0.297, q = 0.349) and -0.240 at 48 h (95% confidence interval -0.428 to -0.052, q = 0.043); these estimates do not directly test a between-time difference (Figure 4B). Of six discovery pathways, only circadian rhythm passed all internal perturbations and none passed external criteria (Figure 4A). After the conditional gate passed, transcript-usage analysis identified 225 events across 152 genes among 15 790 transcripts. In the primary external cohort, 125 events were measurable but below threshold and 100 were not testable; annotation incompatibility prevented generic-transfer testing (Figure 5). The exploratory cohort yielded four supported and five contradictory events, interpreted descriptively because time and resistance metadata were unresolved. Its signature estimate did not enter evidence tiers. Thus transcript-usage evidence remains at discovery stage; non-testability does not establish absence.</w:t>
      </w:r>
    </w:p>
    <w:p w14:paraId="6232B529" w14:textId="77777777" w:rsidR="00083884" w:rsidRDefault="00000000">
      <w:pPr>
        <w:keepNext/>
        <w:jc w:val="center"/>
      </w:pPr>
      <w:r>
        <w:rPr>
          <w:noProof/>
        </w:rPr>
        <w:lastRenderedPageBreak/>
        <w:drawing>
          <wp:inline distT="0" distB="0" distL="0" distR="0" wp14:anchorId="317A7240" wp14:editId="417DD59F">
            <wp:extent cx="5486400" cy="4769081"/>
            <wp:effectExtent l="0" t="0" r="0" b="0"/>
            <wp:docPr id="4" name="Picture 4" descr="Discovery-pathway robustness and frozen 206-gene signature results across external contras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athway_and_signature_evaluation.tif"/>
                    <pic:cNvPicPr/>
                  </pic:nvPicPr>
                  <pic:blipFill>
                    <a:blip r:embed="rId10"/>
                    <a:stretch>
                      <a:fillRect/>
                    </a:stretch>
                  </pic:blipFill>
                  <pic:spPr>
                    <a:xfrm>
                      <a:off x="0" y="0"/>
                      <a:ext cx="5486400" cy="4769081"/>
                    </a:xfrm>
                    <a:prstGeom prst="rect">
                      <a:avLst/>
                    </a:prstGeom>
                  </pic:spPr>
                </pic:pic>
              </a:graphicData>
            </a:graphic>
          </wp:inline>
        </w:drawing>
      </w:r>
    </w:p>
    <w:p w14:paraId="4E5CC128" w14:textId="77777777" w:rsidR="00083884" w:rsidRDefault="00000000">
      <w:pPr>
        <w:spacing w:before="60" w:after="160"/>
        <w:jc w:val="both"/>
      </w:pPr>
      <w:r>
        <w:rPr>
          <w:sz w:val="20"/>
        </w:rPr>
        <w:t xml:space="preserve">Figure 4. Pathway and signature evaluation. (A) Six discovery pathways; circadian rhythm passed all internal gates, but none passed external criteria. (B) The frozen </w:t>
      </w:r>
      <w:proofErr w:type="gramStart"/>
      <w:r>
        <w:rPr>
          <w:sz w:val="20"/>
        </w:rPr>
        <w:t>206-gene</w:t>
      </w:r>
      <w:proofErr w:type="gramEnd"/>
      <w:r>
        <w:rPr>
          <w:sz w:val="20"/>
        </w:rPr>
        <w:t xml:space="preserve"> signature across six non-exploratory external contrasts; filled points denote q </w:t>
      </w:r>
      <w:proofErr w:type="gramStart"/>
      <w:r>
        <w:rPr>
          <w:sz w:val="20"/>
        </w:rPr>
        <w:t>&lt; 0.05.</w:t>
      </w:r>
      <w:proofErr w:type="gramEnd"/>
      <w:r>
        <w:rPr>
          <w:sz w:val="20"/>
        </w:rPr>
        <w:t xml:space="preserve"> Tissue contrasts concern infection responses within Feizixiao; time-specific points do not test differences between times.</w:t>
      </w:r>
    </w:p>
    <w:p w14:paraId="576AFE83" w14:textId="77777777" w:rsidR="00083884" w:rsidRDefault="00000000">
      <w:pPr>
        <w:keepNext/>
        <w:jc w:val="center"/>
      </w:pPr>
      <w:r>
        <w:rPr>
          <w:noProof/>
        </w:rPr>
        <w:lastRenderedPageBreak/>
        <w:drawing>
          <wp:inline distT="0" distB="0" distL="0" distR="0" wp14:anchorId="1378FC79" wp14:editId="237A5AEB">
            <wp:extent cx="5486400" cy="3746391"/>
            <wp:effectExtent l="0" t="0" r="0" b="0"/>
            <wp:docPr id="5" name="Picture 5" descr="Conditional transcript-usage discovery counts and external follow-up outcomes by study ro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transcript_usage.tif"/>
                    <pic:cNvPicPr/>
                  </pic:nvPicPr>
                  <pic:blipFill>
                    <a:blip r:embed="rId11"/>
                    <a:stretch>
                      <a:fillRect/>
                    </a:stretch>
                  </pic:blipFill>
                  <pic:spPr>
                    <a:xfrm>
                      <a:off x="0" y="0"/>
                      <a:ext cx="5486400" cy="3746391"/>
                    </a:xfrm>
                    <a:prstGeom prst="rect">
                      <a:avLst/>
                    </a:prstGeom>
                  </pic:spPr>
                </pic:pic>
              </a:graphicData>
            </a:graphic>
          </wp:inline>
        </w:drawing>
      </w:r>
    </w:p>
    <w:p w14:paraId="3EB2BF68" w14:textId="77777777" w:rsidR="00083884" w:rsidRDefault="00000000">
      <w:pPr>
        <w:spacing w:before="60" w:after="160"/>
        <w:jc w:val="both"/>
      </w:pPr>
      <w:r>
        <w:rPr>
          <w:sz w:val="20"/>
        </w:rPr>
        <w:t>Figure 5. Conditional transcript usage. (A) Discovery gate and 225 events across 152 genes. (B) External follow-up separated by prespecified study role.</w:t>
      </w:r>
    </w:p>
    <w:p w14:paraId="6A65CE1F" w14:textId="77777777" w:rsidR="00083884" w:rsidRDefault="00000000">
      <w:pPr>
        <w:spacing w:after="120" w:line="360" w:lineRule="auto"/>
        <w:jc w:val="both"/>
      </w:pPr>
      <w:r>
        <w:t xml:space="preserve">Orthogonal evidence, tiers and detectable effects. Family-level annotations were assigned to 150 candidates, but none met all strict requirements: two annotation classes, at least 70% supported coverage and no architecture conflict. No promoter motif met the registered matched-background rule, and small-RNA coherence was untestable because PmiREN lacked an exact </w:t>
      </w:r>
      <w:r>
        <w:rPr>
          <w:i/>
        </w:rPr>
        <w:t xml:space="preserve">Litchi</w:t>
      </w:r>
      <w:r>
        <w:t xml:space="preserve"> entry (Figure 6A,B). Integration yielded no Tier A gene or Tier C pathway, 12 Tier B genes, 191 exploratory entities and 65 retired entities (Figure 6C). All nine externally measurable Tier B genes retained discovery direction, without meeting every support criterion; this is not external validation. Conditional simulations placed 80% detection at 2.44 log2 units in discovery and 2.11 in external candidate-family testing; detection at 1.5 log2 units was 62.7% and 74.0%, respectively.</w:t>
      </w:r>
    </w:p>
    <w:p w14:paraId="5EA17731" w14:textId="77777777" w:rsidR="00083884" w:rsidRDefault="00000000">
      <w:pPr>
        <w:keepNext/>
        <w:jc w:val="center"/>
      </w:pPr>
      <w:r>
        <w:rPr>
          <w:noProof/>
        </w:rPr>
        <w:lastRenderedPageBreak/>
        <w:drawing>
          <wp:inline distT="0" distB="0" distL="0" distR="0" wp14:anchorId="27FE9C40" wp14:editId="6DBD0389">
            <wp:extent cx="5486400" cy="4092112"/>
            <wp:effectExtent l="0" t="0" r="0" b="0"/>
            <wp:docPr id="6" name="Picture 6" descr="Candidate annotation, motif and small-RNA evidence gates, and final evidence-tier cou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orthogonal_evidence_and_tiers.tif"/>
                    <pic:cNvPicPr/>
                  </pic:nvPicPr>
                  <pic:blipFill>
                    <a:blip r:embed="rId12"/>
                    <a:stretch>
                      <a:fillRect/>
                    </a:stretch>
                  </pic:blipFill>
                  <pic:spPr>
                    <a:xfrm>
                      <a:off x="0" y="0"/>
                      <a:ext cx="5486400" cy="4092112"/>
                    </a:xfrm>
                    <a:prstGeom prst="rect">
                      <a:avLst/>
                    </a:prstGeom>
                  </pic:spPr>
                </pic:pic>
              </a:graphicData>
            </a:graphic>
          </wp:inline>
        </w:drawing>
      </w:r>
    </w:p>
    <w:p w14:paraId="3DE0C48A" w14:textId="77777777" w:rsidR="00083884" w:rsidRDefault="00000000">
      <w:pPr>
        <w:spacing w:before="60" w:after="160"/>
        <w:jc w:val="both"/>
      </w:pPr>
      <w:r>
        <w:rPr>
          <w:sz w:val="20"/>
        </w:rPr>
        <w:t>Figure 6. Annotation, orthogonal evidence and prioritisation. (A) Annotation of 206 candidates. (B) Motif robustness and small-RNA reference gate. (C) Reported tiers over 268 frozen entities.</w:t>
      </w:r>
    </w:p>
    <w:p w14:paraId="73667D45" w14:textId="77777777" w:rsidR="00083884" w:rsidRDefault="00000000">
      <w:pPr>
        <w:spacing w:after="120" w:line="360" w:lineRule="auto"/>
        <w:jc w:val="both"/>
      </w:pPr>
      <w:r>
        <w:rPr>
          <w:b/>
        </w:rPr>
        <w:t xml:space="preserve">Tier composition and candidate functions. </w:t>
      </w:r>
      <w:r>
        <w:t xml:space="preserve">Retirement comprised 56 mapping or gene-model failures, five external reversals and four observed-mapping or annotation failures. Quality failures weaken locus-level inference, whereas reversals may reflect context specificity. Four internally robust genes, including a putative RPP8-like gene, remained exploratory and below external thresholds; Tier B does not imply better external validation. The two externally supported genes remained exploratory because internal robustness was incomplete. Tier B annotations comprised an ERD6-like sugar transporter, WAT1-related protein, phosphomannomutase/phosphoglucomutase, starch-branching enzyme, serine carboxypeptidase, DIR1-like lipid-transfer protein, BAG-family regulator, two RNA-metabolism proteins, homeobox-DDT protein, cytochrome P450 and one unannotated protein. These provisional labels establish neither enrichment nor function.</w:t>
      </w:r>
    </w:p>
    <w:p w14:paraId="72E0C15D" w14:textId="77777777" w:rsidR="00083884" w:rsidRDefault="00000000">
      <w:pPr>
        <w:keepNext/>
        <w:spacing w:before="200" w:after="60" w:line="360" w:lineRule="auto"/>
      </w:pPr>
      <w:r>
        <w:rPr>
          <w:b/>
        </w:rPr>
        <w:lastRenderedPageBreak/>
        <w:t>DISCUSSION</w:t>
      </w:r>
    </w:p>
    <w:p>
      <w:pPr>
        <w:spacing w:after="120" w:line="360" w:lineRule="auto"/>
        <w:jc w:val="both"/>
      </w:pPr>
      <w:r>
        <w:rPr>
          <w:rFonts w:ascii="Times New Roman" w:hAnsi="Times New Roman"/>
          <w:i w:val="0"/>
          <w:sz w:val="24"/>
        </w:rPr>
        <w:t xml:space="preserve">Our analysis identifies carbohydrate handling and cell-wall remodelling as processes that may contribute to cultivar-dependent responses to </w:t>
      </w:r>
      <w:r>
        <w:rPr>
          <w:rFonts w:ascii="Times New Roman" w:hAnsi="Times New Roman"/>
          <w:i/>
          <w:sz w:val="24"/>
        </w:rPr>
        <w:t>Phytophthora litchii</w:t>
      </w:r>
      <w:r>
        <w:rPr>
          <w:rFonts w:ascii="Times New Roman" w:hAnsi="Times New Roman"/>
          <w:i w:val="0"/>
          <w:sz w:val="24"/>
        </w:rPr>
        <w:t>, while showing limited agreement across the sampled biological contexts. Twelve Tier B candidates passed the internal robustness requirements, whereas two other genes showed primary external support; no gene satisfied both. These findings prioritise candidates for experiments under defined conditions. Most of the 18 exploratory candidates remained infection responsive within at least one cultivar, but none passed the genome-wide interaction criterion. Their possible contribution to defence remains open, although infection responsiveness alone does not establish a role in explaining cultivar differences.</w:t>
      </w:r>
    </w:p>
    <w:p>
      <w:pPr>
        <w:spacing w:after="120" w:line="360" w:lineRule="auto"/>
        <w:jc w:val="both"/>
      </w:pPr>
      <w:r>
        <w:rPr>
          <w:rFonts w:ascii="Times New Roman" w:hAnsi="Times New Roman"/>
          <w:i w:val="0"/>
          <w:sz w:val="24"/>
        </w:rPr>
        <w:t>The putative phosphomannomutase/phosphoglucomutase, starch-branching enzyme and ERD6-like sugar transporter candidates suggest a connection between cultivar-dependent responses and carbohydrate interconversion, reserve metabolism and sugar transport. One hypothesis is that these expression differences accompany different demands on carbon resources during infection. They could support host defence or tissue maintenance, but could also reflect damage or differences in pathogen growth. The annotations do not establish pathway enrichment or altered metabolic flux. Measuring soluble sugars and starch alongside expression and infection severity would help determine which physiological changes accompany the transcriptional responses.</w:t>
      </w:r>
    </w:p>
    <w:p>
      <w:pPr>
        <w:spacing w:after="120" w:line="360" w:lineRule="auto"/>
        <w:jc w:val="both"/>
      </w:pPr>
      <w:r>
        <w:rPr>
          <w:rFonts w:ascii="Times New Roman" w:hAnsi="Times New Roman"/>
          <w:i w:val="0"/>
          <w:sz w:val="24"/>
        </w:rPr>
        <w:t xml:space="preserve">LITCHI005518 provides a more specific hypothesis about wall metabolism. In </w:t>
      </w:r>
      <w:r>
        <w:rPr>
          <w:rFonts w:ascii="Times New Roman" w:hAnsi="Times New Roman"/>
          <w:i/>
          <w:sz w:val="24"/>
        </w:rPr>
        <w:t>Arabidopsis</w:t>
      </w:r>
      <w:r>
        <w:rPr>
          <w:rFonts w:ascii="Times New Roman" w:hAnsi="Times New Roman"/>
          <w:i w:val="0"/>
          <w:sz w:val="24"/>
        </w:rPr>
        <w:t>, loss of alpha-xylosidase activity alters xyloglucan composition and growth, providing experimental support for this enzyme's role in wall metabolism (Sampedro et al. 2010). The provisional alpha-xylosidase annotation and same-direction external effect of LITCHI005518 therefore justify investigating its substrate specificity and consequences for lychee walls during infection. Neither result establishes increased wall strength or resistance. Sun et al. (2019) reported cultivar differences in infection progression and wall-associated responses in pericarp. Their PRJNA450886 data form our external cohort, so agreement with their interpretation does not provide an additional independent validation. The externally supported, uncharacterised LITCHI001963 also merits follow-up without requiring a familiar defence annotation.</w:t>
      </w:r>
    </w:p>
    <w:p>
      <w:pPr>
        <w:spacing w:after="120" w:line="360" w:lineRule="auto"/>
        <w:jc w:val="both"/>
      </w:pPr>
      <w:r>
        <w:rPr>
          <w:rFonts w:ascii="Times New Roman" w:hAnsi="Times New Roman"/>
          <w:i w:val="0"/>
          <w:sz w:val="24"/>
        </w:rPr>
        <w:t xml:space="preserve">Other candidates suggest processes that deserve focused testing. </w:t>
      </w:r>
      <w:r>
        <w:rPr>
          <w:rFonts w:ascii="Times New Roman" w:hAnsi="Times New Roman"/>
          <w:i/>
          <w:sz w:val="24"/>
        </w:rPr>
        <w:t>Arabidopsis</w:t>
      </w:r>
      <w:r>
        <w:rPr>
          <w:rFonts w:ascii="Times New Roman" w:hAnsi="Times New Roman"/>
          <w:i w:val="0"/>
          <w:sz w:val="24"/>
        </w:rPr>
        <w:t xml:space="preserve"> DIR1 contributes to systemic acquired resistance, providing a rationale for investigating the provisionally annotated DIR1-like lychee candidate (Maldonado et al. 2002); conservation of that immune function remains untested. Transcript abundance also captures only part of host defence. Li et al. (2023) demonstrated that the </w:t>
      </w:r>
      <w:r>
        <w:rPr>
          <w:rFonts w:ascii="Times New Roman" w:hAnsi="Times New Roman"/>
          <w:i/>
          <w:sz w:val="24"/>
        </w:rPr>
        <w:t>P. litchii</w:t>
      </w:r>
      <w:r>
        <w:rPr>
          <w:rFonts w:ascii="Times New Roman" w:hAnsi="Times New Roman"/>
          <w:i w:val="0"/>
          <w:sz w:val="24"/>
        </w:rPr>
        <w:t xml:space="preserve"> effector PlAvh202 destabilises host S-adenosyl-L-methionine synthetase (SAMS) and suppresses ethylene production without changing SAMS transcript abundance. Such protein-level regulation explains why absence from an expression-based candidate set cannot exclude a biologically important defence mechanism.</w:t>
      </w:r>
    </w:p>
    <w:p>
      <w:pPr>
        <w:spacing w:after="120" w:line="360" w:lineRule="auto"/>
        <w:jc w:val="both"/>
      </w:pPr>
      <w:r>
        <w:rPr>
          <w:rFonts w:ascii="Times New Roman" w:hAnsi="Times New Roman"/>
          <w:i w:val="0"/>
          <w:sz w:val="24"/>
        </w:rPr>
        <w:t>Limited external agreement also defines the conditions under which the candidates should be evaluated. Discovery compared Yurong1 with Guiwei in leaves, whereas external evaluation compared Heiye with Guiwei in pericarp. The two supported genes therefore recur across different cultivar contrasts rather than directly replicating the discovery response. Five opposite-direction effects raise the possibility of context-dependent regulation, but tissue, comparator and study conditions change together. Differences in developmental state or infection progression are plausible explanations, alongside imprecise estimates. The Feizixiao comparison provides clearer evidence of tissue dependence: the discovery-weighted signature changed in opposite directions after infection in leaves and fruit within one cultivar. This finding limits its interpretation as a tissue-independent resistance indicator. The pericarp estimates suggest temporal variation, but a direct between-time contrast is needed to establish it.</w:t>
      </w:r>
    </w:p>
    <w:p>
      <w:pPr>
        <w:spacing w:after="120" w:line="360" w:lineRule="auto"/>
        <w:jc w:val="both"/>
      </w:pPr>
      <w:r>
        <w:rPr>
          <w:rFonts w:ascii="Times New Roman" w:hAnsi="Times New Roman"/>
          <w:i w:val="0"/>
          <w:sz w:val="24"/>
        </w:rPr>
        <w:t>The public designs and incomplete functional evidence constrain these interpretations. Each discovery group contained three deposited libraries, whose biological independence was not documented. Inference remains conditional on that independence, and mapping bias from use of a single reference genome and incomplete metadata remain possible sources of uncertainty. Close agreement between DESeq2 and edgeR effect estimates, despite substantial disagreement in significance, limits confidence in the full discovery set. Below-threshold external results cannot distinguish absent effects from insufficient precision. No pathway or transcript-usage event met the primary external-support criteria. Promoter and small-RNA analyses supplied no corroborating mechanism, with some analyses limited by unavailable reference information.</w:t>
      </w:r>
    </w:p>
    <w:p>
      <w:pPr>
        <w:spacing w:after="120" w:line="360" w:lineRule="auto"/>
        <w:jc w:val="both"/>
      </w:pPr>
      <w:r>
        <w:rPr>
          <w:rFonts w:ascii="Times New Roman" w:hAnsi="Times New Roman"/>
          <w:i w:val="0"/>
          <w:sz w:val="24"/>
        </w:rPr>
        <w:t>A focused next step is to test selected internally robust candidates together with LITCHI005518 and LITCHI001963 in independently inoculated Guiwei and Yurong1 material. A matched time course should measure each cultivar's infected-versus-mock expression response alongside pathogen biomass and disease severity, since an interaction sign alone does not identify either cultivar's infected-versus-mock response. Matched tissue comparisons would then assess transfer. Quantitative PCR can confirm expression patterns; functional perturbation, coupled with disease and relevant carbohydrate or wall measurements, is needed to test whether a candidate contributes to resistance or accompanies disease. This sequence would establish which candidates warrant further evaluation as resistance determinants or breeding markers.</w:t>
      </w:r>
    </w:p>
    <w:p w14:paraId="1A4A124C" w14:textId="77777777" w:rsidR="00083884" w:rsidRDefault="00000000">
      <w:pPr>
        <w:keepNext/>
        <w:spacing w:before="200" w:after="60" w:line="360" w:lineRule="auto"/>
      </w:pPr>
      <w:r>
        <w:rPr>
          <w:b/>
        </w:rPr>
        <w:t>CONCLUSION</w:t>
      </w:r>
    </w:p>
    <w:p w14:paraId="26ACB578" w14:textId="77777777" w:rsidR="00083884" w:rsidRDefault="00000000">
      <w:pPr>
        <w:spacing w:after="120" w:line="360" w:lineRule="auto"/>
        <w:jc w:val="both"/>
      </w:pPr>
      <w:r>
        <w:t xml:space="preserve">This registered secondary analysis separates infection responsiveness from cultivar-dependent effects and prioritises provisional cell-wall and carbohydrate-associated candidates for validation. No gene combined complete internal robustness with primary external support. The candidates therefore provide targets for phenotype-linked experiments, with their functions and relevance to resistance still unresolved.</w:t>
      </w:r>
    </w:p>
    <w:p w14:paraId="4ABA777D" w14:textId="77777777" w:rsidR="00083884" w:rsidRDefault="00000000">
      <w:pPr>
        <w:keepNext/>
        <w:spacing w:before="200" w:after="60" w:line="360" w:lineRule="auto"/>
      </w:pPr>
      <w:r>
        <w:rPr>
          <w:b/>
        </w:rPr>
        <w:t>REFERENCES</w:t>
      </w:r>
    </w:p>
    <w:p w14:paraId="6E86C768" w14:textId="77777777" w:rsidR="00083884" w:rsidRDefault="00000000">
      <w:pPr>
        <w:spacing w:after="80"/>
        <w:ind w:left="283" w:hanging="283"/>
        <w:jc w:val="both"/>
      </w:pPr>
      <w:r>
        <w:rPr>
          <w:sz w:val="20"/>
        </w:rPr>
        <w:t xml:space="preserve">Anders S., Pyl P.T., Huber W. (2015): </w:t>
      </w:r>
      <w:proofErr w:type="gramStart"/>
      <w:r>
        <w:rPr>
          <w:sz w:val="20"/>
        </w:rPr>
        <w:t>HTSeq - a</w:t>
      </w:r>
      <w:proofErr w:type="gramEnd"/>
      <w:r>
        <w:rPr>
          <w:sz w:val="20"/>
        </w:rPr>
        <w:t xml:space="preserve"> Python framework to work with high-throughput sequencing data. Bioinformatics, 31: 166-169.</w:t>
      </w:r>
    </w:p>
    <w:p w14:paraId="439CC82F" w14:textId="77777777" w:rsidR="00083884" w:rsidRDefault="00000000">
      <w:pPr>
        <w:spacing w:after="80"/>
        <w:ind w:left="283" w:hanging="283"/>
        <w:jc w:val="both"/>
      </w:pPr>
      <w:r>
        <w:rPr>
          <w:sz w:val="20"/>
        </w:rPr>
        <w:t>Anders S., Reyes A., Huber W. (2012): Detecting differential usage of exons from RNA-seq data. Genome Research, 22: 2008-2017.</w:t>
      </w:r>
    </w:p>
    <w:p w14:paraId="70B88006" w14:textId="77777777" w:rsidR="00083884" w:rsidRDefault="00000000">
      <w:pPr>
        <w:spacing w:after="80"/>
        <w:ind w:left="283" w:hanging="283"/>
        <w:jc w:val="both"/>
      </w:pPr>
      <w:r>
        <w:rPr>
          <w:sz w:val="20"/>
        </w:rPr>
        <w:t>Benjamini Y., Hochberg Y. (1995): Controlling the false discovery rate: A practical and powerful approach to multiple testing. Journal of the Royal Statistical Society Series B, 57: 289-300.</w:t>
      </w:r>
    </w:p>
    <w:p w14:paraId="340ACD68" w14:textId="77777777" w:rsidR="00083884" w:rsidRDefault="00000000">
      <w:pPr>
        <w:spacing w:after="80"/>
        <w:ind w:left="283" w:hanging="283"/>
        <w:jc w:val="both"/>
      </w:pPr>
      <w:r>
        <w:rPr>
          <w:sz w:val="20"/>
        </w:rPr>
        <w:t>Buchfink B., Xie C., Huson D.H. (2015): Fast and sensitive protein alignment using DIAMOND. Nature Methods, 12: 59-60.</w:t>
      </w:r>
    </w:p>
    <w:p w14:paraId="1D76E95F" w14:textId="77777777" w:rsidR="00083884" w:rsidRDefault="00000000">
      <w:pPr>
        <w:spacing w:after="80"/>
        <w:ind w:left="283" w:hanging="283"/>
        <w:jc w:val="both"/>
      </w:pPr>
      <w:r>
        <w:rPr>
          <w:sz w:val="20"/>
        </w:rPr>
        <w:t>Chen C., Chen H., Zhang Y., Thomas H.R., Frank M.H., He Y. et al. (2020): TBtools: An integrative toolkit developed for interactive analyses of big biological data. Molecular Plant, 13: 1194-1202.</w:t>
      </w:r>
    </w:p>
    <w:p w14:paraId="75E3AC23" w14:textId="77777777" w:rsidR="00083884" w:rsidRDefault="00000000">
      <w:pPr>
        <w:spacing w:after="80"/>
        <w:ind w:left="283" w:hanging="283"/>
        <w:jc w:val="both"/>
      </w:pPr>
      <w:r>
        <w:rPr>
          <w:sz w:val="20"/>
        </w:rPr>
        <w:t>Chen S., Zhou Y., Chen Y., Gu J. (2018): fastp: An ultra-fast all-in-one FASTQ preprocessor. Bioinformatics, 34: i884-i890.</w:t>
      </w:r>
    </w:p>
    <w:p w14:paraId="3A4FB79F" w14:textId="77777777" w:rsidR="00083884" w:rsidRDefault="00000000">
      <w:pPr>
        <w:spacing w:after="80"/>
        <w:ind w:left="283" w:hanging="283"/>
        <w:jc w:val="both"/>
      </w:pPr>
      <w:r>
        <w:rPr>
          <w:sz w:val="20"/>
        </w:rPr>
        <w:t>Dobin A., Davis C.A., Schlesinger F., Drenkow J., Zaleski C., Jha S. et al. (2013): STAR: Ultrafast universal RNA-seq aligner. Bioinformatics, 29: 15-21.</w:t>
      </w:r>
    </w:p>
    <w:p w14:paraId="1F4420CF" w14:textId="77777777" w:rsidR="00083884" w:rsidRDefault="00000000">
      <w:pPr>
        <w:spacing w:after="80"/>
        <w:ind w:left="283" w:hanging="283"/>
        <w:jc w:val="both"/>
      </w:pPr>
      <w:r>
        <w:rPr>
          <w:sz w:val="20"/>
        </w:rPr>
        <w:t>Grant C.E., Bailey T.L., Noble W.S. (2011): FIMO: Scanning for occurrences of a given motif. Bioinformatics, 27: 1017-1018.</w:t>
      </w:r>
    </w:p>
    <w:p w14:paraId="13AB7B12" w14:textId="77777777" w:rsidR="00083884" w:rsidRDefault="00000000">
      <w:pPr>
        <w:spacing w:after="80"/>
        <w:ind w:left="283" w:hanging="283"/>
        <w:jc w:val="both"/>
      </w:pPr>
      <w:r>
        <w:rPr>
          <w:sz w:val="20"/>
        </w:rPr>
        <w:t>Guo Z., Kuang Z., Wang Y., Zhao Y., Tao Y., Cheng C. et al. (2020): PmiREN: A comprehensive encyclopedia of plant miRNAs. Nucleic Acids Research, 48: D1114-D1121.</w:t>
      </w:r>
    </w:p>
    <w:p w14:paraId="349D1B29" w14:textId="77777777" w:rsidR="00083884" w:rsidRDefault="00000000">
      <w:pPr>
        <w:spacing w:after="80"/>
        <w:ind w:left="283" w:hanging="283"/>
        <w:jc w:val="both"/>
      </w:pPr>
      <w:r>
        <w:rPr>
          <w:sz w:val="20"/>
        </w:rPr>
        <w:t>Hu G., Feng J., Xiang X., Wang J., Salojärvi J., Liu C. et al. (2022): Two divergent haplotypes from a highly heterozygous lychee genome suggest independent domestication events for early and late-maturing cultivars. Nature Genetics, 54: 73-83.</w:t>
      </w:r>
    </w:p>
    <w:p w14:paraId="0A27C186" w14:textId="77777777" w:rsidR="00083884" w:rsidRDefault="00000000">
      <w:pPr>
        <w:spacing w:after="80"/>
        <w:ind w:left="283" w:hanging="283"/>
        <w:jc w:val="both"/>
      </w:pPr>
      <w:r>
        <w:rPr>
          <w:sz w:val="20"/>
        </w:rPr>
        <w:t>Jones P., Binns D., Chang H.Y., Fraser M., Li W., McAnulla C. et al. (2014): InterProScan 5: Genome-scale protein function classification. Bioinformatics, 30: 1236-1240.</w:t>
      </w:r>
    </w:p>
    <w:p w14:paraId="3237EC0D" w14:textId="77777777" w:rsidR="00083884" w:rsidRDefault="00000000">
      <w:pPr>
        <w:spacing w:after="80"/>
        <w:ind w:left="283" w:hanging="283"/>
        <w:jc w:val="both"/>
      </w:pPr>
      <w:r>
        <w:rPr>
          <w:sz w:val="20"/>
        </w:rPr>
        <w:t>Kim D., Pertea G., Trapnell C., Pimentel H., Kelley R., Salzberg S.L. (2013): TopHat2: Accurate alignment of transcriptomes in the presence of insertions, deletions and gene fusions. Genome Biology, 14: R36.</w:t>
      </w:r>
    </w:p>
    <w:p w14:paraId="2667754F" w14:textId="77777777" w:rsidR="00083884" w:rsidRDefault="00000000">
      <w:pPr>
        <w:spacing w:after="80"/>
        <w:ind w:left="283" w:hanging="283"/>
        <w:jc w:val="both"/>
      </w:pPr>
      <w:r>
        <w:rPr>
          <w:sz w:val="20"/>
        </w:rPr>
        <w:lastRenderedPageBreak/>
        <w:t xml:space="preserve">Lescot M., Déhais P., Thijs G., Marchal K., Moreau Y., Van de Peer Y. et al. (2002): PlantCARE, a database of plant cis-acting regulatory elements and a portal to tools for </w:t>
      </w:r>
      <w:r>
        <w:rPr>
          <w:i/>
          <w:sz w:val="20"/>
        </w:rPr>
        <w:t>in silico</w:t>
      </w:r>
      <w:r>
        <w:rPr>
          <w:sz w:val="20"/>
        </w:rPr>
        <w:t xml:space="preserve"> analysis of promoter sequences. Nucleic Acids Research, 30: 325-327.</w:t>
      </w:r>
    </w:p>
    <w:p>
      <w:pPr>
        <w:spacing w:after="80"/>
        <w:ind w:left="283" w:hanging="283"/>
        <w:jc w:val="both"/>
      </w:pPr>
      <w:r>
        <w:rPr>
          <w:sz w:val="20"/>
          <w:i w:val="0"/>
        </w:rPr>
        <w:t xml:space="preserve">Li P., Li W., Zhou X., Situ J., Xie L., Xi P. et al. (2023): </w:t>
      </w:r>
      <w:r>
        <w:rPr>
          <w:sz w:val="20"/>
          <w:i/>
        </w:rPr>
        <w:t>Peronophythora litchii</w:t>
      </w:r>
      <w:r>
        <w:rPr>
          <w:sz w:val="20"/>
          <w:i w:val="0"/>
        </w:rPr>
        <w:t xml:space="preserve"> RXLR effector </w:t>
      </w:r>
      <w:r>
        <w:rPr>
          <w:sz w:val="20"/>
          <w:i/>
        </w:rPr>
        <w:t>P. litchii</w:t>
      </w:r>
      <w:r>
        <w:rPr>
          <w:sz w:val="20"/>
          <w:i w:val="0"/>
        </w:rPr>
        <w:t xml:space="preserve"> avirulence homolog 202 destabilizes a host ethylene biosynthesis enzyme. Plant Physiology, 193: 756–774. https://doi.org/10.1093/plphys/kiad311</w:t>
      </w:r>
    </w:p>
    <w:p w14:paraId="6BB0C809" w14:textId="77777777" w:rsidR="00083884" w:rsidRDefault="00000000">
      <w:pPr>
        <w:spacing w:after="80"/>
        <w:ind w:left="283" w:hanging="283"/>
        <w:jc w:val="both"/>
      </w:pPr>
      <w:r>
        <w:rPr>
          <w:sz w:val="20"/>
        </w:rPr>
        <w:t>Liao Y., Smyth G.K., Shi W. (2014): featureCounts: An efficient general-purpose program for assigning sequence reads to genomic features. Bioinformatics, 30: 923-930.</w:t>
      </w:r>
    </w:p>
    <w:p w14:paraId="77F6E24C" w14:textId="77777777" w:rsidR="00083884" w:rsidRDefault="00000000">
      <w:pPr>
        <w:spacing w:after="80"/>
        <w:ind w:left="283" w:hanging="283"/>
        <w:jc w:val="both"/>
      </w:pPr>
      <w:r>
        <w:rPr>
          <w:sz w:val="20"/>
        </w:rPr>
        <w:t>Liu H., Yan Q., Jiang Y., Shi F., Chen J., Cai C. et al. (2023): Identification of LcCDPKs and analysis of their expression patterns in response to downy mildew stresses in lychee. Journal of Fruit Science, 40: 442-456.</w:t>
      </w:r>
    </w:p>
    <w:p w14:paraId="55548681" w14:textId="77777777" w:rsidR="00083884" w:rsidRDefault="00000000">
      <w:pPr>
        <w:spacing w:after="80"/>
        <w:ind w:left="283" w:hanging="283"/>
        <w:jc w:val="both"/>
      </w:pPr>
      <w:r>
        <w:rPr>
          <w:sz w:val="20"/>
        </w:rPr>
        <w:t>Love M.I., Huber W., Anders S. (2014): Moderated estimation of fold change and dispersion for RNA-seq data with DESeq2. Genome Biology, 15: 550.</w:t>
      </w:r>
    </w:p>
    <w:p>
      <w:pPr>
        <w:spacing w:after="80"/>
        <w:ind w:left="283" w:hanging="283"/>
        <w:jc w:val="both"/>
      </w:pPr>
      <w:r>
        <w:rPr>
          <w:sz w:val="20"/>
          <w:i w:val="0"/>
        </w:rPr>
        <w:t xml:space="preserve">Maldonado A.M., Doerner P., Dixon R.A., Lamb C.J., Cameron R.K. (2002): A putative lipid transfer protein involved in systemic resistance signalling in </w:t>
      </w:r>
      <w:r>
        <w:rPr>
          <w:sz w:val="20"/>
          <w:i/>
        </w:rPr>
        <w:t>Arabidopsis</w:t>
      </w:r>
      <w:r>
        <w:rPr>
          <w:sz w:val="20"/>
          <w:i w:val="0"/>
        </w:rPr>
        <w:t>. Nature, 419: 399–403. https://doi.org/10.1038/nature00962</w:t>
      </w:r>
    </w:p>
    <w:p w14:paraId="26B8D74F" w14:textId="77777777" w:rsidR="00083884" w:rsidRDefault="00000000">
      <w:pPr>
        <w:spacing w:after="80"/>
        <w:ind w:left="283" w:hanging="283"/>
        <w:jc w:val="both"/>
      </w:pPr>
      <w:r>
        <w:rPr>
          <w:sz w:val="20"/>
        </w:rPr>
        <w:t>McLeay R.C., Bailey T.L. (2010): Motif enrichment analysis: A unified framework and an evaluation on ChIP data. BMC Bioinformatics, 11: 165.</w:t>
      </w:r>
    </w:p>
    <w:p w14:paraId="1C28C060" w14:textId="77777777" w:rsidR="00083884" w:rsidRDefault="00000000">
      <w:pPr>
        <w:spacing w:after="80"/>
        <w:ind w:left="283" w:hanging="283"/>
        <w:jc w:val="both"/>
      </w:pPr>
      <w:r>
        <w:rPr>
          <w:sz w:val="20"/>
        </w:rPr>
        <w:t>Mölder F., Jablonski K.P., Letcher B., Hall M.B., Tomkins-Tinch C.H., Sochat V. et al. (2021): Sustainable data analysis with Snakemake. F1000Research, 10: 33.</w:t>
      </w:r>
    </w:p>
    <w:p w14:paraId="6268F213" w14:textId="77777777" w:rsidR="00083884" w:rsidRDefault="00000000">
      <w:pPr>
        <w:spacing w:after="80"/>
        <w:ind w:left="283" w:hanging="283"/>
        <w:jc w:val="both"/>
      </w:pPr>
      <w:r>
        <w:rPr>
          <w:sz w:val="20"/>
        </w:rPr>
        <w:t>Naithani S., Gupta P., Preece J., D'Eustachio P., Elser J., Garg P. et al. (2024): Plant Reactome knowledgebase: Empowering plant pathway exploration and OMICS data analysis. Nucleic Acids Research, 52: D1538-D1547.</w:t>
      </w:r>
    </w:p>
    <w:p w14:paraId="6F1B9C84" w14:textId="77777777" w:rsidR="00083884" w:rsidRDefault="00000000">
      <w:pPr>
        <w:spacing w:after="80"/>
        <w:ind w:left="283" w:hanging="283"/>
        <w:jc w:val="both"/>
      </w:pPr>
      <w:r>
        <w:rPr>
          <w:sz w:val="20"/>
        </w:rPr>
        <w:t>Nowicka M., Robinson M.D. (2016): DRIMSeq: A Dirichlet-multinomial framework for multivariate count outcomes in genomics. F1000Research, 5: 1356.</w:t>
      </w:r>
    </w:p>
    <w:p w14:paraId="11505716" w14:textId="77777777" w:rsidR="00083884" w:rsidRDefault="00000000">
      <w:pPr>
        <w:spacing w:after="80"/>
        <w:ind w:left="283" w:hanging="283"/>
        <w:jc w:val="both"/>
      </w:pPr>
      <w:r>
        <w:rPr>
          <w:sz w:val="20"/>
        </w:rPr>
        <w:t>Patro R., Duggal G., Love M.I., Irizarry R.A., Kingsford C. (2017): Salmon provides fast and bias-aware quantification of transcript expression. Nature Methods, 14: 417-419.</w:t>
      </w:r>
    </w:p>
    <w:p w14:paraId="5229A675" w14:textId="77777777" w:rsidR="00083884" w:rsidRDefault="00000000">
      <w:pPr>
        <w:spacing w:after="80"/>
        <w:ind w:left="283" w:hanging="283"/>
        <w:jc w:val="both"/>
      </w:pPr>
      <w:r>
        <w:rPr>
          <w:sz w:val="20"/>
        </w:rPr>
        <w:t>Pockrandt C., Alzamel M., Iliopoulos C.S., Reinert K. (2020): GenMap: Ultra-fast computation of genome mappability. Bioinformatics, 36: 3687-3692.</w:t>
      </w:r>
    </w:p>
    <w:p w14:paraId="22E3AA93" w14:textId="77777777" w:rsidR="00083884" w:rsidRDefault="00000000">
      <w:pPr>
        <w:spacing w:after="80"/>
        <w:ind w:left="283" w:hanging="283"/>
        <w:jc w:val="both"/>
      </w:pPr>
      <w:r>
        <w:rPr>
          <w:sz w:val="20"/>
        </w:rPr>
        <w:t>Rauluseviciute I., Riudavets-Puig R., Blanc-Mathieu R., Castro-Mondragon J.A., Ferenc K., Kumar V. et al. (2024): JASPAR 2024: 20th anniversary of the open-access database of transcription factor binding profiles. Nucleic Acids Research, 52: D174-D182.</w:t>
      </w:r>
    </w:p>
    <w:p w14:paraId="13139B9A" w14:textId="77777777" w:rsidR="00083884" w:rsidRDefault="00000000">
      <w:pPr>
        <w:spacing w:after="80"/>
        <w:ind w:left="283" w:hanging="283"/>
        <w:jc w:val="both"/>
      </w:pPr>
      <w:r>
        <w:rPr>
          <w:sz w:val="20"/>
        </w:rPr>
        <w:t>Robinson M.D., McCarthy D.J., Smyth G.K. (2010): edgeR: A Bioconductor package for differential expression analysis of digital gene expression data. Bioinformatics, 26: 139-140.</w:t>
      </w:r>
    </w:p>
    <w:p>
      <w:pPr>
        <w:spacing w:after="80"/>
        <w:ind w:left="283" w:hanging="283"/>
        <w:jc w:val="both"/>
      </w:pPr>
      <w:r>
        <w:rPr>
          <w:sz w:val="20"/>
          <w:i w:val="0"/>
        </w:rPr>
        <w:t xml:space="preserve">Sampedro J., Pardo B., Gianzo C., Guitián E., Revilla G., Zarra I. (2010): Lack of α-xylosidase activity in </w:t>
      </w:r>
      <w:r>
        <w:rPr>
          <w:sz w:val="20"/>
          <w:i/>
        </w:rPr>
        <w:t>Arabidopsis</w:t>
      </w:r>
      <w:r>
        <w:rPr>
          <w:sz w:val="20"/>
          <w:i w:val="0"/>
        </w:rPr>
        <w:t xml:space="preserve"> alters xyloglucan composition and results in growth defects. Plant Physiology, 154: 1105–1115. https://doi.org/10.1104/pp.110.163212</w:t>
      </w:r>
    </w:p>
    <w:p>
      <w:pPr>
        <w:spacing w:after="80"/>
        <w:ind w:left="283" w:hanging="283"/>
        <w:jc w:val="both"/>
      </w:pPr>
      <w:r>
        <w:rPr>
          <w:sz w:val="20"/>
          <w:i w:val="0"/>
        </w:rPr>
        <w:t xml:space="preserve">Sun J., Cao L., Li H., Wang G., Wang S., Li F. et al. (2019): Early responses given distinct tactics to infection of </w:t>
      </w:r>
      <w:r>
        <w:rPr>
          <w:sz w:val="20"/>
          <w:i/>
        </w:rPr>
        <w:t>Peronophythora litchii</w:t>
      </w:r>
      <w:r>
        <w:rPr>
          <w:sz w:val="20"/>
          <w:i w:val="0"/>
        </w:rPr>
        <w:t xml:space="preserve"> in susceptible and resistant litchi cultivar. Scientific Reports, 9: 2810. https://doi.org/10.1038/s41598-019-39100-w</w:t>
      </w:r>
    </w:p>
    <w:p w14:paraId="60F84DB4" w14:textId="77777777" w:rsidR="00083884" w:rsidRDefault="00000000">
      <w:pPr>
        <w:spacing w:after="80"/>
        <w:ind w:left="283" w:hanging="283"/>
        <w:jc w:val="both"/>
      </w:pPr>
      <w:r>
        <w:rPr>
          <w:sz w:val="20"/>
        </w:rPr>
        <w:t>Sun J., Gao Z., Zhang X., Zou X., Cao L., Wang J. (2017): Transcriptome analysis of Phytophthora litchii reveals pathogenicity arsenals and confirms taxonomic status. PLoS ONE, 12: e0178245.</w:t>
      </w:r>
    </w:p>
    <w:p w14:paraId="30C9E735" w14:textId="77777777" w:rsidR="00083884" w:rsidRDefault="00000000">
      <w:pPr>
        <w:spacing w:after="80"/>
        <w:ind w:left="283" w:hanging="283"/>
        <w:jc w:val="both"/>
      </w:pPr>
      <w:r>
        <w:rPr>
          <w:sz w:val="20"/>
        </w:rPr>
        <w:t>The UniProt Consortium (2023): UniProt: The Universal Protein Knowledgebase in 2023. Nucleic Acids Research, 51: D523-D531.</w:t>
      </w:r>
    </w:p>
    <w:p w14:paraId="4CB7968C" w14:textId="77777777" w:rsidR="00083884" w:rsidRDefault="00000000">
      <w:pPr>
        <w:spacing w:after="80"/>
        <w:ind w:left="283" w:hanging="283"/>
        <w:jc w:val="both"/>
      </w:pPr>
      <w:r>
        <w:rPr>
          <w:sz w:val="20"/>
        </w:rPr>
        <w:t>Van den Berge K., Soneson C., Robinson M.D., Clement L. (2017): stageR: A general stage-wise method for controlling gene-level false discovery rate in differential expression and transcript usage. Genome Biology, 18: 151.</w:t>
      </w:r>
    </w:p>
    <w:p w14:paraId="3A175ED6" w14:textId="77777777" w:rsidR="00083884" w:rsidRDefault="00000000">
      <w:pPr>
        <w:spacing w:after="80"/>
        <w:ind w:left="283" w:hanging="283"/>
        <w:jc w:val="both"/>
      </w:pPr>
      <w:r>
        <w:rPr>
          <w:sz w:val="20"/>
        </w:rPr>
        <w:t>Wu D., Lim E., Vaillant F., Asselin-Labat M.L., Visvader J.E., Smyth G.K. (2010): ROAST: Rotation gene set tests for complex microarray experiments. Bioinformatics, 26: 2176-2182.</w:t>
      </w:r>
    </w:p>
    <w:p w14:paraId="2D9E19C0" w14:textId="77777777" w:rsidR="00083884" w:rsidRDefault="00000000">
      <w:pPr>
        <w:spacing w:after="80"/>
        <w:ind w:left="283" w:hanging="283"/>
        <w:jc w:val="both"/>
      </w:pPr>
      <w:r>
        <w:rPr>
          <w:sz w:val="20"/>
        </w:rPr>
        <w:t>Wu D., Smyth G.K. (2012): Camera: A competitive gene set test accounting for inter-gene correlation. Nucleic Acids Research, 40: e133.</w:t>
      </w:r>
    </w:p>
    <w:p w14:paraId="254EA4B5" w14:textId="77777777" w:rsidR="00083884" w:rsidRDefault="00000000">
      <w:pPr>
        <w:spacing w:after="80"/>
        <w:ind w:left="283" w:hanging="283"/>
        <w:jc w:val="both"/>
      </w:pPr>
      <w:r>
        <w:rPr>
          <w:sz w:val="20"/>
        </w:rPr>
        <w:t>Yi C., Jiang Y., Shi J., Qu H., Xue S., Duan X. et al. (2010): ATP-regulation of antioxidant properties and phenolics in litchi fruit during browning and pathogen infection process. Food Chemistry, 118: 42-47.</w:t>
      </w:r>
    </w:p>
    <w:p w14:paraId="551171F2" w14:textId="77777777" w:rsidR="00083884" w:rsidRDefault="00000000">
      <w:pPr>
        <w:spacing w:after="80"/>
        <w:ind w:left="283" w:hanging="283"/>
        <w:jc w:val="both"/>
      </w:pPr>
      <w:r>
        <w:rPr>
          <w:sz w:val="20"/>
        </w:rPr>
        <w:t>Zhu A., Ibrahim J.G., Love M.I. (2019): Heavy-tailed prior distributions for sequence count data: Removing the noise and preserving large differences. Bioinformatics, 35: 2084-2092.</w:t>
      </w:r>
    </w:p>
    <w:sectPr w:rsidR="00083884">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9" w:footer="709" w:gutter="0"/>
      <w:lnNumType w:countBy="1" w:distance="360"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3338AA" w14:textId="77777777" w:rsidR="00C10FE9" w:rsidRDefault="00C10FE9">
      <w:r>
        <w:separator/>
      </w:r>
    </w:p>
  </w:endnote>
  <w:endnote w:type="continuationSeparator" w:id="0">
    <w:p w14:paraId="38EED7EF" w14:textId="77777777" w:rsidR="00C10FE9" w:rsidRDefault="00C1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9482C" w14:textId="77777777" w:rsidR="00083884" w:rsidRDefault="00083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EE939" w14:textId="77777777" w:rsidR="00083884" w:rsidRDefault="00000000">
    <w:pPr>
      <w:pStyle w:val="Footer"/>
      <w:suppressLineNumbers/>
      <w:jc w:val="center"/>
    </w:pPr>
    <w:r>
      <w:fldChar w:fldCharType="begin"/>
    </w:r>
    <w:r>
      <w:instrText>PAGE   \* MERGEFORMAT</w:instrText>
    </w:r>
    <w:r>
      <w:fldChar w:fldCharType="separate"/>
    </w:r>
    <w:r>
      <w:rPr>
        <w:noProof/>
      </w:rPr>
      <w:t>1</w:t>
    </w:r>
    <w:r>
      <w:fldChar w:fldCharType="end"/>
    </w:r>
  </w:p>
  <w:p w14:paraId="23D5F1F2" w14:textId="77777777" w:rsidR="00083884" w:rsidRDefault="00083884">
    <w:pPr>
      <w:pStyle w:val="Footer"/>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06CC2" w14:textId="77777777" w:rsidR="00083884" w:rsidRDefault="00083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332BA" w14:textId="77777777" w:rsidR="00C10FE9" w:rsidRDefault="00C10FE9">
      <w:r>
        <w:separator/>
      </w:r>
    </w:p>
  </w:footnote>
  <w:footnote w:type="continuationSeparator" w:id="0">
    <w:p w14:paraId="51779D13" w14:textId="77777777" w:rsidR="00C10FE9" w:rsidRDefault="00C10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064F8" w14:textId="77777777" w:rsidR="00083884" w:rsidRDefault="00083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2CA99" w14:textId="77777777" w:rsidR="00083884" w:rsidRDefault="00083884">
    <w:pPr>
      <w:pStyle w:val="Header"/>
      <w:suppressLineNumbers/>
      <w:jc w:val="right"/>
    </w:pPr>
  </w:p>
  <w:p w14:paraId="6EF32E70" w14:textId="77777777" w:rsidR="00083884" w:rsidRDefault="00000000">
    <w:pPr>
      <w:pStyle w:val="Header"/>
      <w:suppressLineNumbers/>
      <w:jc w:val="right"/>
    </w:pPr>
    <w:r>
      <w:rPr>
        <w:noProof/>
        <w:lang w:eastAsia="cs-CZ"/>
      </w:rPr>
      <w:drawing>
        <wp:inline distT="0" distB="0" distL="0" distR="0" wp14:anchorId="5AE19658" wp14:editId="1B51A209">
          <wp:extent cx="2400300" cy="247650"/>
          <wp:effectExtent l="0" t="0" r="0" b="0"/>
          <wp:docPr id="540132878" name="Obrázek 3" descr="Czech Academy of Agricultural Sciences logo" title="CA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t xml:space="preserve"> </w:t>
    </w:r>
    <w:r>
      <w:tab/>
    </w:r>
    <w:r>
      <w:tab/>
    </w:r>
    <w:r>
      <w:rPr>
        <w:color w:val="7F7F7F"/>
        <w:sz w:val="22"/>
        <w:szCs w:val="22"/>
      </w:rPr>
      <w:t>MANUSCRIPT</w:t>
    </w:r>
  </w:p>
  <w:p w14:paraId="02497D3F" w14:textId="77777777" w:rsidR="00083884" w:rsidRDefault="00083884">
    <w:pPr>
      <w:pStyle w:val="Heade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E1C3D" w14:textId="77777777" w:rsidR="00083884" w:rsidRDefault="00083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53642">
    <w:abstractNumId w:val="1"/>
  </w:num>
  <w:num w:numId="2" w16cid:durableId="1507938664">
    <w:abstractNumId w:val="4"/>
  </w:num>
  <w:num w:numId="3" w16cid:durableId="1226913602">
    <w:abstractNumId w:val="0"/>
  </w:num>
  <w:num w:numId="4" w16cid:durableId="1267345444">
    <w:abstractNumId w:val="3"/>
  </w:num>
  <w:num w:numId="5" w16cid:durableId="15745875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WwMDU1MzE1MbIwtbRU0lEKTi0uzszPAykwqQUA2G2zvywAAAA="/>
  </w:docVars>
  <w:rsids>
    <w:rsidRoot w:val="007A6274"/>
    <w:rsid w:val="0004770E"/>
    <w:rsid w:val="00083884"/>
    <w:rsid w:val="00093119"/>
    <w:rsid w:val="00132208"/>
    <w:rsid w:val="001408C5"/>
    <w:rsid w:val="001B4AC5"/>
    <w:rsid w:val="00211295"/>
    <w:rsid w:val="002A6B77"/>
    <w:rsid w:val="00385E8E"/>
    <w:rsid w:val="003A53ED"/>
    <w:rsid w:val="003E6E40"/>
    <w:rsid w:val="00484389"/>
    <w:rsid w:val="004B110E"/>
    <w:rsid w:val="004D7429"/>
    <w:rsid w:val="004D7443"/>
    <w:rsid w:val="004F7A75"/>
    <w:rsid w:val="005E566F"/>
    <w:rsid w:val="005E74EE"/>
    <w:rsid w:val="0066704E"/>
    <w:rsid w:val="006E3A02"/>
    <w:rsid w:val="00740E0A"/>
    <w:rsid w:val="00767616"/>
    <w:rsid w:val="007A6274"/>
    <w:rsid w:val="007C3888"/>
    <w:rsid w:val="007C3E12"/>
    <w:rsid w:val="00812795"/>
    <w:rsid w:val="00987BCD"/>
    <w:rsid w:val="009B5F8A"/>
    <w:rsid w:val="009E4B31"/>
    <w:rsid w:val="009F1B8B"/>
    <w:rsid w:val="00A06C7A"/>
    <w:rsid w:val="00A739F2"/>
    <w:rsid w:val="00AC1E90"/>
    <w:rsid w:val="00AD5AE7"/>
    <w:rsid w:val="00AF7E2D"/>
    <w:rsid w:val="00B459AF"/>
    <w:rsid w:val="00B862BE"/>
    <w:rsid w:val="00BA2114"/>
    <w:rsid w:val="00BA7D4B"/>
    <w:rsid w:val="00BD19B5"/>
    <w:rsid w:val="00BF2D47"/>
    <w:rsid w:val="00C10FE9"/>
    <w:rsid w:val="00C44A1B"/>
    <w:rsid w:val="00C64B9E"/>
    <w:rsid w:val="00CD6DB2"/>
    <w:rsid w:val="00D136A6"/>
    <w:rsid w:val="00D80DCF"/>
    <w:rsid w:val="00D93102"/>
    <w:rsid w:val="00E26186"/>
    <w:rsid w:val="00E32019"/>
    <w:rsid w:val="00E37352"/>
    <w:rsid w:val="00ED0B4D"/>
    <w:rsid w:val="00F32B56"/>
    <w:rsid w:val="00F45A8D"/>
    <w:rsid w:val="00FA0829"/>
    <w:rsid w:val="00FB0748"/>
    <w:rsid w:val="00FB119F"/>
    <w:rsid w:val="00FC46C9"/>
    <w:rsid w:val="00FE7F11"/>
    <w:rsid w:val="00FF226E"/>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F6BB1"/>
  <w15:docId w15:val="{6137179E-B906-403F-B2D4-5A25BEF8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E2D"/>
    <w:pPr>
      <w:overflowPunct w:val="0"/>
      <w:autoSpaceDE w:val="0"/>
      <w:autoSpaceDN w:val="0"/>
      <w:adjustRightInd w:val="0"/>
      <w:textAlignment w:val="baseline"/>
    </w:pPr>
    <w:rPr>
      <w:rFonts w:ascii="Times New Roman" w:hAnsi="Times New Roman"/>
      <w:color w:val="000000"/>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093119"/>
  </w:style>
  <w:style w:type="character" w:styleId="Hyperlink">
    <w:name w:val="Hyperlink"/>
    <w:uiPriority w:val="99"/>
    <w:unhideWhenUsed/>
    <w:rsid w:val="00ED0B4D"/>
    <w:rPr>
      <w:color w:val="0000FF"/>
      <w:u w:val="single"/>
    </w:rPr>
  </w:style>
  <w:style w:type="paragraph" w:styleId="NormalWeb">
    <w:name w:val="Normal (Web)"/>
    <w:basedOn w:val="Normal"/>
    <w:uiPriority w:val="99"/>
    <w:semiHidden/>
    <w:unhideWhenUsed/>
    <w:rsid w:val="009E4B31"/>
    <w:pPr>
      <w:overflowPunct/>
      <w:autoSpaceDE/>
      <w:autoSpaceDN/>
      <w:adjustRightInd/>
      <w:spacing w:after="240"/>
      <w:textAlignment w:val="auto"/>
    </w:pPr>
    <w:rPr>
      <w:szCs w:val="24"/>
      <w:lang w:eastAsia="cs-CZ"/>
    </w:rPr>
  </w:style>
  <w:style w:type="paragraph" w:styleId="ListParagraph">
    <w:name w:val="List Paragraph"/>
    <w:basedOn w:val="Normal"/>
    <w:uiPriority w:val="34"/>
    <w:qFormat/>
    <w:rsid w:val="00FC46C9"/>
    <w:pPr>
      <w:ind w:left="720"/>
      <w:contextualSpacing/>
    </w:pPr>
  </w:style>
  <w:style w:type="paragraph" w:styleId="Header">
    <w:name w:val="header"/>
    <w:basedOn w:val="Normal"/>
    <w:link w:val="HeaderChar"/>
    <w:uiPriority w:val="99"/>
    <w:unhideWhenUsed/>
    <w:rsid w:val="001B4AC5"/>
    <w:pPr>
      <w:tabs>
        <w:tab w:val="center" w:pos="4536"/>
        <w:tab w:val="right" w:pos="9072"/>
      </w:tabs>
    </w:pPr>
  </w:style>
  <w:style w:type="character" w:customStyle="1" w:styleId="HeaderChar">
    <w:name w:val="Header Char"/>
    <w:link w:val="Header"/>
    <w:uiPriority w:val="99"/>
    <w:rsid w:val="001B4AC5"/>
    <w:rPr>
      <w:rFonts w:ascii="Times New Roman" w:hAnsi="Times New Roman" w:cs="Times New Roman"/>
      <w:sz w:val="24"/>
      <w:szCs w:val="20"/>
      <w:lang w:eastAsia="zh-CN"/>
    </w:rPr>
  </w:style>
  <w:style w:type="paragraph" w:styleId="Footer">
    <w:name w:val="footer"/>
    <w:basedOn w:val="Normal"/>
    <w:link w:val="FooterChar"/>
    <w:uiPriority w:val="99"/>
    <w:unhideWhenUsed/>
    <w:rsid w:val="001B4AC5"/>
    <w:pPr>
      <w:tabs>
        <w:tab w:val="center" w:pos="4536"/>
        <w:tab w:val="right" w:pos="9072"/>
      </w:tabs>
    </w:pPr>
  </w:style>
  <w:style w:type="character" w:customStyle="1" w:styleId="FooterChar">
    <w:name w:val="Footer Char"/>
    <w:link w:val="Footer"/>
    <w:uiPriority w:val="99"/>
    <w:rsid w:val="001B4AC5"/>
    <w:rPr>
      <w:rFonts w:ascii="Times New Roman" w:hAnsi="Times New Roman" w:cs="Times New Roman"/>
      <w:sz w:val="24"/>
      <w:szCs w:val="20"/>
      <w:lang w:eastAsia="zh-CN"/>
    </w:rPr>
  </w:style>
  <w:style w:type="table" w:styleId="TableGrid">
    <w:name w:val="Table Grid"/>
    <w:basedOn w:val="TableNormal"/>
    <w:uiPriority w:val="59"/>
    <w:rsid w:val="00C44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46572807">
      <w:bodyDiv w:val="1"/>
      <w:marLeft w:val="0"/>
      <w:marRight w:val="0"/>
      <w:marTop w:val="0"/>
      <w:marBottom w:val="0"/>
      <w:divBdr>
        <w:top w:val="none" w:sz="0" w:space="0" w:color="auto"/>
        <w:left w:val="none" w:sz="0" w:space="0" w:color="auto"/>
        <w:bottom w:val="none" w:sz="0" w:space="0" w:color="auto"/>
        <w:right w:val="none" w:sz="0" w:space="0" w:color="auto"/>
      </w:divBdr>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image" Target="media/image6.ti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Manuscript%20file_template_CAAS.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D:\Users\PC Obyvak\Desktop\Manuscript file_template_CAAS.dot</Template>
  <TotalTime>9</TotalTime>
  <Application>Microsoft Office Word</Application>
  <DocSecurity>0</DocSecurity>
  <ScaleCrop>false</ScaleCrop>
  <HeadingPairs>
    <vt:vector size="2" baseType="variant">
      <vt:variant>
        <vt:lpstr>Název</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Differences among lychee cultivars in responses to Phytophthora litchii implicate cell wall and carbohydrate remodeling</dc:title>
  <dc:subject>Plant Protection Science submission</dc:subject>
  <dc:creator/>
  <cp:keywords>oomycete disease; host response; differential expression; transcript usage; reproducible bioinformatics; crop improvement</cp:keywords>
  <dc:description/>
  <cp:lastModifiedBy>Richard Zhuang</cp:lastModifiedBy>
  <cp:revision>6</cp:revision>
  <dcterms:created xsi:type="dcterms:W3CDTF">2023-01-11T09:58:00Z</dcterms:created>
  <dcterms:modified xsi:type="dcterms:W3CDTF">2026-09-23T02:02:00Z</dcterms:modified>
  <cp:category>Original paper</cp:category>
</cp:coreProperties>
</file>