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line="360" w:lineRule="auto" w:before="0" w:after="120"/>
      </w:pPr>
      <w:r>
        <w:rPr>
          <w:rFonts w:ascii="Times New Roman" w:hAnsi="Times New Roman"/>
          <w:color w:val="000000"/>
          <w:sz w:val="24"/>
        </w:rPr>
        <w:t xml:space="preserve">Manuscript type: </w:t>
      </w:r>
      <w:r>
        <w:rPr>
          <w:rFonts w:ascii="Times New Roman" w:hAnsi="Times New Roman"/>
          <w:b/>
          <w:color w:val="000000"/>
          <w:sz w:val="24"/>
        </w:rPr>
        <w:t>original paper</w:t>
      </w:r>
    </w:p>
    <w:p>
      <w:pPr>
        <w:keepNext/>
        <w:widowControl/>
        <w:spacing w:line="360" w:lineRule="auto" w:before="0" w:after="160"/>
      </w:pPr>
      <w:r>
        <w:rPr>
          <w:rFonts w:ascii="Times New Roman" w:hAnsi="Times New Roman"/>
          <w:b/>
          <w:i w:val="0"/>
          <w:color w:val="000000"/>
          <w:sz w:val="28"/>
        </w:rPr>
        <w:t xml:space="preserve">Differences among lychee cultivars in responses to </w:t>
      </w:r>
      <w:r>
        <w:rPr>
          <w:rFonts w:ascii="Times New Roman" w:hAnsi="Times New Roman"/>
          <w:b/>
          <w:i/>
          <w:color w:val="000000"/>
          <w:sz w:val="28"/>
        </w:rPr>
        <w:t>Peronophythora litchii</w:t>
      </w:r>
      <w:r>
        <w:rPr>
          <w:rFonts w:ascii="Times New Roman" w:hAnsi="Times New Roman"/>
          <w:b/>
          <w:i w:val="0"/>
          <w:color w:val="000000"/>
          <w:sz w:val="28"/>
        </w:rPr>
        <w:t xml:space="preserve"> implicate cell wall and carbohydrate remodeling</w:t>
      </w:r>
    </w:p>
    <w:p>
      <w:pPr>
        <w:widowControl/>
        <w:spacing w:line="360" w:lineRule="auto" w:before="0" w:after="120"/>
        <w:jc w:val="both"/>
      </w:pPr>
      <w:r>
        <w:rPr>
          <w:rFonts w:ascii="Times New Roman" w:hAnsi="Times New Roman"/>
          <w:b/>
          <w:color w:val="000000"/>
          <w:sz w:val="24"/>
        </w:rPr>
        <w:t xml:space="preserve">Abstract: </w:t>
      </w:r>
      <w:r>
        <w:rPr>
          <w:rFonts w:ascii="Times New Roman" w:hAnsi="Times New Roman"/>
          <w:i w:val="0"/>
          <w:color w:val="000000"/>
          <w:sz w:val="24"/>
        </w:rPr>
        <w:t xml:space="preserve">Litchi downy blight, caused by the oomycete </w:t>
      </w:r>
      <w:r>
        <w:rPr>
          <w:rFonts w:ascii="Times New Roman" w:hAnsi="Times New Roman"/>
          <w:i/>
          <w:color w:val="000000"/>
          <w:sz w:val="24"/>
        </w:rPr>
        <w:t>Peronophythora litchii</w:t>
      </w:r>
      <w:r>
        <w:rPr>
          <w:rFonts w:ascii="Times New Roman" w:hAnsi="Times New Roman"/>
          <w:i w:val="0"/>
          <w:color w:val="000000"/>
          <w:sz w:val="24"/>
        </w:rPr>
        <w:t xml:space="preserve"> C.C. Chen ex W.H. Ko, H.S. Chang, H.J. Su, C.C. Chen &amp; L.S. Leu, damages lychee (</w:t>
      </w:r>
      <w:r>
        <w:rPr>
          <w:rFonts w:ascii="Times New Roman" w:hAnsi="Times New Roman"/>
          <w:i/>
          <w:color w:val="000000"/>
          <w:sz w:val="24"/>
        </w:rPr>
        <w:t>Litchi chinensis</w:t>
      </w:r>
      <w:r>
        <w:rPr>
          <w:rFonts w:ascii="Times New Roman" w:hAnsi="Times New Roman"/>
          <w:i w:val="0"/>
          <w:color w:val="000000"/>
          <w:sz w:val="24"/>
        </w:rPr>
        <w:t xml:space="preserve"> Sonn.) leaves, flowers and fruit. We reanalysed five public RNA-sequencing cohorts to identify cultivar-dependent infection responses and test their transfer across tissues and times. Discovery in Guiwei and Yurong1 leaves tested 19 445 expressed genes. Two hundred and six genes passed genome-wide testing, mappability and gene-model quality control; 16 remained stable under alternative quantification, statistical analysis, expression filtering, leave-one-library-out analysis and mapping checks. Twelve internally robust genes formed the highest supported tier and included candidates involved in sugar transport, starch metabolism, cell-wall remodelling, lipid signalling and RNA metabolism. In an independent pericarp time course, LITCHI005518, encoding an alpha-xylosidase, and LITCHI001963 showed same-direction cultivar-dependent effects, whereas five genes reversed direction. A frozen 206-gene signature changed between leaf and fruit and across infection times. Most of 18 earlier candidates responded within at least one cultivar, but none passed the genome-wide cultivar-interaction criterion. These results distinguish general infection responses from cultivar-dependent effects and prioritise testable targets for experimental validation.</w:t>
      </w:r>
    </w:p>
    <w:p>
      <w:pPr>
        <w:widowControl/>
        <w:spacing w:line="360" w:lineRule="auto" w:before="0" w:after="200"/>
        <w:jc w:val="both"/>
      </w:pPr>
      <w:r>
        <w:rPr>
          <w:rFonts w:ascii="Times New Roman" w:hAnsi="Times New Roman"/>
          <w:b/>
          <w:color w:val="000000"/>
          <w:sz w:val="24"/>
        </w:rPr>
        <w:t xml:space="preserve">Keywords: </w:t>
      </w:r>
      <w:r>
        <w:rPr>
          <w:rFonts w:ascii="Times New Roman" w:hAnsi="Times New Roman"/>
          <w:color w:val="000000"/>
          <w:sz w:val="24"/>
        </w:rPr>
        <w:t>oomycete disease; host response; differential expression; transcript usage; reproducible bioinformatics; crop improvement</w:t>
      </w:r>
    </w:p>
    <w:p>
      <w:pPr>
        <w:keepNext/>
        <w:widowControl/>
        <w:spacing w:line="360" w:lineRule="auto" w:before="200" w:after="60"/>
      </w:pPr>
      <w:r>
        <w:rPr>
          <w:rFonts w:ascii="Times New Roman" w:hAnsi="Times New Roman"/>
          <w:b/>
          <w:i w:val="0"/>
          <w:color w:val="000000"/>
          <w:sz w:val="24"/>
        </w:rPr>
        <w:t>INTRODUCTION</w:t>
      </w:r>
    </w:p>
    <w:p>
      <w:pPr>
        <w:widowControl/>
        <w:spacing w:line="360" w:lineRule="auto" w:before="0" w:after="120"/>
        <w:jc w:val="both"/>
      </w:pPr>
      <w:r>
        <w:rPr>
          <w:rFonts w:ascii="Times New Roman" w:hAnsi="Times New Roman"/>
          <w:b w:val="0"/>
          <w:i w:val="0"/>
          <w:color w:val="000000"/>
          <w:sz w:val="24"/>
        </w:rPr>
        <w:t>Lychee (</w:t>
      </w:r>
      <w:r>
        <w:rPr>
          <w:rFonts w:ascii="Times New Roman" w:hAnsi="Times New Roman"/>
          <w:b w:val="0"/>
          <w:i/>
          <w:color w:val="000000"/>
          <w:sz w:val="24"/>
        </w:rPr>
        <w:t>Litchi chinensis</w:t>
      </w:r>
      <w:r>
        <w:rPr>
          <w:rFonts w:ascii="Times New Roman" w:hAnsi="Times New Roman"/>
          <w:b w:val="0"/>
          <w:i w:val="0"/>
          <w:color w:val="000000"/>
          <w:sz w:val="24"/>
        </w:rPr>
        <w:t xml:space="preserve"> Sonn.) is an important subtropical fruit crop. Litchi downy blight, caused by </w:t>
      </w:r>
      <w:r>
        <w:rPr>
          <w:rFonts w:ascii="Times New Roman" w:hAnsi="Times New Roman"/>
          <w:b w:val="0"/>
          <w:i/>
          <w:color w:val="000000"/>
          <w:sz w:val="24"/>
        </w:rPr>
        <w:t>Peronophythora litchii</w:t>
      </w:r>
      <w:r>
        <w:rPr>
          <w:rFonts w:ascii="Times New Roman" w:hAnsi="Times New Roman"/>
          <w:b w:val="0"/>
          <w:i w:val="0"/>
          <w:color w:val="000000"/>
          <w:sz w:val="24"/>
        </w:rPr>
        <w:t>, affects young leaves, inflorescences and fruit, and cultivars differ in disease response. Published work has described pathogen virulence machinery, host ethylene disruption and cultivar-specific early transcriptional programmes (Sun et al. 2017; Sun et al. 2019; Li et al. 2023). However, most RNA-sequencing studies analyse a single cohort, so prominent candidates can reflect tissue, time or sampling context rather than stable cultivar differences.</w:t>
      </w:r>
    </w:p>
    <w:p>
      <w:pPr>
        <w:widowControl/>
        <w:spacing w:line="360" w:lineRule="auto" w:before="0" w:after="120"/>
        <w:jc w:val="both"/>
      </w:pPr>
      <w:r>
        <w:rPr>
          <w:rFonts w:ascii="Times New Roman" w:hAnsi="Times New Roman"/>
          <w:b w:val="0"/>
          <w:i w:val="0"/>
          <w:color w:val="000000"/>
          <w:sz w:val="24"/>
        </w:rPr>
        <w:t>A cultivar-by-infection interaction asks whether the infection response differs between cultivars; it is not equivalent to testing infection within each cultivar. We first explored Guiwei and Yurong1 leaves and nominated 18 defence-related genes. We then registered a separate genome-wide analysis before computing confirmatory outcomes. Dataset roles, models, thresholds, internal robustness gates, external evaluations and evidence tiers were fixed in advance.</w:t>
      </w:r>
    </w:p>
    <w:p>
      <w:pPr>
        <w:widowControl/>
        <w:spacing w:line="360" w:lineRule="auto" w:before="0" w:after="120"/>
        <w:jc w:val="both"/>
      </w:pPr>
      <w:r>
        <w:rPr>
          <w:rFonts w:ascii="Times New Roman" w:hAnsi="Times New Roman"/>
          <w:b w:val="0"/>
          <w:i w:val="0"/>
          <w:color w:val="000000"/>
          <w:sz w:val="24"/>
        </w:rPr>
        <w:t>Here we integrate five public cohorts to identify quality-controlled cultivar-dependent responses, evaluate their robustness and transport across biological contexts, and distinguish supported, null and opposite-direction outcomes. We also assess transcript usage, pathway and promoter evidence, and provide a reproducible candidate resource for targeted validation.</w:t>
      </w:r>
    </w:p>
    <w:p>
      <w:pPr>
        <w:keepNext/>
        <w:widowControl/>
        <w:spacing w:line="360" w:lineRule="auto" w:before="200" w:after="60"/>
      </w:pPr>
      <w:r>
        <w:rPr>
          <w:rFonts w:ascii="Times New Roman" w:hAnsi="Times New Roman"/>
          <w:b/>
          <w:i w:val="0"/>
          <w:color w:val="000000"/>
          <w:sz w:val="24"/>
        </w:rPr>
        <w:t>MATERIAL AND METHODS</w:t>
      </w:r>
    </w:p>
    <w:p>
      <w:pPr>
        <w:widowControl/>
        <w:spacing w:line="360" w:lineRule="auto" w:before="0" w:after="120"/>
        <w:jc w:val="both"/>
      </w:pPr>
      <w:r>
        <w:rPr>
          <w:rFonts w:ascii="Times New Roman" w:hAnsi="Times New Roman"/>
          <w:b/>
          <w:color w:val="000000"/>
          <w:sz w:val="24"/>
        </w:rPr>
        <w:t xml:space="preserve">Study design and data. </w:t>
      </w:r>
      <w:r>
        <w:rPr>
          <w:rFonts w:ascii="Times New Roman" w:hAnsi="Times New Roman"/>
          <w:i w:val="0"/>
          <w:color w:val="000000"/>
          <w:sz w:val="24"/>
        </w:rPr>
        <w:t>The exploratory stage preceded registration. The confirmatory protocol was frozen on 18 August 2026 and amendments were time-stamped. Five public cohorts had non-interchangeable roles (Table 1; Figure 1A): PRJNA830488/GSE201243 was the discovery cohort; PRJNA450886 was the primary cross-context evaluation; PRJNA922966/GSE222651 tested generic infection transfer; PRJNA922965/GSE222650 provided small-RNA data; and PRJNA1090613/GSE262200 remained exploratory because time and resistance metadata were unresolved. All inferences are conditional on independence of deposited libraries, which could not be verified from source-tree, pooling or extraction metadata.</w:t>
      </w:r>
    </w:p>
    <w:p>
      <w:pPr>
        <w:widowControl/>
        <w:spacing w:line="360" w:lineRule="auto" w:before="0" w:after="120"/>
        <w:jc w:val="both"/>
      </w:pPr>
      <w:r>
        <w:rPr>
          <w:rFonts w:ascii="Times New Roman" w:hAnsi="Times New Roman"/>
          <w:b/>
          <w:color w:val="000000"/>
          <w:sz w:val="24"/>
        </w:rPr>
        <w:t xml:space="preserve">Preprocessing and discovery. </w:t>
      </w:r>
      <w:r>
        <w:rPr>
          <w:rFonts w:ascii="Times New Roman" w:hAnsi="Times New Roman"/>
          <w:i w:val="0"/>
          <w:color w:val="000000"/>
          <w:sz w:val="24"/>
        </w:rPr>
        <w:t>The host SCAU_Lch_v2.0 assembly (Hu et al. 2022) and pathogen reference were combined. Reads were trimmed with fastp (Chen et al. 2018), aligned with STAR (Dobin et al. 2013), counted with featureCounts (Liao et al. 2014) and independently quantified with Salmon (Patro et al. 2017). Libraries required at least 10 million surviving read pairs and 40% uniquely aligned reads. DESeq2 fitted gene counts as cultivar + treatment + cultivar:treatment (Love et al. 2014). Genes with counts of at least 10 in three libraries were tested; candidates required genome-wide Benjamini-Hochberg q &lt; 0.05 and absolute interaction log2 fold change at least log2(1.5) (Benjamini &amp; Hochberg 1995). Exon mappability was assessed with GenMap (Pockrandt et al. 2020).</w:t>
      </w:r>
    </w:p>
    <w:p>
      <w:pPr>
        <w:widowControl/>
        <w:spacing w:line="360" w:lineRule="auto" w:before="0" w:after="120"/>
        <w:jc w:val="both"/>
      </w:pPr>
      <w:r>
        <w:rPr>
          <w:rFonts w:ascii="Times New Roman" w:hAnsi="Times New Roman"/>
          <w:b/>
          <w:color w:val="000000"/>
          <w:sz w:val="24"/>
        </w:rPr>
        <w:t xml:space="preserve">Robustness and external evaluation. </w:t>
      </w:r>
      <w:r>
        <w:rPr>
          <w:rFonts w:ascii="Times New Roman" w:hAnsi="Times New Roman"/>
          <w:i w:val="0"/>
          <w:color w:val="000000"/>
          <w:sz w:val="24"/>
        </w:rPr>
        <w:t>Frozen genes were retested using Salmon gene-level counts, edgeR quasi-likelihood inference (Robinson et al. 2010), a counts-per-million filter and every leave-one-library-out refit, followed by an observed-mapping check. The primary external model estimated the Heiye-minus-Guiwei difference in infection response at 24 h in pericarp. Passing results required family-adjusted q &lt; 0.05, absolute log2 fold change at least log2(1.5), a confidence interval excluding zero and discovery-direction agreement; significant opposite-direction effects were recorded separately.</w:t>
      </w:r>
    </w:p>
    <w:p>
      <w:pPr>
        <w:widowControl/>
        <w:spacing w:line="360" w:lineRule="auto" w:before="0" w:after="120"/>
        <w:jc w:val="both"/>
      </w:pPr>
      <w:r>
        <w:rPr>
          <w:rFonts w:ascii="Times New Roman" w:hAnsi="Times New Roman"/>
          <w:b/>
          <w:color w:val="000000"/>
          <w:sz w:val="24"/>
        </w:rPr>
        <w:t xml:space="preserve">Additional analyses. </w:t>
      </w:r>
      <w:r>
        <w:rPr>
          <w:rFonts w:ascii="Times New Roman" w:hAnsi="Times New Roman"/>
          <w:i w:val="0"/>
          <w:color w:val="000000"/>
          <w:sz w:val="24"/>
        </w:rPr>
        <w:t>A frozen signed score summarised the 206 genes across external contrasts. Pathways were mapped through one-to-one Oryza orthologues to Plant Reactome (Naithani et al. 2024). Transcript usage was tested with DRIMSeq and stageR (Nowicka &amp; Robinson 2016; Van den Berge et al. 2017). Annotation used Swiss-Prot DIAMOND matches, InterPro and Oryza orthology (Buchfink et al. 2015; Jones et al. 2014). Promoter analysis tested JASPAR plant motifs against expression- and GC-matched backgrounds (Rauluseviciute et al. 2024); FIMO provided sensitivity testing (Grant et al. 2011). The PmiREN archive was audited before small-RNA integration (Guo et al. 2020).</w:t>
      </w:r>
    </w:p>
    <w:p>
      <w:pPr>
        <w:widowControl/>
        <w:spacing w:line="360" w:lineRule="auto" w:before="0" w:after="120"/>
        <w:jc w:val="both"/>
      </w:pPr>
      <w:r>
        <w:rPr>
          <w:rFonts w:ascii="Times New Roman" w:hAnsi="Times New Roman"/>
          <w:b/>
          <w:color w:val="000000"/>
          <w:sz w:val="24"/>
        </w:rPr>
        <w:t xml:space="preserve">Evidence integration and reproducibility. </w:t>
      </w:r>
      <w:r>
        <w:rPr>
          <w:rFonts w:ascii="Times New Roman" w:hAnsi="Times New Roman"/>
          <w:i w:val="0"/>
          <w:color w:val="000000"/>
          <w:sz w:val="24"/>
        </w:rPr>
        <w:t>Deterministic rules combined discovery, mapping, internal robustness, primary external evidence and orthogonal evidence without additive scoring. Tier A required all classes; Tier B required discovery and complete internal robustness with partial or non-testable external evidence; Tier C was reserved for a robust, externally supported pathway. Snakemake workflows enforced staged analysis and SHA-256 manifests (Mölder et al. 2021). Complete outputs, source data and exact software versions are supplied in the supplementary archive.</w:t>
      </w:r>
    </w:p>
    <w:p>
      <w:pPr>
        <w:keepNext/>
        <w:widowControl/>
        <w:spacing w:line="360" w:lineRule="auto" w:before="200" w:after="60"/>
      </w:pPr>
      <w:r>
        <w:rPr>
          <w:rFonts w:ascii="Times New Roman" w:hAnsi="Times New Roman"/>
          <w:b/>
          <w:i w:val="0"/>
          <w:color w:val="000000"/>
          <w:sz w:val="24"/>
        </w:rPr>
        <w:t>RESULTS</w:t>
      </w:r>
    </w:p>
    <w:p>
      <w:pPr>
        <w:widowControl/>
        <w:spacing w:line="360" w:lineRule="auto" w:before="0" w:after="120"/>
        <w:jc w:val="both"/>
      </w:pPr>
      <w:r>
        <w:rPr>
          <w:rFonts w:ascii="Times New Roman" w:hAnsi="Times New Roman"/>
          <w:b w:val="0"/>
          <w:i w:val="0"/>
          <w:color w:val="000000"/>
          <w:sz w:val="24"/>
        </w:rPr>
        <w:t>Discovery quality and genome-wide interaction. All 12 discovery libraries passed technical gates: read survival was 99.56-99.66%, unique alignment 84.44-86.22% and Salmon mapping 80.77-82.56% (Figure 1B). Principal components separated cultivar and infection status (Figure 1C). Among 19 445 expressed genes, 262 met the registered interaction threshold; uniform mappability and gene-model control retained 206 candidates (Figure 2A,C). Recomputing adjustment only among 13 602 QC-eligible genes recovered all 206, showing that post-test quality control produced a conservative subset.</w:t>
      </w:r>
    </w:p>
    <w:p>
      <w:pPr>
        <w:keepNext/>
        <w:jc w:val="center"/>
      </w:pPr>
      <w:r>
        <w:drawing>
          <wp:inline xmlns:a="http://schemas.openxmlformats.org/drawingml/2006/main" xmlns:pic="http://schemas.openxmlformats.org/drawingml/2006/picture">
            <wp:extent cx="5486400" cy="4826449"/>
            <wp:docPr id="1" name="Picture 1" title="Figure 1" descr="Study-design diagram and quality-control summaries for five public cohorts and twelve discovery libraries."/>
            <wp:cNvGraphicFramePr>
              <a:graphicFrameLocks noChangeAspect="1"/>
            </wp:cNvGraphicFramePr>
            <a:graphic>
              <a:graphicData uri="http://schemas.openxmlformats.org/drawingml/2006/picture">
                <pic:pic>
                  <pic:nvPicPr>
                    <pic:cNvPr id="0" name="Figure_1_study_design_and_QC.tif"/>
                    <pic:cNvPicPr/>
                  </pic:nvPicPr>
                  <pic:blipFill>
                    <a:blip r:embed="rId16"/>
                    <a:stretch>
                      <a:fillRect/>
                    </a:stretch>
                  </pic:blipFill>
                  <pic:spPr>
                    <a:xfrm>
                      <a:off x="0" y="0"/>
                      <a:ext cx="5486400" cy="4826449"/>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1. Study cohorts and discovery quality. (A) Five public cohorts with fixed roles. (B) Per-library read survival, STAR unique alignment and Salmon mapping; all 12 discovery libraries passed. (C) Principal components separate cultivar and infection status.</w:t>
      </w:r>
    </w:p>
    <w:p>
      <w:pPr>
        <w:widowControl/>
        <w:spacing w:line="240" w:lineRule="auto" w:before="60" w:after="160"/>
        <w:jc w:val="both"/>
      </w:pPr>
      <w:r>
        <w:rPr>
          <w:rFonts w:ascii="Times New Roman" w:hAnsi="Times New Roman"/>
          <w:b w:val="0"/>
          <w:i w:val="0"/>
          <w:color w:val="000000"/>
          <w:sz w:val="20"/>
        </w:rPr>
        <w:t>Table 1. Fixed dataset roles and eligibility.</w:t>
      </w:r>
    </w:p>
    <w:tbl>
      <w:tblPr>
        <w:tblW w:type="auto" w:w="0"/>
        <w:jc w:val="center"/>
        <w:tblLayout w:type="fixed"/>
        <w:tblLook w:firstColumn="1" w:firstRow="1" w:lastColumn="0" w:lastRow="0" w:noHBand="0" w:noVBand="1" w:val="04A0"/>
      </w:tblPr>
      <w:tblGrid>
        <w:gridCol w:w="3024"/>
        <w:gridCol w:w="3024"/>
        <w:gridCol w:w="3024"/>
      </w:tblGrid>
      <w:tr>
        <w:trPr>
          <w:cantSplit/>
          <w:tblHeader w:val="true"/>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7"/>
              </w:rPr>
              <w:t>Accession</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left"/>
            </w:pPr>
            <w:r>
              <w:rPr>
                <w:rFonts w:ascii="Times New Roman" w:hAnsi="Times New Roman"/>
                <w:b/>
                <w:i w:val="0"/>
                <w:color w:val="000000"/>
                <w:sz w:val="17"/>
              </w:rPr>
              <w:t>Design</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7"/>
              </w:rPr>
              <w:t>Fixed role</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PRJNA830488 / GSE201243</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Guiwei and Yurong1 leaf;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Discovery</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PRJNA450886</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7"/>
              </w:rPr>
              <w:t>Guiwei and Heiye pericarp; 6, 24, 48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Primary external</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PRJNA922966 / GSE222651</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Feizixiao leaf and fruit;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Generic transfer</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PRJNA922965 / GSE222650</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7"/>
              </w:rPr>
              <w:t>Feizixiao small RNA; 24 h</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7"/>
              </w:rPr>
              <w:t>Orthogonal modality</w:t>
            </w:r>
          </w:p>
        </w:tc>
      </w:tr>
      <w:tr>
        <w:trPr>
          <w:cantSplit/>
        </w:trPr>
        <w:tc>
          <w:tcPr>
            <w:tcW w:type="dxa" w:w="223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PRJNA1090613 / GSE262200</w:t>
            </w:r>
          </w:p>
        </w:tc>
        <w:tc>
          <w:tcPr>
            <w:tcW w:type="dxa" w:w="4104"/>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7"/>
              </w:rPr>
              <w:t>Guiwei and SFZ leaf</w:t>
            </w:r>
          </w:p>
        </w:tc>
        <w:tc>
          <w:tcPr>
            <w:tcW w:type="dxa" w:w="237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7"/>
              </w:rPr>
              <w:t>Exploratory only</w:t>
            </w:r>
          </w:p>
        </w:tc>
      </w:tr>
    </w:tbl>
    <w:p>
      <w:pPr>
        <w:widowControl/>
        <w:spacing w:line="360" w:lineRule="auto" w:before="0" w:after="120"/>
        <w:jc w:val="both"/>
      </w:pPr>
      <w:r>
        <w:rPr>
          <w:rFonts w:ascii="Times New Roman" w:hAnsi="Times New Roman"/>
          <w:b w:val="0"/>
          <w:i w:val="0"/>
          <w:color w:val="000000"/>
          <w:sz w:val="24"/>
        </w:rPr>
        <w:t>Exploratory candidates and internal robustness. Thirteen of 18 earlier candidates were infection responsive in Guiwei and 16 in Yurong1 at genome-wide q &lt; 0.05, but none met the separate cultivar-interaction criterion (Figure 2B). Two failed uniform mappability. Of the 206 frozen genes, 196 passed independent quantification, 19 passed the edgeR gate, 205 passed expression filtering and 125 passed all leave-one-out refits. Eighteen passed these four gates jointly and 16 remained after observed-mapping checks (Figure 3A). DESeq2 and edgeR interaction estimates correlated at r = 0.995 genome-wide.</w:t>
      </w:r>
    </w:p>
    <w:p>
      <w:pPr>
        <w:keepNext/>
        <w:jc w:val="center"/>
      </w:pPr>
      <w:r>
        <w:drawing>
          <wp:inline xmlns:a="http://schemas.openxmlformats.org/drawingml/2006/main" xmlns:pic="http://schemas.openxmlformats.org/drawingml/2006/picture">
            <wp:extent cx="5486400" cy="4970842"/>
            <wp:docPr id="2" name="Picture 2" title="Figure 2" descr="Genome-wide interaction effects, exploratory-candidate audit and attrition to the internally robust gene set."/>
            <wp:cNvGraphicFramePr>
              <a:graphicFrameLocks noChangeAspect="1"/>
            </wp:cNvGraphicFramePr>
            <a:graphic>
              <a:graphicData uri="http://schemas.openxmlformats.org/drawingml/2006/picture">
                <pic:pic>
                  <pic:nvPicPr>
                    <pic:cNvPr id="0" name="Figure_2_discovery_and_legacy_audit.tif"/>
                    <pic:cNvPicPr/>
                  </pic:nvPicPr>
                  <pic:blipFill>
                    <a:blip r:embed="rId17"/>
                    <a:stretch>
                      <a:fillRect/>
                    </a:stretch>
                  </pic:blipFill>
                  <pic:spPr>
                    <a:xfrm>
                      <a:off x="0" y="0"/>
                      <a:ext cx="5486400" cy="497084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2. Genome-wide discovery and reassessment of exploratory candidates. (A) Interaction effects across 19 445 genes; 262 met the statistical threshold and 206 remained after quality control. (B) Interaction estimates for 18 exploratory candidates. (C) Attrition to the internally robust set.</w:t>
      </w:r>
    </w:p>
    <w:p>
      <w:pPr>
        <w:widowControl/>
        <w:spacing w:line="360" w:lineRule="auto" w:before="0" w:after="120"/>
        <w:jc w:val="both"/>
      </w:pPr>
      <w:r>
        <w:rPr>
          <w:rFonts w:ascii="Times New Roman" w:hAnsi="Times New Roman"/>
          <w:b w:val="0"/>
          <w:i w:val="0"/>
          <w:color w:val="000000"/>
          <w:sz w:val="24"/>
        </w:rPr>
        <w:t>Cross-context outcomes. In the primary pericarp evaluation, 184 candidates were measurable. LITCHI005518 and LITCHI001963 met every criterion in the discovery direction, while five genes met magnitude and significance criteria in the opposite direction (Table 2; Figure 3C). Discovery and external effects were uncorrelated (Pearson r = -0.05), and 95 of 184 shared direction. The 16 internally robust genes and two cross-context-supported genes did not overlap; for sets of these sizes, the probability of zero overlap under independence is 0.85 (Figure 3B).</w:t>
      </w:r>
    </w:p>
    <w:p>
      <w:pPr>
        <w:keepNext/>
        <w:jc w:val="center"/>
      </w:pPr>
      <w:r>
        <w:drawing>
          <wp:inline xmlns:a="http://schemas.openxmlformats.org/drawingml/2006/main" xmlns:pic="http://schemas.openxmlformats.org/drawingml/2006/picture">
            <wp:extent cx="5486400" cy="4841952"/>
            <wp:docPr id="3" name="Picture 3" title="Figure 3" descr="Internal robustness gates, overlap with cross-context support and comparison of discovery with pericarp effects."/>
            <wp:cNvGraphicFramePr>
              <a:graphicFrameLocks noChangeAspect="1"/>
            </wp:cNvGraphicFramePr>
            <a:graphic>
              <a:graphicData uri="http://schemas.openxmlformats.org/drawingml/2006/picture">
                <pic:pic>
                  <pic:nvPicPr>
                    <pic:cNvPr id="0" name="Figure_3_robustness_and_external_evaluation.tif"/>
                    <pic:cNvPicPr/>
                  </pic:nvPicPr>
                  <pic:blipFill>
                    <a:blip r:embed="rId18"/>
                    <a:stretch>
                      <a:fillRect/>
                    </a:stretch>
                  </pic:blipFill>
                  <pic:spPr>
                    <a:xfrm>
                      <a:off x="0" y="0"/>
                      <a:ext cx="5486400" cy="484195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3. Internal robustness and primary external evaluation. (A) Retention by each robustness gate. (B) The 16 internally robust and two cross-context-supported genes do not overlap. (C) Discovery effects against 24-h pericarp effects; the diagonal is a visual reference.</w:t>
      </w:r>
    </w:p>
    <w:p>
      <w:r>
        <w:br w:type="page"/>
      </w:r>
    </w:p>
    <w:p>
      <w:pPr>
        <w:widowControl/>
        <w:spacing w:line="240" w:lineRule="auto" w:before="60" w:after="160"/>
        <w:jc w:val="both"/>
      </w:pPr>
      <w:r>
        <w:rPr>
          <w:rFonts w:ascii="Times New Roman" w:hAnsi="Times New Roman"/>
          <w:b w:val="0"/>
          <w:i w:val="0"/>
          <w:color w:val="000000"/>
          <w:sz w:val="20"/>
        </w:rPr>
        <w:t>Table 2. Supported and opposite-direction genes in the primary external evaluation. Effects are cultivar-by-infection interaction log2 fold changes; external intervals are 95% confidence intervals.</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Gene</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left"/>
            </w:pPr>
            <w:r>
              <w:rPr>
                <w:rFonts w:ascii="Times New Roman" w:hAnsi="Times New Roman"/>
                <w:b/>
                <w:i w:val="0"/>
                <w:color w:val="000000"/>
                <w:sz w:val="15"/>
              </w:rPr>
              <w:t>Annotation</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Discovery log2FC</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Discovery q</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External log2FC (95% CI)</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External q</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D9EAF7"/>
          </w:tcPr>
          <w:p>
            <w:pPr>
              <w:spacing w:line="240" w:lineRule="auto" w:after="0" w:before="0"/>
              <w:jc w:val="center"/>
            </w:pPr>
            <w:r>
              <w:rPr>
                <w:rFonts w:ascii="Times New Roman" w:hAnsi="Times New Roman"/>
                <w:b/>
                <w:i w:val="0"/>
                <w:color w:val="000000"/>
                <w:sz w:val="15"/>
              </w:rPr>
              <w:t>Outcome</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LITCHI005518</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Alpha-xylosidase 1</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0.025</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+0.67 (+0.32 to +1.02)</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0.007</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Supported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LITCHI001963</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Uncharacterised; 1:1 Oryza orthologue</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-1.41</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0.024</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-0.94 (-1.43 to -0.46)</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0.007</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Supported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LITCHI030761</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Caffeoylshikimate esterase</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-0.92</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0.040</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+1.31 (+0.78 to +1.85)</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0.0002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LITCHI029534</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Thiamine thiazole synthase 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+1.48</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0.002</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-1.04 (-1.61 to -0.48)</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0.010</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LITCHI021860</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Phosphatidylinositol 4-kinase gamma 2</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-0.65</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0.032</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+0.97 (+0.39 to +1.54)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0.029</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LITCHI008313</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left"/>
            </w:pPr>
            <w:r>
              <w:rPr>
                <w:rFonts w:ascii="Times New Roman" w:hAnsi="Times New Roman"/>
                <w:b w:val="0"/>
                <w:i w:val="0"/>
                <w:color w:val="000000"/>
                <w:sz w:val="15"/>
              </w:rPr>
              <w:t>Beta-glucosidase 44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+0.90</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0.045</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-1.12 (-1.81 to -0.44)</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0.034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shd w:fill="F4F8FB"/>
          </w:tcPr>
          <w:p>
            <w:pPr>
              <w:spacing w:line="240" w:lineRule="auto" w:after="0" w:before="0"/>
              <w:jc w:val="center"/>
            </w:pPr>
            <w:r>
              <w:rPr>
                <w:rFonts w:ascii="Times New Roman" w:hAnsi="Times New Roman"/>
                <w:b w:val="0"/>
                <w:i w:val="0"/>
                <w:color w:val="000000"/>
                <w:sz w:val="15"/>
              </w:rPr>
              <w:t>Reversed</w:t>
            </w:r>
          </w:p>
        </w:tc>
      </w:tr>
      <w:tr>
        <w:trPr>
          <w:cantSplit/>
        </w:trPr>
        <w:tc>
          <w:tcPr>
            <w:tcW w:type="dxa" w:w="115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LITCHI001700</w:t>
            </w:r>
          </w:p>
        </w:tc>
        <w:tc>
          <w:tcPr>
            <w:tcW w:type="dxa" w:w="165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left"/>
            </w:pPr>
            <w:r>
              <w:rPr>
                <w:rFonts w:ascii="Times New Roman" w:hAnsi="Times New Roman"/>
                <w:b w:val="0"/>
                <w:i w:val="0"/>
                <w:color w:val="000000"/>
                <w:sz w:val="15"/>
              </w:rPr>
              <w:t>Fe(II)/2-OG-dependent dioxygenase 4</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+3.70</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0.033</w:t>
            </w:r>
          </w:p>
        </w:tc>
        <w:tc>
          <w:tcPr>
            <w:tcW w:type="dxa" w:w="187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-2.00 (-3.24 to -0.77)</w:t>
            </w:r>
          </w:p>
        </w:tc>
        <w:tc>
          <w:tcPr>
            <w:tcW w:type="dxa" w:w="792"/>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0.035</w:t>
            </w:r>
          </w:p>
        </w:tc>
        <w:tc>
          <w:tcPr>
            <w:tcW w:type="dxa" w:w="936"/>
            <w:vAlign w:val="center"/>
            <w:tcMar>
              <w:top w:w="90" w:type="dxa"/>
              <w:start w:w="90" w:type="dxa"/>
              <w:bottom w:w="90" w:type="dxa"/>
              <w:end w:w="9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line="240" w:lineRule="auto" w:after="0" w:before="0"/>
              <w:jc w:val="center"/>
            </w:pPr>
            <w:r>
              <w:rPr>
                <w:rFonts w:ascii="Times New Roman" w:hAnsi="Times New Roman"/>
                <w:b w:val="0"/>
                <w:i w:val="0"/>
                <w:color w:val="000000"/>
                <w:sz w:val="15"/>
              </w:rPr>
              <w:t>Reversed</w:t>
            </w:r>
          </w:p>
        </w:tc>
      </w:tr>
    </w:tbl>
    <w:p>
      <w:pPr>
        <w:widowControl/>
        <w:spacing w:line="360" w:lineRule="auto" w:before="0" w:after="120"/>
        <w:jc w:val="both"/>
      </w:pPr>
      <w:r>
        <w:rPr>
          <w:rFonts w:ascii="Times New Roman" w:hAnsi="Times New Roman"/>
          <w:b w:val="0"/>
          <w:i w:val="0"/>
          <w:color w:val="000000"/>
          <w:sz w:val="24"/>
        </w:rPr>
        <w:t>Signatures, pathways and transcript usage. The frozen 206-gene score tracked infection positively in leaf (0.107, q = 0.0015) and negatively in fruit (-0.181, q &lt; 0.001), with a significant tissue interaction (0.289, q &lt; 0.001). In pericarp it changed from 0.109 at 24 h to -0.240 at 48 h (q = 0.043), demonstrating tissue and temporal dependence (Figure 4B). Six pathways were discovered, but none passed primary external criteria; circadian rhythm alone passed all internal gates (Figure 4A). Conditional analysis identified 225 transcript-usage events across 152 genes; none passed the primary cross-context threshold (Figure 5).</w:t>
      </w:r>
    </w:p>
    <w:p>
      <w:pPr>
        <w:keepNext/>
        <w:jc w:val="center"/>
      </w:pPr>
      <w:r>
        <w:drawing>
          <wp:inline xmlns:a="http://schemas.openxmlformats.org/drawingml/2006/main" xmlns:pic="http://schemas.openxmlformats.org/drawingml/2006/picture">
            <wp:extent cx="5486400" cy="4769081"/>
            <wp:docPr id="4" name="Picture 4" title="Figure 4" descr="Discovery-pathway robustness and frozen 206-gene signature results across external contrasts."/>
            <wp:cNvGraphicFramePr>
              <a:graphicFrameLocks noChangeAspect="1"/>
            </wp:cNvGraphicFramePr>
            <a:graphic>
              <a:graphicData uri="http://schemas.openxmlformats.org/drawingml/2006/picture">
                <pic:pic>
                  <pic:nvPicPr>
                    <pic:cNvPr id="0" name="Figure_4_pathway_and_signature_evaluation.tif"/>
                    <pic:cNvPicPr/>
                  </pic:nvPicPr>
                  <pic:blipFill>
                    <a:blip r:embed="rId19"/>
                    <a:stretch>
                      <a:fillRect/>
                    </a:stretch>
                  </pic:blipFill>
                  <pic:spPr>
                    <a:xfrm>
                      <a:off x="0" y="0"/>
                      <a:ext cx="5486400" cy="4769081"/>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4. Pathway and signature evaluation. (A) Six discovery pathways; circadian rhythm passed all internal gates, but none passed external criteria. (B) The frozen 206-gene signature across six non-exploratory external contrasts; filled points denote q &lt; 0.05.</w:t>
      </w:r>
    </w:p>
    <w:p>
      <w:pPr>
        <w:keepNext/>
        <w:jc w:val="center"/>
      </w:pPr>
      <w:r>
        <w:drawing>
          <wp:inline xmlns:a="http://schemas.openxmlformats.org/drawingml/2006/main" xmlns:pic="http://schemas.openxmlformats.org/drawingml/2006/picture">
            <wp:extent cx="5486400" cy="3746391"/>
            <wp:docPr id="5" name="Picture 5" title="Figure 5" descr="Conditional transcript-usage discovery counts and external follow-up outcomes by study role."/>
            <wp:cNvGraphicFramePr>
              <a:graphicFrameLocks noChangeAspect="1"/>
            </wp:cNvGraphicFramePr>
            <a:graphic>
              <a:graphicData uri="http://schemas.openxmlformats.org/drawingml/2006/picture">
                <pic:pic>
                  <pic:nvPicPr>
                    <pic:cNvPr id="0" name="Figure_5_transcript_usage.tif"/>
                    <pic:cNvPicPr/>
                  </pic:nvPicPr>
                  <pic:blipFill>
                    <a:blip r:embed="rId20"/>
                    <a:stretch>
                      <a:fillRect/>
                    </a:stretch>
                  </pic:blipFill>
                  <pic:spPr>
                    <a:xfrm>
                      <a:off x="0" y="0"/>
                      <a:ext cx="5486400" cy="3746391"/>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5. Conditional transcript usage. (A) Discovery gate and 225 events across 152 genes. (B) External follow-up separated by prespecified study role.</w:t>
      </w:r>
    </w:p>
    <w:p>
      <w:pPr>
        <w:widowControl/>
        <w:spacing w:line="360" w:lineRule="auto" w:before="0" w:after="120"/>
        <w:jc w:val="both"/>
      </w:pPr>
      <w:r>
        <w:rPr>
          <w:rFonts w:ascii="Times New Roman" w:hAnsi="Times New Roman"/>
          <w:b w:val="0"/>
          <w:i w:val="0"/>
          <w:color w:val="000000"/>
          <w:sz w:val="24"/>
        </w:rPr>
        <w:t>Orthogonal evidence and tiers. Family-level labels were assigned to 150 candidates. No motif passed the registered 80-of-100 matched-background rule, and small-RNA coherence was not testable because PmiREN had no exact Litchi entry (Figure 6A,B). The frozen signature used apeglm-shrunken weights (Zhu et al. 2019), and pathway robustness included competitive testing with camera (Wu &amp; Smyth 2012). Evidence integration produced no Tier A gene or Tier C pathway, placed 12 internally robust genes in Tier B, retained 191 entities for exploratory follow-up and excluded 65 through predefined quality or direction rules (Figure 6C). Tier B included genes linked to sugar transport, starch and cell-wall metabolism, membrane and lipid transport, chaperone regulation, RNA metabolism and specialised metabolism.</w:t>
      </w:r>
    </w:p>
    <w:p>
      <w:pPr>
        <w:keepNext/>
        <w:jc w:val="center"/>
      </w:pPr>
      <w:r>
        <w:drawing>
          <wp:inline xmlns:a="http://schemas.openxmlformats.org/drawingml/2006/main" xmlns:pic="http://schemas.openxmlformats.org/drawingml/2006/picture">
            <wp:extent cx="5486400" cy="4092112"/>
            <wp:docPr id="6" name="Picture 6" title="Figure 6" descr="Candidate annotation, motif and small-RNA evidence gates, and final evidence-tier counts."/>
            <wp:cNvGraphicFramePr>
              <a:graphicFrameLocks noChangeAspect="1"/>
            </wp:cNvGraphicFramePr>
            <a:graphic>
              <a:graphicData uri="http://schemas.openxmlformats.org/drawingml/2006/picture">
                <pic:pic>
                  <pic:nvPicPr>
                    <pic:cNvPr id="0" name="Figure_6_orthogonal_evidence_and_tiers.tif"/>
                    <pic:cNvPicPr/>
                  </pic:nvPicPr>
                  <pic:blipFill>
                    <a:blip r:embed="rId21"/>
                    <a:stretch>
                      <a:fillRect/>
                    </a:stretch>
                  </pic:blipFill>
                  <pic:spPr>
                    <a:xfrm>
                      <a:off x="0" y="0"/>
                      <a:ext cx="5486400" cy="4092112"/>
                    </a:xfrm>
                    <a:prstGeom prst="rect"/>
                  </pic:spPr>
                </pic:pic>
              </a:graphicData>
            </a:graphic>
          </wp:inline>
        </w:drawing>
      </w:r>
    </w:p>
    <w:p>
      <w:pPr>
        <w:widowControl/>
        <w:spacing w:line="240" w:lineRule="auto" w:before="60" w:after="160"/>
        <w:jc w:val="both"/>
      </w:pPr>
      <w:r>
        <w:rPr>
          <w:rFonts w:ascii="Times New Roman" w:hAnsi="Times New Roman"/>
          <w:b w:val="0"/>
          <w:i w:val="0"/>
          <w:color w:val="000000"/>
          <w:sz w:val="20"/>
        </w:rPr>
        <w:t>Figure 6. Annotation, orthogonal evidence and prioritisation. (A) Annotation of 206 candidates. (B) Motif robustness and small-RNA reference gate. (C) Deterministic tiers over 268 frozen entities.</w:t>
      </w:r>
    </w:p>
    <w:p>
      <w:pPr>
        <w:keepNext/>
        <w:widowControl/>
        <w:spacing w:line="360" w:lineRule="auto" w:before="200" w:after="60"/>
      </w:pPr>
      <w:r>
        <w:rPr>
          <w:rFonts w:ascii="Times New Roman" w:hAnsi="Times New Roman"/>
          <w:b/>
          <w:i w:val="0"/>
          <w:color w:val="000000"/>
          <w:sz w:val="24"/>
        </w:rPr>
        <w:t>DISCUSSION</w:t>
      </w:r>
    </w:p>
    <w:p>
      <w:pPr>
        <w:widowControl/>
        <w:spacing w:line="360" w:lineRule="auto" w:before="0" w:after="120"/>
        <w:jc w:val="both"/>
      </w:pPr>
      <w:r>
        <w:rPr>
          <w:rFonts w:ascii="Times New Roman" w:hAnsi="Times New Roman"/>
          <w:b w:val="0"/>
          <w:i w:val="0"/>
          <w:color w:val="000000"/>
          <w:sz w:val="24"/>
        </w:rPr>
        <w:t>The analysis separates infection responsiveness from cultivar-dependent response. Most exploratory genes responded within at least one cultivar, yet none passed the genome-wide interaction criterion. This is not a contradiction: a strong response within a cultivar can coexist with an imprecise difference between cultivars, especially with three deposited libraries per cell. Mapping control also identified two signals that could not be assigned unambiguously to one locus.</w:t>
      </w:r>
    </w:p>
    <w:p>
      <w:pPr>
        <w:widowControl/>
        <w:spacing w:line="360" w:lineRule="auto" w:before="0" w:after="120"/>
        <w:jc w:val="both"/>
      </w:pPr>
      <w:r>
        <w:rPr>
          <w:rFonts w:ascii="Times New Roman" w:hAnsi="Times New Roman"/>
          <w:b w:val="0"/>
          <w:i w:val="0"/>
          <w:color w:val="000000"/>
          <w:sz w:val="24"/>
        </w:rPr>
        <w:t>The prioritised genes point to cell-wall and carbohydrate dynamics. Tier B contains a phosphomannomutase/phosphoglucomutase, a starch-branching enzyme, an ERD6-like sugar transporter and a serine carboxypeptidase; the cross-context set includes alpha-xylosidase LITCHI005518, which acts on xyloglucan. This convergence is consistent with previous lychee work emphasising sugar metabolism and wall reinforcement (Sun et al. 2019). Other Tier B annotations implicate DIR1-like lipid transfer, BAG-family chaperone regulation and RNA metabolism (Berka et al. 2022); these remain hypotheses rather than demonstrated resistance mechanisms.</w:t>
      </w:r>
    </w:p>
    <w:p>
      <w:pPr>
        <w:widowControl/>
        <w:spacing w:line="360" w:lineRule="auto" w:before="0" w:after="120"/>
        <w:jc w:val="both"/>
      </w:pPr>
      <w:r>
        <w:rPr>
          <w:rFonts w:ascii="Times New Roman" w:hAnsi="Times New Roman"/>
          <w:b w:val="0"/>
          <w:i w:val="0"/>
          <w:color w:val="000000"/>
          <w:sz w:val="24"/>
        </w:rPr>
        <w:t>The external results show that cultivar-associated responses depend strongly on tissue and time. Two genes transported across different cultivar and tissue contrasts, whereas five reversed direction and the broader signature changed between leaf and fruit and between 24 and 48 h. Thus below-threshold or opposite-direction external outcomes should not be described as failed technical replication; they delimit the contexts in which a response may be useful.</w:t>
      </w:r>
    </w:p>
    <w:p>
      <w:pPr>
        <w:widowControl/>
        <w:spacing w:line="360" w:lineRule="auto" w:before="0" w:after="120"/>
        <w:jc w:val="both"/>
      </w:pPr>
      <w:r>
        <w:rPr>
          <w:rFonts w:ascii="Times New Roman" w:hAnsi="Times New Roman"/>
          <w:b w:val="0"/>
          <w:i w:val="0"/>
          <w:color w:val="000000"/>
          <w:sz w:val="24"/>
        </w:rPr>
        <w:t>Limitations follow from the public designs. Biological independence of deposited libraries is undocumented; inoculum, developmental stage and wounding metadata are incomplete; one reference assembly was used; and no same-tissue, same-time independent cohort was available. None of the candidates has been perturbed experimentally. Independent infections, qPCR and functional analysis of LITCHI005518 and the Tier B genes are therefore required before causal or breeding claims.</w:t>
      </w:r>
    </w:p>
    <w:p>
      <w:pPr>
        <w:keepNext/>
        <w:widowControl/>
        <w:spacing w:line="360" w:lineRule="auto" w:before="200" w:after="60"/>
      </w:pPr>
      <w:r>
        <w:rPr>
          <w:rFonts w:ascii="Times New Roman" w:hAnsi="Times New Roman"/>
          <w:b/>
          <w:i w:val="0"/>
          <w:color w:val="000000"/>
          <w:sz w:val="24"/>
        </w:rPr>
        <w:t>CONCLUSION</w:t>
      </w:r>
    </w:p>
    <w:p>
      <w:pPr>
        <w:widowControl/>
        <w:spacing w:line="360" w:lineRule="auto" w:before="0" w:after="120"/>
        <w:jc w:val="both"/>
      </w:pPr>
      <w:r>
        <w:rPr>
          <w:rFonts w:ascii="Times New Roman" w:hAnsi="Times New Roman"/>
          <w:b w:val="0"/>
          <w:i w:val="0"/>
          <w:color w:val="000000"/>
          <w:sz w:val="24"/>
        </w:rPr>
        <w:t>A registered multi-cohort analysis identified 206 quality-controlled cultivar-interaction candidates, a stable core of 16 genes, 12 internally robust Tier B genes and two genes supported across an independent tissue and cultivar contrast. The results implicate cell-wall and carbohydrate remodelling while showing that broader responses vary with tissue and infection time. The released evidence tables and workflows provide a transparent basis for targeted experimental validation rather than causal claims.</w:t>
      </w:r>
    </w:p>
    <w:p>
      <w:pPr>
        <w:keepNext/>
        <w:widowControl/>
        <w:spacing w:line="360" w:lineRule="auto" w:before="200" w:after="60"/>
      </w:pPr>
      <w:r>
        <w:rPr>
          <w:rFonts w:ascii="Times New Roman" w:hAnsi="Times New Roman"/>
          <w:b/>
          <w:i w:val="0"/>
          <w:color w:val="000000"/>
          <w:sz w:val="24"/>
        </w:rPr>
        <w:t>REFERENCES</w:t>
      </w:r>
    </w:p>
    <w:p>
      <w:pPr>
        <w:widowControl/>
        <w:spacing w:line="240" w:lineRule="auto" w:before="0" w:after="80"/>
        <w:ind w:left="283" w:hanging="283"/>
        <w:jc w:val="both"/>
      </w:pPr>
      <w:r>
        <w:rPr>
          <w:rFonts w:ascii="Times New Roman" w:hAnsi="Times New Roman"/>
          <w:b w:val="0"/>
          <w:i w:val="0"/>
          <w:color w:val="000000"/>
          <w:sz w:val="20"/>
        </w:rPr>
        <w:t>Benjamini Y., Hochberg Y. (1995): Controlling the false discovery rate: A practical and powerful approach to multiple testing. Journal of the Royal Statistical Society Series B, 57: 289-300.</w:t>
      </w:r>
    </w:p>
    <w:p>
      <w:pPr>
        <w:widowControl/>
        <w:spacing w:line="240" w:lineRule="auto" w:before="0" w:after="80"/>
        <w:ind w:left="283" w:hanging="283"/>
        <w:jc w:val="both"/>
      </w:pPr>
      <w:r>
        <w:rPr>
          <w:rFonts w:ascii="Times New Roman" w:hAnsi="Times New Roman"/>
          <w:b w:val="0"/>
          <w:i w:val="0"/>
          <w:color w:val="000000"/>
          <w:sz w:val="20"/>
        </w:rPr>
        <w:t>Berka M., Kopecká R., Berková V., Brzobohatý B., Černý M. (2022): Regulation of heat shock proteins 70 and their role in plant immunity. Journal of Experimental Botany, 73: 1894-1909.</w:t>
      </w:r>
    </w:p>
    <w:p>
      <w:pPr>
        <w:widowControl/>
        <w:spacing w:line="240" w:lineRule="auto" w:before="0" w:after="80"/>
        <w:ind w:left="283" w:hanging="283"/>
        <w:jc w:val="both"/>
      </w:pPr>
      <w:r>
        <w:rPr>
          <w:rFonts w:ascii="Times New Roman" w:hAnsi="Times New Roman"/>
          <w:b w:val="0"/>
          <w:i w:val="0"/>
          <w:color w:val="000000"/>
          <w:sz w:val="20"/>
        </w:rPr>
        <w:t>Buchfink B., Xie C., Huson D.H. (2015): Fast and sensitive protein alignment using DIAMOND. Nature Methods, 12: 59-60.</w:t>
      </w:r>
    </w:p>
    <w:p>
      <w:pPr>
        <w:widowControl/>
        <w:spacing w:line="240" w:lineRule="auto" w:before="0" w:after="80"/>
        <w:ind w:left="283" w:hanging="283"/>
        <w:jc w:val="both"/>
      </w:pPr>
      <w:r>
        <w:rPr>
          <w:rFonts w:ascii="Times New Roman" w:hAnsi="Times New Roman"/>
          <w:b w:val="0"/>
          <w:i w:val="0"/>
          <w:color w:val="000000"/>
          <w:sz w:val="20"/>
        </w:rPr>
        <w:t>Chen S., Zhou Y., Chen Y., Gu J. (2018): fastp: An ultra-fast all-in-one FASTQ preprocessor. Bioinformatics, 34: i884-i890.</w:t>
      </w:r>
    </w:p>
    <w:p>
      <w:pPr>
        <w:widowControl/>
        <w:spacing w:line="240" w:lineRule="auto" w:before="0" w:after="80"/>
        <w:ind w:left="283" w:hanging="283"/>
        <w:jc w:val="both"/>
      </w:pPr>
      <w:r>
        <w:rPr>
          <w:rFonts w:ascii="Times New Roman" w:hAnsi="Times New Roman"/>
          <w:b w:val="0"/>
          <w:i w:val="0"/>
          <w:color w:val="000000"/>
          <w:sz w:val="20"/>
        </w:rPr>
        <w:t>Dobin A., Davis C.A., Schlesinger F., Drenkow J., Zaleski C., Jha S. et al. (2013): STAR: Ultrafast universal RNA-seq aligner. Bioinformatics, 29: 15-21.</w:t>
      </w:r>
    </w:p>
    <w:p>
      <w:pPr>
        <w:widowControl/>
        <w:spacing w:line="240" w:lineRule="auto" w:before="0" w:after="80"/>
        <w:ind w:left="283" w:hanging="283"/>
        <w:jc w:val="both"/>
      </w:pPr>
      <w:r>
        <w:rPr>
          <w:rFonts w:ascii="Times New Roman" w:hAnsi="Times New Roman"/>
          <w:b w:val="0"/>
          <w:i w:val="0"/>
          <w:color w:val="000000"/>
          <w:sz w:val="20"/>
        </w:rPr>
        <w:t>Grant C.E., Bailey T.L., Noble W.S. (2011): FIMO: Scanning for occurrences of a given motif. Bioinformatics, 27: 1017-1018.</w:t>
      </w:r>
    </w:p>
    <w:p>
      <w:pPr>
        <w:widowControl/>
        <w:spacing w:line="240" w:lineRule="auto" w:before="0" w:after="80"/>
        <w:ind w:left="283" w:hanging="283"/>
        <w:jc w:val="both"/>
      </w:pPr>
      <w:r>
        <w:rPr>
          <w:rFonts w:ascii="Times New Roman" w:hAnsi="Times New Roman"/>
          <w:b w:val="0"/>
          <w:i w:val="0"/>
          <w:color w:val="000000"/>
          <w:sz w:val="20"/>
        </w:rPr>
        <w:t>Guo Z., Kuang Z., Wang Y., Zhao Y., Tao Y., Cheng C. et al. (2020): PmiREN: A comprehensive encyclopedia of plant miRNAs. Nucleic Acids Research, 48: D1114-D1121.</w:t>
      </w:r>
    </w:p>
    <w:p>
      <w:pPr>
        <w:widowControl/>
        <w:spacing w:line="240" w:lineRule="auto" w:before="0" w:after="80"/>
        <w:ind w:left="283" w:hanging="283"/>
        <w:jc w:val="both"/>
      </w:pPr>
      <w:r>
        <w:rPr>
          <w:rFonts w:ascii="Times New Roman" w:hAnsi="Times New Roman"/>
          <w:b w:val="0"/>
          <w:i w:val="0"/>
          <w:color w:val="000000"/>
          <w:sz w:val="20"/>
        </w:rPr>
        <w:t>Hu G., Feng J., Xiang X., Wang J., Salojärvi J., Liu C. et al. (2022): Two divergent haplotypes from a highly heterozygous lychee genome suggest independent domestication events for early and late-maturing cultivars. Nature Genetics, 54: 73-83.</w:t>
      </w:r>
    </w:p>
    <w:p>
      <w:pPr>
        <w:widowControl/>
        <w:spacing w:line="240" w:lineRule="auto" w:before="0" w:after="80"/>
        <w:ind w:left="283" w:hanging="283"/>
        <w:jc w:val="both"/>
      </w:pPr>
      <w:r>
        <w:rPr>
          <w:rFonts w:ascii="Times New Roman" w:hAnsi="Times New Roman"/>
          <w:b w:val="0"/>
          <w:i w:val="0"/>
          <w:color w:val="000000"/>
          <w:sz w:val="20"/>
        </w:rPr>
        <w:t>Jones P., Binns D., Chang H.Y., Fraser M., Li W., McAnulla C. et al. (2014): InterProScan 5: Genome-scale protein function classification. Bioinformatics, 30: 1236-1240.</w:t>
      </w:r>
    </w:p>
    <w:p>
      <w:pPr>
        <w:widowControl/>
        <w:spacing w:line="240" w:lineRule="auto" w:before="0" w:after="80"/>
        <w:ind w:left="283" w:hanging="283"/>
        <w:jc w:val="both"/>
      </w:pPr>
      <w:r>
        <w:rPr>
          <w:rFonts w:ascii="Times New Roman" w:hAnsi="Times New Roman"/>
          <w:b w:val="0"/>
          <w:i w:val="0"/>
          <w:color w:val="000000"/>
          <w:sz w:val="20"/>
        </w:rPr>
        <w:t xml:space="preserve">Li P., Li W., Zhou X., Situ J., Xie L., Xi P. et al. (2023): </w:t>
      </w:r>
      <w:r>
        <w:rPr>
          <w:rFonts w:ascii="Times New Roman" w:hAnsi="Times New Roman"/>
          <w:b w:val="0"/>
          <w:i/>
          <w:color w:val="000000"/>
          <w:sz w:val="20"/>
        </w:rPr>
        <w:t>Peronophythora litchii</w:t>
      </w:r>
      <w:r>
        <w:rPr>
          <w:rFonts w:ascii="Times New Roman" w:hAnsi="Times New Roman"/>
          <w:b w:val="0"/>
          <w:i w:val="0"/>
          <w:color w:val="000000"/>
          <w:sz w:val="20"/>
        </w:rPr>
        <w:t xml:space="preserve"> RXLR effector PlAvh202 destabilizes a host ethylene biosynthesis enzyme. Plant Physiology, 193: 756-774.</w:t>
      </w:r>
    </w:p>
    <w:p>
      <w:pPr>
        <w:widowControl/>
        <w:spacing w:line="240" w:lineRule="auto" w:before="0" w:after="80"/>
        <w:ind w:left="283" w:hanging="283"/>
        <w:jc w:val="both"/>
      </w:pPr>
      <w:r>
        <w:rPr>
          <w:rFonts w:ascii="Times New Roman" w:hAnsi="Times New Roman"/>
          <w:b w:val="0"/>
          <w:i w:val="0"/>
          <w:color w:val="000000"/>
          <w:sz w:val="20"/>
        </w:rPr>
        <w:t>Liao Y., Smyth G.K., Shi W. (2014): featureCounts: An efficient general-purpose program for assigning sequence reads to genomic features. Bioinformatics, 30: 923-930.</w:t>
      </w:r>
    </w:p>
    <w:p>
      <w:pPr>
        <w:widowControl/>
        <w:spacing w:line="240" w:lineRule="auto" w:before="0" w:after="80"/>
        <w:ind w:left="283" w:hanging="283"/>
        <w:jc w:val="both"/>
      </w:pPr>
      <w:r>
        <w:rPr>
          <w:rFonts w:ascii="Times New Roman" w:hAnsi="Times New Roman"/>
          <w:b w:val="0"/>
          <w:i w:val="0"/>
          <w:color w:val="000000"/>
          <w:sz w:val="20"/>
        </w:rPr>
        <w:t>Love M.I., Huber W., Anders S. (2014): Moderated estimation of fold change and dispersion for RNA-seq data with DESeq2. Genome Biology, 15: 550.</w:t>
      </w:r>
    </w:p>
    <w:p>
      <w:pPr>
        <w:widowControl/>
        <w:spacing w:line="240" w:lineRule="auto" w:before="0" w:after="80"/>
        <w:ind w:left="283" w:hanging="283"/>
        <w:jc w:val="both"/>
      </w:pPr>
      <w:r>
        <w:rPr>
          <w:rFonts w:ascii="Times New Roman" w:hAnsi="Times New Roman"/>
          <w:b w:val="0"/>
          <w:i w:val="0"/>
          <w:color w:val="000000"/>
          <w:sz w:val="20"/>
        </w:rPr>
        <w:t>Mölder F., Jablonski K.P., Letcher B., Hall M.B., Tomkins-Tinch C.H., Sochat V. et al. (2021): Sustainable data analysis with Snakemake. F1000Research, 10: 33.</w:t>
      </w:r>
    </w:p>
    <w:p>
      <w:pPr>
        <w:widowControl/>
        <w:spacing w:line="240" w:lineRule="auto" w:before="0" w:after="80"/>
        <w:ind w:left="283" w:hanging="283"/>
        <w:jc w:val="both"/>
      </w:pPr>
      <w:r>
        <w:rPr>
          <w:rFonts w:ascii="Times New Roman" w:hAnsi="Times New Roman"/>
          <w:b w:val="0"/>
          <w:i w:val="0"/>
          <w:color w:val="000000"/>
          <w:sz w:val="20"/>
        </w:rPr>
        <w:t>Naithani S., Gupta P., Preece J., D'Eustachio P., Elser J., Garg P. et al. (2024): Plant Reactome knowledgebase: Empowering plant pathway exploration and OMICS data analysis. Nucleic Acids Research, 52: D1538-D1547.</w:t>
      </w:r>
    </w:p>
    <w:p>
      <w:pPr>
        <w:widowControl/>
        <w:spacing w:line="240" w:lineRule="auto" w:before="0" w:after="80"/>
        <w:ind w:left="283" w:hanging="283"/>
        <w:jc w:val="both"/>
      </w:pPr>
      <w:r>
        <w:rPr>
          <w:rFonts w:ascii="Times New Roman" w:hAnsi="Times New Roman"/>
          <w:b w:val="0"/>
          <w:i w:val="0"/>
          <w:color w:val="000000"/>
          <w:sz w:val="20"/>
        </w:rPr>
        <w:t>Nowicka M., Robinson M.D. (2016): DRIMSeq: A Dirichlet-multinomial framework for multivariate count outcomes in genomics. F1000Research, 5: 1356.</w:t>
      </w:r>
    </w:p>
    <w:p>
      <w:pPr>
        <w:widowControl/>
        <w:spacing w:line="240" w:lineRule="auto" w:before="0" w:after="80"/>
        <w:ind w:left="283" w:hanging="283"/>
        <w:jc w:val="both"/>
      </w:pPr>
      <w:r>
        <w:rPr>
          <w:rFonts w:ascii="Times New Roman" w:hAnsi="Times New Roman"/>
          <w:b w:val="0"/>
          <w:i w:val="0"/>
          <w:color w:val="000000"/>
          <w:sz w:val="20"/>
        </w:rPr>
        <w:t>Patro R., Duggal G., Love M.I., Irizarry R.A., Kingsford C. (2017): Salmon provides fast and bias-aware quantification of transcript expression. Nature Methods, 14: 417-419.</w:t>
      </w:r>
    </w:p>
    <w:p>
      <w:pPr>
        <w:widowControl/>
        <w:spacing w:line="240" w:lineRule="auto" w:before="0" w:after="80"/>
        <w:ind w:left="283" w:hanging="283"/>
        <w:jc w:val="both"/>
      </w:pPr>
      <w:r>
        <w:rPr>
          <w:rFonts w:ascii="Times New Roman" w:hAnsi="Times New Roman"/>
          <w:b w:val="0"/>
          <w:i w:val="0"/>
          <w:color w:val="000000"/>
          <w:sz w:val="20"/>
        </w:rPr>
        <w:t>Pockrandt C., Alzamel M., Iliopoulos C.S., Reinert K. (2020): GenMap: Ultra-fast computation of genome mappability. Bioinformatics, 36: 3687-3692.</w:t>
      </w:r>
    </w:p>
    <w:p>
      <w:pPr>
        <w:widowControl/>
        <w:spacing w:line="240" w:lineRule="auto" w:before="0" w:after="80"/>
        <w:ind w:left="283" w:hanging="283"/>
        <w:jc w:val="both"/>
      </w:pPr>
      <w:r>
        <w:rPr>
          <w:rFonts w:ascii="Times New Roman" w:hAnsi="Times New Roman"/>
          <w:b w:val="0"/>
          <w:i w:val="0"/>
          <w:color w:val="000000"/>
          <w:sz w:val="20"/>
        </w:rPr>
        <w:t>Rauluseviciute I., Riudavets-Puig R., Blanc-Mathieu R., Castro-Mondragon J.A., Ferenc K., Kumar V. et al. (2024): JASPAR 2024: 20th anniversary of the open-access database of transcription factor binding profiles. Nucleic Acids Research, 52: D174-D182.</w:t>
      </w:r>
    </w:p>
    <w:p>
      <w:pPr>
        <w:widowControl/>
        <w:spacing w:line="240" w:lineRule="auto" w:before="0" w:after="80"/>
        <w:ind w:left="283" w:hanging="283"/>
        <w:jc w:val="both"/>
      </w:pPr>
      <w:r>
        <w:rPr>
          <w:rFonts w:ascii="Times New Roman" w:hAnsi="Times New Roman"/>
          <w:b w:val="0"/>
          <w:i w:val="0"/>
          <w:color w:val="000000"/>
          <w:sz w:val="20"/>
        </w:rPr>
        <w:t>Robinson M.D., McCarthy D.J., Smyth G.K. (2010): edgeR: A Bioconductor package for differential expression analysis of digital gene expression data. Bioinformatics, 26: 139-140.</w:t>
      </w:r>
    </w:p>
    <w:p>
      <w:pPr>
        <w:widowControl/>
        <w:spacing w:line="240" w:lineRule="auto" w:before="0" w:after="80"/>
        <w:ind w:left="283" w:hanging="283"/>
        <w:jc w:val="both"/>
      </w:pPr>
      <w:r>
        <w:rPr>
          <w:rFonts w:ascii="Times New Roman" w:hAnsi="Times New Roman"/>
          <w:b w:val="0"/>
          <w:i w:val="0"/>
          <w:color w:val="000000"/>
          <w:sz w:val="20"/>
        </w:rPr>
        <w:t xml:space="preserve">Sun J., Cao L., Li H., Wang G., Wang S., Li F. et al. (2019): Early responses given distinct tactics to infection of </w:t>
      </w:r>
      <w:r>
        <w:rPr>
          <w:rFonts w:ascii="Times New Roman" w:hAnsi="Times New Roman"/>
          <w:b w:val="0"/>
          <w:i/>
          <w:color w:val="000000"/>
          <w:sz w:val="20"/>
        </w:rPr>
        <w:t>Peronophythora litchii</w:t>
      </w:r>
      <w:r>
        <w:rPr>
          <w:rFonts w:ascii="Times New Roman" w:hAnsi="Times New Roman"/>
          <w:b w:val="0"/>
          <w:i w:val="0"/>
          <w:color w:val="000000"/>
          <w:sz w:val="20"/>
        </w:rPr>
        <w:t xml:space="preserve"> in susceptible and resistant litchi cultivar. Scientific Reports, 9: 2810.</w:t>
      </w:r>
    </w:p>
    <w:p>
      <w:pPr>
        <w:widowControl/>
        <w:spacing w:line="240" w:lineRule="auto" w:before="0" w:after="80"/>
        <w:ind w:left="283" w:hanging="283"/>
        <w:jc w:val="both"/>
      </w:pPr>
      <w:r>
        <w:rPr>
          <w:rFonts w:ascii="Times New Roman" w:hAnsi="Times New Roman"/>
          <w:b w:val="0"/>
          <w:i w:val="0"/>
          <w:color w:val="000000"/>
          <w:sz w:val="20"/>
        </w:rPr>
        <w:t>Sun J., Gao Z., Zhang X., Zou X., Cao L., Wang J. (2017): Transcriptome analysis of Phytophthora litchii reveals pathogenicity arsenals and confirms taxonomic status. PLoS ONE, 12: e0178245.</w:t>
      </w:r>
    </w:p>
    <w:p>
      <w:pPr>
        <w:widowControl/>
        <w:spacing w:line="240" w:lineRule="auto" w:before="0" w:after="80"/>
        <w:ind w:left="283" w:hanging="283"/>
        <w:jc w:val="both"/>
      </w:pPr>
      <w:r>
        <w:rPr>
          <w:rFonts w:ascii="Times New Roman" w:hAnsi="Times New Roman"/>
          <w:b w:val="0"/>
          <w:i w:val="0"/>
          <w:color w:val="000000"/>
          <w:sz w:val="20"/>
        </w:rPr>
        <w:t>Van den Berge K., Soneson C., Robinson M.D., Clement L. (2017): stageR: A general stage-wise method for controlling gene-level false discovery rate in differential expression and transcript usage. Genome Biology, 18: 151.</w:t>
      </w:r>
    </w:p>
    <w:p>
      <w:pPr>
        <w:widowControl/>
        <w:spacing w:line="240" w:lineRule="auto" w:before="0" w:after="80"/>
        <w:ind w:left="283" w:hanging="283"/>
        <w:jc w:val="both"/>
      </w:pPr>
      <w:r>
        <w:rPr>
          <w:rFonts w:ascii="Times New Roman" w:hAnsi="Times New Roman"/>
          <w:b w:val="0"/>
          <w:i w:val="0"/>
          <w:color w:val="000000"/>
          <w:sz w:val="20"/>
        </w:rPr>
        <w:t>Wu D., Smyth G.K. (2012): Camera: A competitive gene set test accounting for inter-gene correlation. Nucleic Acids Research, 40: e133.</w:t>
      </w:r>
    </w:p>
    <w:p>
      <w:pPr>
        <w:widowControl/>
        <w:spacing w:line="240" w:lineRule="auto" w:before="0" w:after="80"/>
        <w:ind w:left="283" w:hanging="283"/>
        <w:jc w:val="both"/>
      </w:pPr>
      <w:r>
        <w:rPr>
          <w:rFonts w:ascii="Times New Roman" w:hAnsi="Times New Roman"/>
          <w:b w:val="0"/>
          <w:i w:val="0"/>
          <w:color w:val="000000"/>
          <w:sz w:val="20"/>
        </w:rPr>
        <w:t>Zhu A., Ibrahim J.G., Love M.I. (2019): Heavy-tailed prior distributions for sequence count data: Removing the noise and preserving large differences. Bioinformatics, 35: 2084-2092.</w:t>
      </w:r>
    </w:p>
    <w:sectPr>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08"/>
      <w:docGrid w:linePitch="360"/>
      <w:lnNumType w:countBy="1" w:restart="continuous" w:distan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CB1C4" w14:textId="77777777">
      <w:r>
        <w:separator/>
      </w:r>
    </w:p>
  </w:endnote>
  <w:endnote w:type="continuationSeparator" w:id="0">
    <w:p w14:paraId="44F0906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80497" w14:textId="77777777">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C369C" w14:textId="77777777">
    <w:pPr>
      <w:pStyle w:val="Zpat"/>
      <w:jc w:val="center"/>
      <w:suppressLineNumbers/>
    </w:pPr>
    <w:r>
      <w:fldChar w:fldCharType="begin"/>
    </w:r>
    <w:r>
      <w:instrText>PAGE   \* MERGEFORMAT</w:instrText>
    </w:r>
    <w:r>
      <w:fldChar w:fldCharType="separate"/>
    </w:r>
    <w:r>
      <w:rPr>
        <w:noProof/>
      </w:rPr>
      <w:t>1</w:t>
    </w:r>
    <w:r>
      <w:fldChar w:fldCharType="end"/>
    </w:r>
  </w:p>
  <w:p w14:paraId="6997C39B" w14:textId="77777777">
    <w:pPr>
      <w:pStyle w:val="Zpat"/>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CE70" w14:textId="77777777">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61E8F" w14:textId="77777777">
      <w:r>
        <w:separator/>
      </w:r>
    </w:p>
  </w:footnote>
  <w:footnote w:type="continuationSeparator" w:id="0">
    <w:p w14:paraId="101369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770FC" w14:textId="77777777">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66FF4" w14:textId="77777777">
    <w:pPr>
      <w:pStyle w:val="Zhlav"/>
      <w:jc w:val="right"/>
      <w:suppressLineNumbers/>
    </w:pPr>
  </w:p>
  <w:p w14:paraId="34D1C280" w14:textId="77777777">
    <w:pPr>
      <w:pStyle w:val="Zhlav"/>
      <w:jc w:val="right"/>
      <w:suppressLineNumbers/>
    </w:pPr>
    <w:r>
      <w:rPr>
        <w:noProof/>
        <w:lang w:eastAsia="cs-CZ"/>
      </w:rPr>
      <w:drawing>
        <wp:inline distT="0" distB="0" distL="0" distR="0" wp14:anchorId="5AE19658" wp14:editId="1B51A209">
          <wp:extent cx="2400300" cy="247650"/>
          <wp:effectExtent l="0" t="0" r="0" b="0"/>
          <wp:docPr id="3" name="Obrázek 3" title="CAAS logo" descr="Czech Academy of Agricultural Scien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6E1F80B0" w14:textId="77777777">
    <w:pPr>
      <w:pStyle w:val="Zhlav"/>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DB3C" w14:textId="77777777">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4770E"/>
    <w:rsid w:val="00093119"/>
    <w:rsid w:val="00132208"/>
    <w:rsid w:val="001408C5"/>
    <w:rsid w:val="001B4AC5"/>
    <w:rsid w:val="00211295"/>
    <w:rsid w:val="002A6B77"/>
    <w:rsid w:val="00385E8E"/>
    <w:rsid w:val="003A53ED"/>
    <w:rsid w:val="00484389"/>
    <w:rsid w:val="004B110E"/>
    <w:rsid w:val="004D7429"/>
    <w:rsid w:val="004D7443"/>
    <w:rsid w:val="004F7A75"/>
    <w:rsid w:val="005E566F"/>
    <w:rsid w:val="005E74EE"/>
    <w:rsid w:val="0066704E"/>
    <w:rsid w:val="006E3A02"/>
    <w:rsid w:val="00767616"/>
    <w:rsid w:val="007A6274"/>
    <w:rsid w:val="007C3888"/>
    <w:rsid w:val="007C3E12"/>
    <w:rsid w:val="00812795"/>
    <w:rsid w:val="00987BCD"/>
    <w:rsid w:val="009B5F8A"/>
    <w:rsid w:val="009E4B31"/>
    <w:rsid w:val="009F1B8B"/>
    <w:rsid w:val="00A739F2"/>
    <w:rsid w:val="00AC1E90"/>
    <w:rsid w:val="00AD5AE7"/>
    <w:rsid w:val="00AF7E2D"/>
    <w:rsid w:val="00B862BE"/>
    <w:rsid w:val="00BA2114"/>
    <w:rsid w:val="00BA7D4B"/>
    <w:rsid w:val="00BD19B5"/>
    <w:rsid w:val="00BF2D47"/>
    <w:rsid w:val="00C44A1B"/>
    <w:rsid w:val="00C64B9E"/>
    <w:rsid w:val="00CD6DB2"/>
    <w:rsid w:val="00D136A6"/>
    <w:rsid w:val="00D80DCF"/>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CD1C723"/>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093119"/>
  </w:style>
  <w:style w:type="character" w:styleId="Hypertextovodkaz">
    <w:name w:val="Hyperlink"/>
    <w:uiPriority w:val="99"/>
    <w:unhideWhenUsed/>
    <w:rsid w:val="00ED0B4D"/>
    <w:rPr>
      <w:color w:val="0000FF"/>
      <w:u w:val="single"/>
    </w:rPr>
  </w:style>
  <w:style w:type="paragraph" w:styleId="Normlnweb">
    <w:name w:val="Normal (Web)"/>
    <w:basedOn w:val="Normln"/>
    <w:uiPriority w:val="99"/>
    <w:semiHidden/>
    <w:unhideWhenUsed/>
    <w:rsid w:val="009E4B31"/>
    <w:pPr>
      <w:overflowPunct/>
      <w:autoSpaceDE/>
      <w:autoSpaceDN/>
      <w:adjustRightInd/>
      <w:spacing w:after="240"/>
      <w:textAlignment w:val="auto"/>
    </w:pPr>
    <w:rPr>
      <w:szCs w:val="24"/>
      <w:lang w:eastAsia="cs-CZ"/>
    </w:rPr>
  </w:style>
  <w:style w:type="paragraph" w:styleId="Odstavecseseznamem">
    <w:name w:val="List Paragraph"/>
    <w:basedOn w:val="Normln"/>
    <w:uiPriority w:val="34"/>
    <w:qFormat/>
    <w:rsid w:val="00FC46C9"/>
    <w:pPr>
      <w:ind w:left="720"/>
      <w:contextualSpacing/>
    </w:pPr>
  </w:style>
  <w:style w:type="paragraph" w:styleId="Zhlav">
    <w:name w:val="header"/>
    <w:basedOn w:val="Normln"/>
    <w:link w:val="ZhlavChar"/>
    <w:uiPriority w:val="99"/>
    <w:unhideWhenUsed/>
    <w:rsid w:val="001B4AC5"/>
    <w:pPr>
      <w:tabs>
        <w:tab w:val="center" w:pos="4536"/>
        <w:tab w:val="right" w:pos="9072"/>
      </w:tabs>
    </w:pPr>
  </w:style>
  <w:style w:type="character" w:customStyle="1" w:styleId="ZhlavChar">
    <w:name w:val="Záhlaví Char"/>
    <w:link w:val="Zhlav"/>
    <w:uiPriority w:val="99"/>
    <w:rsid w:val="001B4AC5"/>
    <w:rPr>
      <w:rFonts w:ascii="Times New Roman" w:hAnsi="Times New Roman" w:cs="Times New Roman"/>
      <w:sz w:val="24"/>
      <w:szCs w:val="20"/>
      <w:lang w:eastAsia="zh-CN"/>
    </w:rPr>
  </w:style>
  <w:style w:type="paragraph" w:styleId="Zpat">
    <w:name w:val="footer"/>
    <w:basedOn w:val="Normln"/>
    <w:link w:val="ZpatChar"/>
    <w:uiPriority w:val="99"/>
    <w:unhideWhenUsed/>
    <w:rsid w:val="001B4AC5"/>
    <w:pPr>
      <w:tabs>
        <w:tab w:val="center" w:pos="4536"/>
        <w:tab w:val="right" w:pos="9072"/>
      </w:tabs>
    </w:pPr>
  </w:style>
  <w:style w:type="character" w:customStyle="1" w:styleId="ZpatChar">
    <w:name w:val="Zápatí Char"/>
    <w:link w:val="Zpat"/>
    <w:uiPriority w:val="99"/>
    <w:rsid w:val="001B4AC5"/>
    <w:rPr>
      <w:rFonts w:ascii="Times New Roman" w:hAnsi="Times New Roman" w:cs="Times New Roman"/>
      <w:sz w:val="24"/>
      <w:szCs w:val="20"/>
      <w:lang w:eastAsia="zh-CN"/>
    </w:rPr>
  </w:style>
  <w:style w:type="table" w:styleId="Mkatabulky">
    <w:name w:val="Table Grid"/>
    <w:basedOn w:val="Normlntabulka"/>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2.tif"/><Relationship Id="rId17" Type="http://schemas.openxmlformats.org/officeDocument/2006/relationships/image" Target="media/image3.tif"/><Relationship Id="rId18" Type="http://schemas.openxmlformats.org/officeDocument/2006/relationships/image" Target="media/image4.tif"/><Relationship Id="rId19" Type="http://schemas.openxmlformats.org/officeDocument/2006/relationships/image" Target="media/image5.tif"/><Relationship Id="rId20" Type="http://schemas.openxmlformats.org/officeDocument/2006/relationships/image" Target="media/image6.tif"/><Relationship Id="rId21" Type="http://schemas.openxmlformats.org/officeDocument/2006/relationships/image" Target="media/image7.ti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List1!$B$1</c:f>
              <c:strCache>
                <c:ptCount val="1"/>
                <c:pt idx="0">
                  <c:v>Item 1</c:v>
                </c:pt>
              </c:strCache>
            </c:strRef>
          </c:tx>
          <c:invertIfNegative val="0"/>
          <c:cat>
            <c:strRef>
              <c:f>List1!$A$2:$A$5</c:f>
              <c:strCache>
                <c:ptCount val="4"/>
                <c:pt idx="0">
                  <c:v>Category 1</c:v>
                </c:pt>
                <c:pt idx="1">
                  <c:v>Category 2</c:v>
                </c:pt>
                <c:pt idx="2">
                  <c:v>Category 3</c:v>
                </c:pt>
                <c:pt idx="3">
                  <c:v>Category 4</c:v>
                </c:pt>
              </c:strCache>
            </c:strRef>
          </c:cat>
          <c:val>
            <c:numRef>
              <c:f>List1!$B$2:$B$5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6FC-439C-9821-60622D4FEB83}"/>
            </c:ext>
          </c:extLst>
        </c:ser>
        <c:ser>
          <c:idx val="1"/>
          <c:order val="1"/>
          <c:tx>
            <c:strRef>
              <c:f>List1!$C$1</c:f>
              <c:strCache>
                <c:ptCount val="1"/>
                <c:pt idx="0">
                  <c:v>Item 2</c:v>
                </c:pt>
              </c:strCache>
            </c:strRef>
          </c:tx>
          <c:invertIfNegative val="0"/>
          <c:cat>
            <c:strRef>
              <c:f>List1!$A$2:$A$5</c:f>
              <c:strCache>
                <c:ptCount val="4"/>
                <c:pt idx="0">
                  <c:v>Category 1</c:v>
                </c:pt>
                <c:pt idx="1">
                  <c:v>Category 2</c:v>
                </c:pt>
                <c:pt idx="2">
                  <c:v>Category 3</c:v>
                </c:pt>
                <c:pt idx="3">
                  <c:v>Category 4</c:v>
                </c:pt>
              </c:strCache>
            </c:strRef>
          </c:cat>
          <c:val>
            <c:numRef>
              <c:f>List1!$C$2:$C$5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6FC-439C-9821-60622D4FEB83}"/>
            </c:ext>
          </c:extLst>
        </c:ser>
        <c:ser>
          <c:idx val="2"/>
          <c:order val="2"/>
          <c:tx>
            <c:strRef>
              <c:f>List1!$D$1</c:f>
              <c:strCache>
                <c:ptCount val="1"/>
                <c:pt idx="0">
                  <c:v>Item 3</c:v>
                </c:pt>
              </c:strCache>
            </c:strRef>
          </c:tx>
          <c:invertIfNegative val="0"/>
          <c:cat>
            <c:strRef>
              <c:f>List1!$A$2:$A$5</c:f>
              <c:strCache>
                <c:ptCount val="4"/>
                <c:pt idx="0">
                  <c:v>Category 1</c:v>
                </c:pt>
                <c:pt idx="1">
                  <c:v>Category 2</c:v>
                </c:pt>
                <c:pt idx="2">
                  <c:v>Category 3</c:v>
                </c:pt>
                <c:pt idx="3">
                  <c:v>Category 4</c:v>
                </c:pt>
              </c:strCache>
            </c:strRef>
          </c:cat>
          <c:val>
            <c:numRef>
              <c:f>List1!$D$2:$D$5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6FC-439C-9821-60622D4FEB83}"/>
            </c:ext>
          </c:extLst>
        </c:ser>
        <c:dLbls>
          <c:showLegendKey val="0"/>
          <c:showVal val="0"/>
          <c:showCatName val="0"/>
          <c:showSerName val="0"/>
          <c:showPercent val="0"/>
          <c:showBubbleSize val="0"/>
        </c:dLbls>
        <c:gapWidth val="150"/>
        <c:axId val="506353152"/>
        <c:axId val="506354688"/>
      </c:barChart>
      <c:catAx>
        <c:axId val="506353152"/>
        <c:scaling>
          <c:orientation val="minMax"/>
        </c:scaling>
        <c:delete val="0"/>
        <c:axPos val="b"/>
        <c:numFmt formatCode="General" sourceLinked="0"/>
        <c:majorTickMark val="out"/>
        <c:minorTickMark val="none"/>
        <c:tickLblPos val="nextTo"/>
        <c:crossAx val="506354688"/>
        <c:crosses val="autoZero"/>
        <c:auto val="1"/>
        <c:lblAlgn val="ctr"/>
        <c:lblOffset val="100"/>
        <c:noMultiLvlLbl val="0"/>
      </c:catAx>
      <c:valAx>
        <c:axId val="506354688"/>
        <c:scaling>
          <c:orientation val="minMax"/>
        </c:scaling>
        <c:delete val="0"/>
        <c:axPos val="l"/>
        <c:majorGridlines/>
        <c:numFmt formatCode="General" sourceLinked="1"/>
        <c:majorTickMark val="out"/>
        <c:minorTickMark val="none"/>
        <c:tickLblPos val="nextTo"/>
        <c:crossAx val="506353152"/>
        <c:crosses val="autoZero"/>
        <c:crossBetween val="between"/>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Manuscript file_template_CAAS</Template>
  <TotalTime>7</TotalTime>
  <Pages>2</Pages>
  <Words>161</Words>
  <Characters>833</Characters>
  <Application>Microsoft Office Word</Application>
  <DocSecurity>0</DocSecurity>
  <Lines>26</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2023-01-11T09:58:00Z</dcterms:created>
  <dcterms:modified xsi:type="dcterms:W3CDTF">2023-01-11T10:15:00Z</dcterms:modified>
  <dc:title>Differences among lychee cultivars in responses to Peronophythora litchii implicate cell wall and carbohydrate remodeling</dc:title>
  <dc:subject>Plant Protection Science submission</dc:subject>
  <cp:keywords>oomycete disease; host response; differential expression; transcript usage; reproducible bioinformatics; crop improvement</cp:keywords>
  <dc:description/>
  <cp:category>Original paper</cp:category>
</cp:coreProperties>
</file>