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b w:val="0"/>
          <w:i w:val="0"/>
        </w:rPr>
        <w:t xml:space="preserve">Cultivar-dependent transcriptional responses of lychee to </w:t>
      </w:r>
      <w:r>
        <w:rPr>
          <w:rFonts w:ascii="Times New Roman" w:hAnsi="Times New Roman"/>
          <w:b w:val="0"/>
          <w:i/>
        </w:rPr>
        <w:t>Peronophythora litchii</w:t>
      </w:r>
      <w:r>
        <w:rPr>
          <w:rFonts w:ascii="Times New Roman" w:hAnsi="Times New Roman"/>
          <w:b w:val="0"/>
          <w:i w:val="0"/>
        </w:rPr>
        <w:t>: a registered genome-wide analysis</w:t>
      </w:r>
    </w:p>
    <w:p>
      <w:pPr>
        <w:ind w:firstLine="0"/>
        <w:jc w:val="center"/>
      </w:pPr>
      <w:r>
        <w:rPr>
          <w:b/>
        </w:rPr>
        <w:t>Eric Zhuang</w:t>
      </w:r>
    </w:p>
    <w:p>
      <w:pPr>
        <w:pStyle w:val="Heading1"/>
        <w:spacing w:before="280"/>
      </w:pPr>
      <w:r>
        <w:t>Abstract</w:t>
      </w:r>
    </w:p>
    <w:p>
      <w:pPr>
        <w:pageBreakBefore w:val="0"/>
      </w:pPr>
      <w:r>
        <w:rPr>
          <w:rFonts w:ascii="Times New Roman" w:hAnsi="Times New Roman"/>
          <w:b w:val="0"/>
          <w:i w:val="0"/>
        </w:rPr>
        <w:t xml:space="preserve">Litchi downy blight, caused by the oomycete </w:t>
      </w:r>
      <w:r>
        <w:rPr>
          <w:rFonts w:ascii="Times New Roman" w:hAnsi="Times New Roman"/>
          <w:b w:val="0"/>
          <w:i/>
        </w:rPr>
        <w:t>Peronophythora litchii</w:t>
      </w:r>
      <w:r>
        <w:rPr>
          <w:rFonts w:ascii="Times New Roman" w:hAnsi="Times New Roman"/>
          <w:b w:val="0"/>
          <w:i w:val="0"/>
        </w:rPr>
        <w:t>, is among the most damaging diseases of lychee (</w:t>
      </w:r>
      <w:r>
        <w:rPr>
          <w:rFonts w:ascii="Times New Roman" w:hAnsi="Times New Roman"/>
          <w:b w:val="0"/>
          <w:i/>
        </w:rPr>
        <w:t>Litchi chinensis</w:t>
      </w:r>
      <w:r>
        <w:rPr>
          <w:rFonts w:ascii="Times New Roman" w:hAnsi="Times New Roman"/>
          <w:b w:val="0"/>
          <w:i w:val="0"/>
        </w:rPr>
        <w:t xml:space="preserve"> Sonn.), and public RNA-seq cohorts spanning cultivars, tissues, and infection time points offer a natural resource for identifying cultivar-dependent infection responses. Such data are easily over-interpreted, however, when the same cohort is used both to select candidates and to appear to confirm them. Here we unify two stages of a transcriptomic reanalysis of the lychee–</w:t>
      </w:r>
      <w:r>
        <w:rPr>
          <w:rFonts w:ascii="Times New Roman" w:hAnsi="Times New Roman"/>
          <w:b w:val="0"/>
          <w:i/>
        </w:rPr>
        <w:t>P. litchii</w:t>
      </w:r>
      <w:r>
        <w:rPr>
          <w:rFonts w:ascii="Times New Roman" w:hAnsi="Times New Roman"/>
          <w:b w:val="0"/>
          <w:i w:val="0"/>
        </w:rPr>
        <w:t xml:space="preserve"> interaction into a single account. In the first, exploratory stage, we reanalyzed leaf RNA-seq data from the cultivars Guiwei and Yurong1 (GSE201243/PRJNA830488), identified 17 and 117 infection-responsive genes in the two cultivars, and prioritized 18 candidates with defense-associated annotations and apparently enriched stress- and hormone-associated promoter elements. In the second, confirmatory stage, we prospectively registered a discovery and external-evaluation protocol that fixed dataset roles, statistical models, thresholds, and evidence vocabulary before any external outcome was examined. A genome-wide negative-binomial cultivar-by-infection interaction analysis of 19,445 expressed genes produced 262 statistical candidates, of which 206 were retained after uniform mapping and gene-model quality control, 19 remained significant under an independent genome-wide edgeR quasi-likelihood analysis, and 16 passed the complete registered robustness procedure. In the prespecified cross-context evaluation against an independent pericarp time course contrasting a susceptible and a resistant cultivar (PRJNA450886), two genes were supported and five were directionally contradictory; the internally robust and externally supported sets did not overlap, an outcome compatible with chance given the set sizes. A formal audit showed that none of the original 18 exploratory candidates met the newly applied genome-wide interaction criterion and that two failed uniform-mappability control. Deterministic evidence integration assigned no gene to the highest confidence tier, placed 12 internally robust genes, whose annotations include carbohydrate and cell-wall remodeling, lipid-transfer, and chaperone-regulatory functions, in a middle tier, and retired 65 entities, with all null and contradictory outcomes reported. The unified analysis shows that candidates selected for effect-size prominence in a single cohort largely fail a formally specified genome-wide interaction test, delimits exactly which computational claims about this pathosystem the current public data can support, and releases a candidate resource whose evidence boundaries are explicit. Experimental perturbation remains necessary for any causal conclusion.</w:t>
      </w:r>
    </w:p>
    <w:p>
      <w:pPr>
        <w:pageBreakBefore w:val="0"/>
      </w:pPr>
      <w:r>
        <w:rPr>
          <w:rFonts w:ascii="Times New Roman" w:hAnsi="Times New Roman"/>
          <w:b/>
          <w:i w:val="0"/>
        </w:rPr>
        <w:t>Keywords:</w:t>
      </w:r>
      <w:r>
        <w:rPr>
          <w:rFonts w:ascii="Times New Roman" w:hAnsi="Times New Roman"/>
          <w:b w:val="0"/>
          <w:i w:val="0"/>
        </w:rPr>
        <w:t xml:space="preserve"> </w:t>
      </w:r>
      <w:r>
        <w:rPr>
          <w:rFonts w:ascii="Times New Roman" w:hAnsi="Times New Roman"/>
          <w:b w:val="0"/>
          <w:i/>
        </w:rPr>
        <w:t>Litchi chinensis</w:t>
      </w:r>
      <w:r>
        <w:rPr>
          <w:rFonts w:ascii="Times New Roman" w:hAnsi="Times New Roman"/>
          <w:b w:val="0"/>
          <w:i w:val="0"/>
        </w:rPr>
        <w:t xml:space="preserve">; </w:t>
      </w:r>
      <w:r>
        <w:rPr>
          <w:rFonts w:ascii="Times New Roman" w:hAnsi="Times New Roman"/>
          <w:b w:val="0"/>
          <w:i/>
        </w:rPr>
        <w:t>Peronophythora litchii</w:t>
      </w:r>
      <w:r>
        <w:rPr>
          <w:rFonts w:ascii="Times New Roman" w:hAnsi="Times New Roman"/>
          <w:b w:val="0"/>
          <w:i w:val="0"/>
        </w:rPr>
        <w:t>; downy blight; RNA-seq; cultivar-by-infection interaction; preregistered analysis; cross-context evaluation</w:t>
      </w:r>
    </w:p>
    <w:p>
      <w:pPr>
        <w:pStyle w:val="Heading1"/>
        <w:pageBreakBefore w:val="0"/>
      </w:pPr>
      <w:r>
        <w:rPr>
          <w:rFonts w:ascii="Times New Roman" w:hAnsi="Times New Roman"/>
          <w:b w:val="0"/>
          <w:i w:val="0"/>
        </w:rPr>
        <w:t>Introduction</w:t>
      </w:r>
    </w:p>
    <w:p>
      <w:pPr>
        <w:pageBreakBefore w:val="0"/>
      </w:pPr>
      <w:r>
        <w:rPr>
          <w:rFonts w:ascii="Times New Roman" w:hAnsi="Times New Roman"/>
          <w:b w:val="0"/>
          <w:i w:val="0"/>
        </w:rPr>
        <w:t>Lychee (</w:t>
      </w:r>
      <w:r>
        <w:rPr>
          <w:rFonts w:ascii="Times New Roman" w:hAnsi="Times New Roman"/>
          <w:b w:val="0"/>
          <w:i/>
        </w:rPr>
        <w:t>Litchi chinensis</w:t>
      </w:r>
      <w:r>
        <w:rPr>
          <w:rFonts w:ascii="Times New Roman" w:hAnsi="Times New Roman"/>
          <w:b w:val="0"/>
          <w:i w:val="0"/>
        </w:rPr>
        <w:t xml:space="preserve"> Sonn.) is a subtropical fruit crop of substantial economic importance in southern China, Southeast Asia, and a growing set of production regions worldwide [1]. Among its diseases, litchi downy blight, caused by the oomycete </w:t>
      </w:r>
      <w:r>
        <w:rPr>
          <w:rFonts w:ascii="Times New Roman" w:hAnsi="Times New Roman"/>
          <w:b w:val="0"/>
          <w:i/>
        </w:rPr>
        <w:t>Peronophythora litchii</w:t>
      </w:r>
      <w:r>
        <w:rPr>
          <w:rFonts w:ascii="Times New Roman" w:hAnsi="Times New Roman"/>
          <w:b w:val="0"/>
          <w:i w:val="0"/>
        </w:rPr>
        <w:t xml:space="preserve"> (historically also treated as </w:t>
      </w:r>
      <w:r>
        <w:rPr>
          <w:rFonts w:ascii="Times New Roman" w:hAnsi="Times New Roman"/>
          <w:b w:val="0"/>
          <w:i/>
        </w:rPr>
        <w:t>Phytophthora litchii</w:t>
      </w:r>
      <w:r>
        <w:rPr>
          <w:rFonts w:ascii="Times New Roman" w:hAnsi="Times New Roman"/>
          <w:b w:val="0"/>
          <w:i w:val="0"/>
        </w:rP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rFonts w:ascii="Times New Roman" w:hAnsi="Times New Roman"/>
          <w:b w:val="0"/>
          <w:i/>
        </w:rPr>
        <w:t>P. litchii</w:t>
      </w:r>
      <w:r>
        <w:rPr>
          <w:rFonts w:ascii="Times New Roman" w:hAnsi="Times New Roman"/>
          <w:b w:val="0"/>
          <w:i w:val="0"/>
        </w:rPr>
        <w:t xml:space="preserve"> is a question of both agronomic and biological interest.</w:t>
      </w:r>
    </w:p>
    <w:p>
      <w:pPr>
        <w:pageBreakBefore w:val="0"/>
      </w:pPr>
      <w:r>
        <w:rPr>
          <w:rFonts w:ascii="Times New Roman" w:hAnsi="Times New Roman"/>
          <w:b w:val="0"/>
          <w:i w:val="0"/>
        </w:rPr>
        <w:t xml:space="preserve">The resources needed to address this question computationally have accumulated rapidly. High-quality genome assemblies are available for lychee [4], and several groups have profiled the transcriptional response to </w:t>
      </w:r>
      <w:r>
        <w:rPr>
          <w:rFonts w:ascii="Times New Roman" w:hAnsi="Times New Roman"/>
          <w:b w:val="0"/>
          <w:i/>
        </w:rPr>
        <w:t>P. litchii</w:t>
      </w:r>
      <w:r>
        <w:rPr>
          <w:rFonts w:ascii="Times New Roman" w:hAnsi="Times New Roman"/>
          <w:b w:val="0"/>
          <w:i w:val="0"/>
        </w:rP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rFonts w:ascii="Times New Roman" w:hAnsi="Times New Roman"/>
          <w:b w:val="0"/>
          <w:i/>
        </w:rPr>
        <w:t>P. litchii</w:t>
      </w:r>
      <w:r>
        <w:rPr>
          <w:rFonts w:ascii="Times New Roman" w:hAnsi="Times New Roman"/>
          <w:b w:val="0"/>
          <w:i w:val="0"/>
        </w:rPr>
        <w:t xml:space="preserve"> inoculation [6], and Li et al. showed that the pathogen RXLR effector PlAvh202 promotes virulence by destabilizing a host ethylene-biosynthesis enzyme [7]. A pathogen-side transcriptome catalogued the </w:t>
      </w:r>
      <w:r>
        <w:rPr>
          <w:rFonts w:ascii="Times New Roman" w:hAnsi="Times New Roman"/>
          <w:b w:val="0"/>
          <w:i/>
        </w:rPr>
        <w:t>P. litchii</w:t>
      </w:r>
      <w:r>
        <w:rPr>
          <w:rFonts w:ascii="Times New Roman" w:hAnsi="Times New Roman"/>
          <w:b w:val="0"/>
          <w:i w:val="0"/>
        </w:rP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pPr>
        <w:pageBreakBefore w:val="0"/>
      </w:pPr>
      <w:r>
        <w:rPr>
          <w:rFonts w:ascii="Times New Roman" w:hAnsi="Times New Roman"/>
          <w:b w:val="0"/>
          <w:i w:val="0"/>
        </w:rP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characterize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pPr>
        <w:pageBreakBefore w:val="0"/>
      </w:pPr>
      <w:r>
        <w:rPr>
          <w:rFonts w:ascii="Times New Roman" w:hAnsi="Times New Roman"/>
          <w:b w:val="0"/>
          <w:i w:val="0"/>
        </w:rPr>
        <w:t xml:space="preserve">The first stage of the present work followed the same pattern. In an exploratory reanalysis of the GSE201243 leaf series [8] (Guiwei and Yurong1, mock versus inoculated, 24 h post-inoculation), we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found that a set of stress- and hormone-associated </w:t>
      </w:r>
      <w:r>
        <w:rPr>
          <w:rFonts w:ascii="Times New Roman" w:hAnsi="Times New Roman"/>
          <w:b w:val="0"/>
          <w:i/>
        </w:rPr>
        <w:t>cis</w:t>
      </w:r>
      <w:r>
        <w:rPr>
          <w:rFonts w:ascii="Times New Roman" w:hAnsi="Times New Roman"/>
          <w:b w:val="0"/>
          <w:i w:val="0"/>
        </w:rPr>
        <w:t>-regulatory elements was enriched in their promoters relative to a randomized background. That analysis was framed as hypothesis-generating, and critical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randomized background, is weak evidence of regulatory function. We regard all three criticisms as correct, and they motivated the confirmatory stage reported here.</w:t>
      </w:r>
    </w:p>
    <w:p>
      <w:pPr>
        <w:pageBreakBefore w:val="0"/>
      </w:pPr>
      <w:r>
        <w:rPr>
          <w:rFonts w:ascii="Times New Roman" w:hAnsi="Times New Roman"/>
          <w:b w:val="0"/>
          <w:i w:val="0"/>
        </w:rPr>
        <w:t xml:space="preserve">This paper therefore presents the complete arc of the project in one place. We prospectively registered a discovery and external-evaluation protocol that fixed dataset roles, models, thresholds, empty-result behavior,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prespecified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(throughout, </w:t>
      </w:r>
      <w:r>
        <w:rPr>
          <w:rFonts w:ascii="Times New Roman" w:hAnsi="Times New Roman"/>
          <w:b w:val="0"/>
          <w:i/>
        </w:rPr>
        <w:t>frozen</w:t>
      </w:r>
      <w:r>
        <w:rPr>
          <w:rFonts w:ascii="Times New Roman" w:hAnsi="Times New Roman"/>
          <w:b w:val="0"/>
          <w:i w:val="0"/>
        </w:rPr>
        <w:t xml:space="preserve"> denotes a computed result fixed at a recorded checkpoint and not modified afterward),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pageBreakBefore w:val="0"/>
      </w:pPr>
      <w:r>
        <w:rPr>
          <w:rFonts w:ascii="Times New Roman" w:hAnsi="Times New Roman"/>
          <w:b w:val="0"/>
          <w:i w:val="0"/>
        </w:rPr>
        <w:t>Results</w:t>
      </w:r>
    </w:p>
    <w:p>
      <w:pPr>
        <w:pStyle w:val="Heading2"/>
        <w:pageBreakBefore w:val="0"/>
      </w:pPr>
      <w:r>
        <w:rPr>
          <w:rFonts w:ascii="Times New Roman" w:hAnsi="Times New Roman"/>
          <w:b w:val="0"/>
          <w:i w:val="0"/>
        </w:rPr>
        <w:t>A two-stage design with prespecified dataset roles</w:t>
      </w:r>
    </w:p>
    <w:p>
      <w:pPr>
        <w:pageBreakBefore w:val="0"/>
      </w:pPr>
      <w:r>
        <w:rPr>
          <w:rFonts w:ascii="Times New Roman" w:hAnsi="Times New Roman"/>
          <w:b w:val="0"/>
          <w:i w:val="0"/>
        </w:rP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rFonts w:ascii="Times New Roman" w:hAnsi="Times New Roman"/>
          <w:b w:val="0"/>
          <w:i/>
        </w:rPr>
        <w:t>cross-context support</w:t>
      </w:r>
      <w:r>
        <w:rPr>
          <w:rFonts w:ascii="Times New Roman" w:hAnsi="Times New Roman"/>
          <w:b w:val="0"/>
          <w:i w:val="0"/>
        </w:rP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keepNext/>
        <w:pageBreakBefore/>
        <w:ind w:firstLine="0"/>
        <w:jc w:val="center"/>
      </w:pPr>
      <w:r>
        <w:drawing>
          <wp:inline xmlns:a="http://schemas.openxmlformats.org/drawingml/2006/main" xmlns:pic="http://schemas.openxmlformats.org/drawingml/2006/picture">
            <wp:extent cx="6172200" cy="5429162"/>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0" name="figure1_study_design_qc.png"/>
                    <pic:cNvPicPr/>
                  </pic:nvPicPr>
                  <pic:blipFill>
                    <a:blip r:embed="rId10"/>
                    <a:stretch>
                      <a:fillRect/>
                    </a:stretch>
                  </pic:blipFill>
                  <pic:spPr>
                    <a:xfrm>
                      <a:off x="0" y="0"/>
                      <a:ext cx="6172200" cy="5429162"/>
                    </a:xfrm>
                    <a:prstGeom prst="rect"/>
                  </pic:spPr>
                </pic:pic>
              </a:graphicData>
            </a:graphic>
          </wp:inline>
        </w:drawing>
      </w:r>
    </w:p>
    <w:p>
      <w:pPr>
        <w:pStyle w:val="Caption"/>
      </w:pPr>
      <w:r>
        <w:rPr>
          <w:b/>
        </w:rPr>
        <w:t xml:space="preserve">Figure 1. </w:t>
      </w:r>
      <w:r>
        <w:rPr>
          <w:rFonts w:ascii="Times New Roman" w:hAnsi="Times New Roman"/>
          <w:b/>
          <w:i w:val="0"/>
          <w:sz w:val="18"/>
        </w:rPr>
        <w:t>Study cohorts, discovery quality control, and expression structure.</w:t>
      </w:r>
      <w:r>
        <w:rPr>
          <w:rFonts w:ascii="Times New Roman" w:hAnsi="Times New Roman"/>
          <w:b w:val="0"/>
          <w:i w:val="0"/>
          <w:sz w:val="18"/>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Caption"/>
        <w:keepNext/>
        <w:pageBreakBefore w:val="0"/>
      </w:pPr>
      <w:r>
        <w:rPr>
          <w:b/>
        </w:rPr>
        <w:t xml:space="preserve">Table 1. </w:t>
      </w:r>
      <w:r>
        <w:rPr>
          <w:rFonts w:ascii="Times New Roman" w:hAnsi="Times New Roman"/>
          <w:b/>
          <w:i w:val="0"/>
          <w:sz w:val="18"/>
        </w:rPr>
        <w:t>Locked dataset roles and eligibility.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D9E2F3"/>
          </w:tcPr>
          <w:p>
            <w:pPr>
              <w:spacing w:line="240" w:lineRule="auto" w:after="0"/>
              <w:ind w:firstLine="0"/>
            </w:pPr>
            <w:r>
              <w:rPr>
                <w:rFonts w:ascii="Times New Roman" w:hAnsi="Times New Roman"/>
                <w:b/>
                <w:i w:val="0"/>
                <w:sz w:val="15"/>
              </w:rPr>
              <w:t>Accession</w:t>
            </w:r>
          </w:p>
        </w:tc>
        <w:tc>
          <w:tcPr>
            <w:tcW w:type="dxa" w:w="2484"/>
            <w:vAlign w:val="center"/>
            <w:shd w:fill="D9E2F3"/>
          </w:tcPr>
          <w:p>
            <w:pPr>
              <w:spacing w:line="240" w:lineRule="auto" w:after="0"/>
              <w:ind w:firstLine="0"/>
            </w:pPr>
            <w:r>
              <w:rPr>
                <w:rFonts w:ascii="Times New Roman" w:hAnsi="Times New Roman"/>
                <w:b/>
                <w:i w:val="0"/>
                <w:sz w:val="15"/>
              </w:rPr>
              <w:t>Design</w:t>
            </w:r>
          </w:p>
        </w:tc>
        <w:tc>
          <w:tcPr>
            <w:tcW w:type="dxa" w:w="2484"/>
            <w:vAlign w:val="center"/>
            <w:shd w:fill="D9E2F3"/>
          </w:tcPr>
          <w:p>
            <w:pPr>
              <w:spacing w:line="240" w:lineRule="auto" w:after="0"/>
              <w:ind w:firstLine="0"/>
            </w:pPr>
            <w:r>
              <w:rPr>
                <w:rFonts w:ascii="Times New Roman" w:hAnsi="Times New Roman"/>
                <w:b/>
                <w:i w:val="0"/>
                <w:sz w:val="15"/>
              </w:rPr>
              <w:t>Locked role</w:t>
            </w:r>
          </w:p>
        </w:tc>
        <w:tc>
          <w:tcPr>
            <w:tcW w:type="dxa" w:w="2484"/>
            <w:vAlign w:val="center"/>
            <w:shd w:fill="D9E2F3"/>
          </w:tcPr>
          <w:p>
            <w:pPr>
              <w:spacing w:line="240" w:lineRule="auto" w:after="0"/>
              <w:ind w:firstLine="0"/>
            </w:pPr>
            <w:r>
              <w:rPr>
                <w:rFonts w:ascii="Times New Roman" w:hAnsi="Times New Roman"/>
                <w:b/>
                <w:i w:val="0"/>
                <w:sz w:val="15"/>
              </w:rPr>
              <w:t>Evidence class</w:t>
            </w:r>
          </w:p>
        </w:tc>
      </w:tr>
      <w:tr>
        <w:trPr>
          <w:cantSplit/>
        </w:trPr>
        <w:tc>
          <w:tcPr>
            <w:tcW w:type="dxa" w:w="2484"/>
            <w:vAlign w:val="center"/>
          </w:tcPr>
          <w:p>
            <w:pPr>
              <w:spacing w:line="240" w:lineRule="auto" w:after="0"/>
              <w:ind w:firstLine="0"/>
            </w:pPr>
            <w:r>
              <w:rPr>
                <w:rFonts w:ascii="Times New Roman" w:hAnsi="Times New Roman"/>
                <w:b w:val="0"/>
                <w:i w:val="0"/>
                <w:sz w:val="15"/>
              </w:rPr>
              <w:t>PRJNA830488 (GSE201243)</w:t>
            </w:r>
          </w:p>
        </w:tc>
        <w:tc>
          <w:tcPr>
            <w:tcW w:type="dxa" w:w="2484"/>
            <w:vAlign w:val="center"/>
          </w:tcPr>
          <w:p>
            <w:pPr>
              <w:spacing w:line="240" w:lineRule="auto" w:after="0"/>
              <w:ind w:firstLine="0"/>
            </w:pPr>
            <w:r>
              <w:rPr>
                <w:rFonts w:ascii="Times New Roman" w:hAnsi="Times New Roman"/>
                <w:b w:val="0"/>
                <w:i w:val="0"/>
                <w:sz w:val="15"/>
              </w:rPr>
              <w:t>Guiwei/Yurong1 leaf; mock/infected; 24 h; 3 libraries per cell</w:t>
            </w:r>
          </w:p>
        </w:tc>
        <w:tc>
          <w:tcPr>
            <w:tcW w:type="dxa" w:w="2484"/>
            <w:vAlign w:val="center"/>
          </w:tcPr>
          <w:p>
            <w:pPr>
              <w:spacing w:line="240" w:lineRule="auto" w:after="0"/>
              <w:ind w:firstLine="0"/>
            </w:pPr>
            <w:r>
              <w:rPr>
                <w:rFonts w:ascii="Times New Roman" w:hAnsi="Times New Roman"/>
                <w:b w:val="0"/>
                <w:i w:val="0"/>
                <w:sz w:val="15"/>
              </w:rPr>
              <w:t>Discovery</w:t>
            </w:r>
          </w:p>
        </w:tc>
        <w:tc>
          <w:tcPr>
            <w:tcW w:type="dxa" w:w="2484"/>
            <w:vAlign w:val="center"/>
          </w:tcPr>
          <w:p>
            <w:pPr>
              <w:spacing w:line="240" w:lineRule="auto" w:after="0"/>
              <w:ind w:firstLine="0"/>
            </w:pPr>
            <w:r>
              <w:rPr>
                <w:rFonts w:ascii="Times New Roman" w:hAnsi="Times New Roman"/>
                <w:b w:val="0"/>
                <w:i w:val="0"/>
                <w:sz w:val="15"/>
              </w:rPr>
              <w:t>Conditional inferential</w:t>
            </w:r>
          </w:p>
        </w:tc>
      </w:tr>
      <w:tr>
        <w:trPr>
          <w:cantSplit/>
        </w:trPr>
        <w:tc>
          <w:tcPr>
            <w:tcW w:type="dxa" w:w="2484"/>
            <w:vAlign w:val="center"/>
          </w:tcPr>
          <w:p>
            <w:pPr>
              <w:spacing w:line="240" w:lineRule="auto" w:after="0"/>
              <w:ind w:firstLine="0"/>
            </w:pPr>
            <w:r>
              <w:rPr>
                <w:rFonts w:ascii="Times New Roman" w:hAnsi="Times New Roman"/>
                <w:b w:val="0"/>
                <w:i w:val="0"/>
                <w:sz w:val="15"/>
              </w:rPr>
              <w:t>PRJNA450886</w:t>
            </w:r>
          </w:p>
        </w:tc>
        <w:tc>
          <w:tcPr>
            <w:tcW w:type="dxa" w:w="2484"/>
            <w:vAlign w:val="center"/>
          </w:tcPr>
          <w:p>
            <w:pPr>
              <w:spacing w:line="240" w:lineRule="auto" w:after="0"/>
              <w:ind w:firstLine="0"/>
            </w:pPr>
            <w:r>
              <w:rPr>
                <w:rFonts w:ascii="Times New Roman" w:hAnsi="Times New Roman"/>
                <w:b w:val="0"/>
                <w:i w:val="0"/>
                <w:sz w:val="15"/>
              </w:rPr>
              <w:t>Guiwei/Heiye pericarp; mock/infected; 6, 24, 48 h; 3 libraries per cell</w:t>
            </w:r>
          </w:p>
        </w:tc>
        <w:tc>
          <w:tcPr>
            <w:tcW w:type="dxa" w:w="2484"/>
            <w:vAlign w:val="center"/>
          </w:tcPr>
          <w:p>
            <w:pPr>
              <w:spacing w:line="240" w:lineRule="auto" w:after="0"/>
              <w:ind w:firstLine="0"/>
            </w:pPr>
            <w:r>
              <w:rPr>
                <w:rFonts w:ascii="Times New Roman" w:hAnsi="Times New Roman"/>
                <w:b w:val="0"/>
                <w:i w:val="0"/>
                <w:sz w:val="15"/>
              </w:rPr>
              <w:t>Primary external evaluation</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PRJNA922966 (GSE222651)</w:t>
            </w:r>
          </w:p>
        </w:tc>
        <w:tc>
          <w:tcPr>
            <w:tcW w:type="dxa" w:w="2484"/>
            <w:vAlign w:val="center"/>
          </w:tcPr>
          <w:p>
            <w:pPr>
              <w:spacing w:line="240" w:lineRule="auto" w:after="0"/>
              <w:ind w:firstLine="0"/>
            </w:pPr>
            <w:r>
              <w:rPr>
                <w:rFonts w:ascii="Times New Roman" w:hAnsi="Times New Roman"/>
                <w:b w:val="0"/>
                <w:i w:val="0"/>
                <w:sz w:val="15"/>
              </w:rPr>
              <w:t>Feizixiao leaf/fruit; mock/infected; 24 h; 3 libraries per cell</w:t>
            </w:r>
          </w:p>
        </w:tc>
        <w:tc>
          <w:tcPr>
            <w:tcW w:type="dxa" w:w="2484"/>
            <w:vAlign w:val="center"/>
          </w:tcPr>
          <w:p>
            <w:pPr>
              <w:spacing w:line="240" w:lineRule="auto" w:after="0"/>
              <w:ind w:firstLine="0"/>
            </w:pPr>
            <w:r>
              <w:rPr>
                <w:rFonts w:ascii="Times New Roman" w:hAnsi="Times New Roman"/>
                <w:b w:val="0"/>
                <w:i w:val="0"/>
                <w:sz w:val="15"/>
              </w:rPr>
              <w:t>Generic infection transfer</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PRJNA922965 (GSE222650)</w:t>
            </w:r>
          </w:p>
        </w:tc>
        <w:tc>
          <w:tcPr>
            <w:tcW w:type="dxa" w:w="2484"/>
            <w:vAlign w:val="center"/>
          </w:tcPr>
          <w:p>
            <w:pPr>
              <w:spacing w:line="240" w:lineRule="auto" w:after="0"/>
              <w:ind w:firstLine="0"/>
            </w:pPr>
            <w:r>
              <w:rPr>
                <w:rFonts w:ascii="Times New Roman" w:hAnsi="Times New Roman"/>
                <w:b w:val="0"/>
                <w:i w:val="0"/>
                <w:sz w:val="15"/>
              </w:rPr>
              <w:t>Feizixiao leaf/fruit small RNA; mock/infected; 24 h; 3 libraries per cell</w:t>
            </w:r>
          </w:p>
        </w:tc>
        <w:tc>
          <w:tcPr>
            <w:tcW w:type="dxa" w:w="2484"/>
            <w:vAlign w:val="center"/>
          </w:tcPr>
          <w:p>
            <w:pPr>
              <w:spacing w:line="240" w:lineRule="auto" w:after="0"/>
              <w:ind w:firstLine="0"/>
            </w:pPr>
            <w:r>
              <w:rPr>
                <w:rFonts w:ascii="Times New Roman" w:hAnsi="Times New Roman"/>
                <w:b w:val="0"/>
                <w:i w:val="0"/>
                <w:sz w:val="15"/>
              </w:rPr>
              <w:t>Orthogonal modality</w:t>
            </w:r>
          </w:p>
        </w:tc>
        <w:tc>
          <w:tcPr>
            <w:tcW w:type="dxa" w:w="2484"/>
            <w:vAlign w:val="center"/>
          </w:tcPr>
          <w:p>
            <w:pPr>
              <w:spacing w:line="240" w:lineRule="auto" w:after="0"/>
              <w:ind w:firstLine="0"/>
            </w:pPr>
            <w:r>
              <w:rPr>
                <w:rFonts w:ascii="Times New Roman" w:hAnsi="Times New Roman"/>
                <w:b w:val="0"/>
                <w:i w:val="0"/>
                <w:sz w:val="15"/>
              </w:rPr>
              <w:t>Orthogonal</w:t>
            </w:r>
          </w:p>
        </w:tc>
      </w:tr>
      <w:tr>
        <w:trPr>
          <w:cantSplit/>
        </w:trPr>
        <w:tc>
          <w:tcPr>
            <w:tcW w:type="dxa" w:w="2484"/>
            <w:vAlign w:val="center"/>
          </w:tcPr>
          <w:p>
            <w:pPr>
              <w:spacing w:line="240" w:lineRule="auto" w:after="0"/>
              <w:ind w:firstLine="0"/>
            </w:pPr>
            <w:r>
              <w:rPr>
                <w:rFonts w:ascii="Times New Roman" w:hAnsi="Times New Roman"/>
                <w:b w:val="0"/>
                <w:i w:val="0"/>
                <w:sz w:val="15"/>
              </w:rPr>
              <w:t>PRJNA1090613 (GSE262200)</w:t>
            </w:r>
          </w:p>
        </w:tc>
        <w:tc>
          <w:tcPr>
            <w:tcW w:type="dxa" w:w="2484"/>
            <w:vAlign w:val="center"/>
          </w:tcPr>
          <w:p>
            <w:pPr>
              <w:spacing w:line="240" w:lineRule="auto" w:after="0"/>
              <w:ind w:firstLine="0"/>
            </w:pPr>
            <w:r>
              <w:rPr>
                <w:rFonts w:ascii="Times New Roman" w:hAnsi="Times New Roman"/>
                <w:b w:val="0"/>
                <w:i w:val="0"/>
                <w:sz w:val="15"/>
              </w:rPr>
              <w:t>Guiwei/SFZ leaf; mock/infected; 3 libraries per cell</w:t>
            </w:r>
          </w:p>
        </w:tc>
        <w:tc>
          <w:tcPr>
            <w:tcW w:type="dxa" w:w="2484"/>
            <w:vAlign w:val="center"/>
          </w:tcPr>
          <w:p>
            <w:pPr>
              <w:spacing w:line="240" w:lineRule="auto" w:after="0"/>
              <w:ind w:firstLine="0"/>
            </w:pPr>
            <w:r>
              <w:rPr>
                <w:rFonts w:ascii="Times New Roman" w:hAnsi="Times New Roman"/>
                <w:b w:val="0"/>
                <w:i w:val="0"/>
                <w:sz w:val="15"/>
              </w:rPr>
              <w:t>Exploratory only</w:t>
            </w:r>
          </w:p>
        </w:tc>
        <w:tc>
          <w:tcPr>
            <w:tcW w:type="dxa" w:w="2484"/>
            <w:vAlign w:val="center"/>
          </w:tcPr>
          <w:p>
            <w:pPr>
              <w:spacing w:line="240" w:lineRule="auto" w:after="0"/>
              <w:ind w:firstLine="0"/>
            </w:pPr>
            <w:r>
              <w:rPr>
                <w:rFonts w:ascii="Times New Roman" w:hAnsi="Times New Roman"/>
                <w:b w:val="0"/>
                <w:i w:val="0"/>
                <w:sz w:val="15"/>
              </w:rPr>
              <w:t>Exploratory</w:t>
            </w:r>
          </w:p>
        </w:tc>
      </w:tr>
    </w:tbl>
    <w:p>
      <w:pPr>
        <w:pStyle w:val="Heading2"/>
        <w:pageBreakBefore w:val="0"/>
      </w:pPr>
      <w:r>
        <w:rPr>
          <w:rFonts w:ascii="Times New Roman" w:hAnsi="Times New Roman"/>
          <w:b w:val="0"/>
          <w:i w:val="0"/>
        </w:rPr>
        <w:t>Stage 1: exploratory candidate discovery in GSE201243</w:t>
      </w:r>
    </w:p>
    <w:p>
      <w:pPr>
        <w:pageBreakBefore w:val="0"/>
      </w:pPr>
      <w:r>
        <w:rPr>
          <w:rFonts w:ascii="Times New Roman" w:hAnsi="Times New Roman"/>
          <w:b w:val="0"/>
          <w:i w:val="0"/>
        </w:rP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Times New Roman" w:hAnsi="Times New Roman"/>
          <w:b w:val="0"/>
          <w:i/>
        </w:rPr>
        <w:t>P&lt;0.05</w:t>
      </w:r>
      <w:r>
        <w:rPr>
          <w:rFonts w:ascii="Times New Roman" w:hAnsi="Times New Roman"/>
          <w:b w:val="0"/>
          <w:i w:val="0"/>
        </w:rPr>
        <w:t>,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pPr>
        <w:pageBreakBefore w:val="0"/>
      </w:pPr>
      <w:r>
        <w:rPr>
          <w:rFonts w:ascii="Times New Roman" w:hAnsi="Times New Roman"/>
          <w:b w:val="0"/>
          <w:i w:val="0"/>
        </w:rPr>
        <w:t xml:space="preserve">The exploratory stage also examined 2-kb upstream promoter regions of the 18 candidates. Against 100,000 randomized GC-matched promoter sets, four </w:t>
      </w:r>
      <w:r>
        <w:rPr>
          <w:rFonts w:ascii="Times New Roman" w:hAnsi="Times New Roman"/>
          <w:b w:val="0"/>
          <w:i/>
        </w:rPr>
        <w:t>cis</w:t>
      </w:r>
      <w:r>
        <w:rPr>
          <w:rFonts w:ascii="Times New Roman" w:hAnsi="Times New Roman"/>
          <w:b w:val="0"/>
          <w:i w:val="0"/>
        </w:rPr>
        <w:t xml:space="preserve">-element classes appeared enriched: anaerobic-response elements (ARE; 46 observed versus 24.6 expected, </w:t>
      </w:r>
      <w:r>
        <w:rPr>
          <w:rFonts w:ascii="Times New Roman" w:hAnsi="Times New Roman"/>
          <w:b w:val="0"/>
          <w:i/>
        </w:rPr>
        <w:t>q=0.0003</w:t>
      </w:r>
      <w:r>
        <w:rPr>
          <w:rFonts w:ascii="Times New Roman" w:hAnsi="Times New Roman"/>
          <w:b w:val="0"/>
          <w:i w:val="0"/>
        </w:rPr>
        <w:t xml:space="preserve">), methyl-jasmonate-responsive motifs (54 versus 38.4, </w:t>
      </w:r>
      <w:r>
        <w:rPr>
          <w:rFonts w:ascii="Times New Roman" w:hAnsi="Times New Roman"/>
          <w:b w:val="0"/>
          <w:i/>
        </w:rPr>
        <w:t>q=0.018</w:t>
      </w:r>
      <w:r>
        <w:rPr>
          <w:rFonts w:ascii="Times New Roman" w:hAnsi="Times New Roman"/>
          <w:b w:val="0"/>
          <w:i w:val="0"/>
        </w:rPr>
        <w:t xml:space="preserve">), TCA elements (9 versus 0.19, </w:t>
      </w:r>
      <w:r>
        <w:rPr>
          <w:rFonts w:ascii="Times New Roman" w:hAnsi="Times New Roman"/>
          <w:b w:val="0"/>
          <w:i/>
        </w:rPr>
        <w:t>q=0.00003</w:t>
      </w:r>
      <w:r>
        <w:rPr>
          <w:rFonts w:ascii="Times New Roman" w:hAnsi="Times New Roman"/>
          <w:b w:val="0"/>
          <w:i w:val="0"/>
        </w:rPr>
        <w:t xml:space="preserve">), and TC-rich repeats (10 versus 0.15, </w:t>
      </w:r>
      <w:r>
        <w:rPr>
          <w:rFonts w:ascii="Times New Roman" w:hAnsi="Times New Roman"/>
          <w:b w:val="0"/>
          <w:i/>
        </w:rPr>
        <w:t>q=0.00003</w:t>
      </w:r>
      <w:r>
        <w:rPr>
          <w:rFonts w:ascii="Times New Roman" w:hAnsi="Times New Roman"/>
          <w:b w:val="0"/>
          <w:i w:val="0"/>
        </w:rPr>
        <w:t>).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ageBreakBefore w:val="0"/>
      </w:pPr>
      <w:r>
        <w:rPr>
          <w:rFonts w:ascii="Times New Roman" w:hAnsi="Times New Roman"/>
          <w:b w:val="0"/>
          <w:i w:val="0"/>
        </w:rPr>
        <w:t>Discovery-cohort quality under the registered protocol</w:t>
      </w:r>
    </w:p>
    <w:p>
      <w:pPr>
        <w:pageBreakBefore w:val="0"/>
      </w:pPr>
      <w:r>
        <w:rPr>
          <w:rFonts w:ascii="Times New Roman" w:hAnsi="Times New Roman"/>
          <w:b w:val="0"/>
          <w:i w:val="0"/>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ageBreakBefore w:val="0"/>
      </w:pPr>
      <w:r>
        <w:rPr>
          <w:rFonts w:ascii="Times New Roman" w:hAnsi="Times New Roman"/>
          <w:b w:val="0"/>
          <w:i w:val="0"/>
        </w:rPr>
        <w:t>Genome-wide cultivar-by-infection discovery</w:t>
      </w:r>
    </w:p>
    <w:p>
      <w:pPr>
        <w:pageBreakBefore w:val="0"/>
      </w:pPr>
      <w:r>
        <w:rPr>
          <w:rFonts w:ascii="Times New Roman" w:hAnsi="Times New Roman"/>
          <w:b w:val="0"/>
          <w:i w:val="0"/>
        </w:rPr>
        <w:t xml:space="preserve">The primary discovery model fitted all expressed genes with the design </w:t>
      </w:r>
      <w:r>
        <w:rPr>
          <w:rFonts w:ascii="Times New Roman" w:hAnsi="Times New Roman"/>
          <w:b w:val="0"/>
          <w:i/>
        </w:rPr>
        <w:t>~</w:t>
      </w:r>
      <w:r>
        <w:rPr>
          <w:rFonts w:ascii="Times New Roman" w:hAnsi="Times New Roman"/>
          <w:b w:val="0"/>
          <w:i w:val="0"/>
        </w:rP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Times New Roman" w:hAnsi="Times New Roman"/>
          <w:b w:val="0"/>
          <w:i/>
        </w:rPr>
        <w:t>q&lt;0.05</w:t>
      </w:r>
      <w:r>
        <w:rPr>
          <w:rFonts w:ascii="Times New Roman" w:hAnsi="Times New Roman"/>
          <w:b w:val="0"/>
          <w:i w:val="0"/>
        </w:rPr>
        <w:t xml:space="preserve"> with an absolute interaction log2 fold change of at least </w:t>
      </w:r>
      <w:r>
        <w:rPr>
          <w:rFonts w:ascii="Times New Roman" w:hAnsi="Times New Roman"/>
          <w:b w:val="0"/>
          <w:i/>
        </w:rPr>
        <w:t>log₂(1.5)</w:t>
      </w:r>
      <w:r>
        <w:rPr>
          <w:rFonts w:ascii="Times New Roman" w:hAnsi="Times New Roman"/>
          <w:b w:val="0"/>
          <w:i w:val="0"/>
        </w:rPr>
        <w:t xml:space="preserve">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w:t>
      </w:r>
      <w:r>
        <w:rPr>
          <w:rFonts w:ascii="Times New Roman" w:hAnsi="Times New Roman"/>
          <w:b w:val="0"/>
          <w:i/>
        </w:rPr>
        <w:t>|β|</w:t>
      </w:r>
      <w:r>
        <w:rPr>
          <w:rFonts w:ascii="Times New Roman" w:hAnsi="Times New Roman"/>
          <w:b w:val="0"/>
          <w:i w:val="0"/>
        </w:rPr>
        <w:t xml:space="preserve"> exceeded </w:t>
      </w:r>
      <w:r>
        <w:rPr>
          <w:rFonts w:ascii="Times New Roman" w:hAnsi="Times New Roman"/>
          <w:b w:val="0"/>
          <w:i/>
        </w:rPr>
        <w:t>log₂(1.5)</w:t>
      </w:r>
      <w:r>
        <w:rPr>
          <w:rFonts w:ascii="Times New Roman" w:hAnsi="Times New Roman"/>
          <w:b w:val="0"/>
          <w:i w:val="0"/>
        </w:rPr>
        <w:t xml:space="preserve">, rather than testing </w:t>
      </w:r>
      <w:r>
        <w:rPr>
          <w:rFonts w:ascii="Times New Roman" w:hAnsi="Times New Roman"/>
          <w:b w:val="0"/>
          <w:i/>
        </w:rPr>
        <w:t>β=0</w:t>
      </w:r>
      <w:r>
        <w:rPr>
          <w:rFonts w:ascii="Times New Roman" w:hAnsi="Times New Roman"/>
          <w:b w:val="0"/>
          <w:i w:val="0"/>
        </w:rPr>
        <w:t xml:space="preserve"> and filtering the estimate afterward. Eight of the 262 statistical candidates passed the DESeq2 composite-null test at </w:t>
      </w:r>
      <w:r>
        <w:rPr>
          <w:rFonts w:ascii="Times New Roman" w:hAnsi="Times New Roman"/>
          <w:b w:val="0"/>
          <w:i/>
        </w:rPr>
        <w:t>q&lt;0.05</w:t>
      </w:r>
      <w:r>
        <w:rPr>
          <w:rFonts w:ascii="Times New Roman" w:hAnsi="Times New Roman"/>
          <w:b w:val="0"/>
          <w:i w:val="0"/>
        </w:rPr>
        <w:t xml:space="preserve">; the corresponding counts were 7 of 206 QC-retained candidates, 7 of 19 edgeR-gated candidates, and 7 of 16 fully robust candidates. An apeglm false-sign-or-small analysis was less severe, with </w:t>
      </w:r>
      <w:r>
        <w:rPr>
          <w:rFonts w:ascii="Times New Roman" w:hAnsi="Times New Roman"/>
          <w:b w:val="0"/>
          <w:i/>
        </w:rPr>
        <w:t>s&lt;0.05</w:t>
      </w:r>
      <w:r>
        <w:rPr>
          <w:rFonts w:ascii="Times New Roman" w:hAnsi="Times New Roman"/>
          <w:b w:val="0"/>
          <w:i w:val="0"/>
        </w:rPr>
        <w:t xml:space="preserve">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rFonts w:ascii="Times New Roman" w:hAnsi="Times New Roman"/>
          <w:b w:val="0"/>
          <w:i/>
        </w:rPr>
        <w:t>Oryza</w:t>
      </w:r>
      <w:r>
        <w:rPr>
          <w:rFonts w:ascii="Times New Roman" w:hAnsi="Times New Roman"/>
          <w:b w:val="0"/>
          <w:i w:val="0"/>
        </w:rP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keepNext/>
        <w:pageBreakBefore/>
        <w:ind w:firstLine="0"/>
        <w:jc w:val="center"/>
      </w:pPr>
      <w:r>
        <w:drawing>
          <wp:inline xmlns:a="http://schemas.openxmlformats.org/drawingml/2006/main" xmlns:pic="http://schemas.openxmlformats.org/drawingml/2006/picture">
            <wp:extent cx="6172200" cy="5592962"/>
            <wp:docPr id="2" name="Picture 2" descr="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
            <wp:cNvGraphicFramePr>
              <a:graphicFrameLocks noChangeAspect="1"/>
            </wp:cNvGraphicFramePr>
            <a:graphic>
              <a:graphicData uri="http://schemas.openxmlformats.org/drawingml/2006/picture">
                <pic:pic>
                  <pic:nvPicPr>
                    <pic:cNvPr id="0" name="figure2_discovery_legacy.png"/>
                    <pic:cNvPicPr/>
                  </pic:nvPicPr>
                  <pic:blipFill>
                    <a:blip r:embed="rId11"/>
                    <a:stretch>
                      <a:fillRect/>
                    </a:stretch>
                  </pic:blipFill>
                  <pic:spPr>
                    <a:xfrm>
                      <a:off x="0" y="0"/>
                      <a:ext cx="6172200" cy="5592962"/>
                    </a:xfrm>
                    <a:prstGeom prst="rect"/>
                  </pic:spPr>
                </pic:pic>
              </a:graphicData>
            </a:graphic>
          </wp:inline>
        </w:drawing>
      </w:r>
    </w:p>
    <w:p>
      <w:pPr>
        <w:pStyle w:val="Caption"/>
      </w:pPr>
      <w:r>
        <w:rPr>
          <w:b/>
        </w:rPr>
        <w:t xml:space="preserve">Figure 2. </w:t>
      </w:r>
      <w:r>
        <w:rPr>
          <w:rFonts w:ascii="Times New Roman" w:hAnsi="Times New Roman"/>
          <w:b/>
          <w:i w:val="0"/>
          <w:sz w:val="18"/>
        </w:rPr>
        <w:t>Genome-wide discovery and formal reassessment of the exploratory candidates.</w:t>
      </w:r>
      <w:r>
        <w:rPr>
          <w:rFonts w:ascii="Times New Roman" w:hAnsi="Times New Roman"/>
          <w:b w:val="0"/>
          <w:i w:val="0"/>
          <w:sz w:val="18"/>
        </w:rPr>
        <w:t xml:space="preserve">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pStyle w:val="Heading2"/>
        <w:pageBreakBefore w:val="0"/>
      </w:pPr>
      <w:r>
        <w:rPr>
          <w:rFonts w:ascii="Times New Roman" w:hAnsi="Times New Roman"/>
          <w:b w:val="0"/>
          <w:i w:val="0"/>
        </w:rPr>
        <w:t>None of the 18 exploratory candidates met the genome-wide interaction criterion</w:t>
      </w:r>
    </w:p>
    <w:p>
      <w:pPr>
        <w:pageBreakBefore w:val="0"/>
      </w:pPr>
      <w:r>
        <w:rPr>
          <w:rFonts w:ascii="Times New Roman" w:hAnsi="Times New Roman"/>
          <w:b w:val="0"/>
          <w:i w:val="0"/>
        </w:rPr>
        <w:t xml:space="preserve">Because the exploratory candidates were selected before any interaction </w:t>
      </w:r>
      <w:r>
        <w:rPr>
          <w:rFonts w:ascii="Times New Roman" w:hAnsi="Times New Roman"/>
          <w:b w:val="0"/>
          <w:i/>
        </w:rPr>
        <w:t>P</w:t>
      </w:r>
      <w:r>
        <w:rPr>
          <w:rFonts w:ascii="Times New Roman" w:hAnsi="Times New Roman"/>
          <w:b w:val="0"/>
          <w:i w:val="0"/>
        </w:rPr>
        <w:t xml:space="preserve">-values existed, the registered protocol included a formal audit of all 18 against the genome-wide analysis (Figure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(Supplementary S14). Thirteen of the 18 legacy genes were significant in Guiwei and 16 of 18 in Yurong1 at </w:t>
      </w:r>
      <w:r>
        <w:rPr>
          <w:rFonts w:ascii="Times New Roman" w:hAnsi="Times New Roman"/>
          <w:b w:val="0"/>
          <w:i/>
        </w:rPr>
        <w:t>q&lt;0.05</w:t>
      </w:r>
      <w:r>
        <w:rPr>
          <w:rFonts w:ascii="Times New Roman" w:hAnsi="Times New Roman"/>
          <w:b w:val="0"/>
          <w:i w:val="0"/>
        </w:rPr>
        <w:t xml:space="preserve">; all 13 Guiwei genes and 15 of the 16 Yurong1 genes also exceeded </w:t>
      </w:r>
      <w:r>
        <w:rPr>
          <w:rFonts w:ascii="Times New Roman" w:hAnsi="Times New Roman"/>
          <w:b w:val="0"/>
          <w:i/>
        </w:rPr>
        <w:t>|log2FC|≥log₂(1.5)</w:t>
      </w:r>
      <w:r>
        <w:rPr>
          <w:rFonts w:ascii="Times New Roman" w:hAnsi="Times New Roman"/>
          <w:b w:val="0"/>
          <w:i w:val="0"/>
        </w:rPr>
        <w:t xml:space="preserve">. Thus most of the original within-cultivar response claims survive the confirmatory pipeline even though none supports a genome-wide cultivar-by-infection interaction. The strongest interaction-audit candidate, LITCHI001510, reached </w:t>
      </w:r>
      <w:r>
        <w:rPr>
          <w:rFonts w:ascii="Times New Roman" w:hAnsi="Times New Roman"/>
          <w:b w:val="0"/>
          <w:i/>
        </w:rPr>
        <w:t>q=0.080</w:t>
      </w:r>
      <w:r>
        <w:rPr>
          <w:rFonts w:ascii="Times New Roman" w:hAnsi="Times New Roman"/>
          <w:b w:val="0"/>
          <w:i w:val="0"/>
        </w:rPr>
        <w:t xml:space="preserve">; the EF-hand calcium-binding gene LITCHI019519, whose selected-gene contrast of </w:t>
      </w:r>
      <w:r>
        <w:rPr>
          <w:rFonts w:ascii="Times New Roman" w:hAnsi="Times New Roman"/>
          <w:b w:val="0"/>
          <w:i/>
        </w:rPr>
        <w:t>-3.4</w:t>
      </w:r>
      <w:r>
        <w:rPr>
          <w:rFonts w:ascii="Times New Roman" w:hAnsi="Times New Roman"/>
          <w:b w:val="0"/>
          <w:i w:val="0"/>
        </w:rPr>
        <w:t xml:space="preserve"> had appeared most dramatic in the exploratory stage, reached only </w:t>
      </w:r>
      <w:r>
        <w:rPr>
          <w:rFonts w:ascii="Times New Roman" w:hAnsi="Times New Roman"/>
          <w:b w:val="0"/>
          <w:i/>
        </w:rPr>
        <w:t>q=0.106</w:t>
      </w:r>
      <w:r>
        <w:rPr>
          <w:rFonts w:ascii="Times New Roman" w:hAnsi="Times New Roman"/>
          <w:b w:val="0"/>
          <w:i w:val="0"/>
        </w:rPr>
        <w:t xml:space="preserve"> despite a re-estimated interaction effect of </w:t>
      </w:r>
      <w:r>
        <w:rPr>
          <w:rFonts w:ascii="Times New Roman" w:hAnsi="Times New Roman"/>
          <w:b w:val="0"/>
          <w:i/>
        </w:rPr>
        <w:t>-3.33</w:t>
      </w:r>
      <w:r>
        <w:rPr>
          <w:rFonts w:ascii="Times New Roman" w:hAnsi="Times New Roman"/>
          <w:b w:val="0"/>
          <w:i w:val="0"/>
        </w:rPr>
        <w:t xml:space="preserve">; and the median genome-wide interaction </w:t>
      </w:r>
      <w:r>
        <w:rPr>
          <w:rFonts w:ascii="Times New Roman" w:hAnsi="Times New Roman"/>
          <w:b w:val="0"/>
          <w:i/>
        </w:rPr>
        <w:t>q</w:t>
      </w:r>
      <w:r>
        <w:rPr>
          <w:rFonts w:ascii="Times New Roman" w:hAnsi="Times New Roman"/>
          <w:b w:val="0"/>
          <w:i w:val="0"/>
        </w:rPr>
        <w:t xml:space="preserve">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pStyle w:val="Caption"/>
        <w:keepNext/>
        <w:pageBreakBefore/>
      </w:pPr>
      <w:r>
        <w:rPr>
          <w:b/>
        </w:rPr>
        <w:t xml:space="preserve">Table 2. </w:t>
      </w:r>
      <w:r>
        <w:rPr>
          <w:rFonts w:ascii="Times New Roman" w:hAnsi="Times New Roman"/>
          <w:b/>
          <w:i w:val="0"/>
          <w:sz w:val="18"/>
        </w:rPr>
        <w:t>Formal genome-wide audit of the 18 exploratory-stage candidates.</w:t>
      </w:r>
      <w:r>
        <w:rPr>
          <w:rFonts w:ascii="Times New Roman" w:hAnsi="Times New Roman"/>
          <w:b w:val="0"/>
          <w:i w:val="0"/>
          <w:sz w:val="18"/>
        </w:rPr>
        <w:t xml:space="preserve"> Interaction effects are re-estimated genome-wide values (Yurong1 response minus Guiwei response, log2 scale). No candidate met the registered discovery threshold (genome-wide </w:t>
      </w:r>
      <w:r>
        <w:rPr>
          <w:rFonts w:ascii="Times New Roman" w:hAnsi="Times New Roman"/>
          <w:b w:val="0"/>
          <w:i/>
          <w:sz w:val="18"/>
        </w:rPr>
        <w:t>q&lt;0.05</w:t>
      </w:r>
      <w:r>
        <w:rPr>
          <w:rFonts w:ascii="Times New Roman" w:hAnsi="Times New Roman"/>
          <w:b w:val="0"/>
          <w:i w:val="0"/>
          <w:sz w:val="18"/>
        </w:rPr>
        <w:t xml:space="preserve"> and </w:t>
      </w:r>
      <w:r>
        <w:rPr>
          <w:rFonts w:ascii="Times New Roman" w:hAnsi="Times New Roman"/>
          <w:b w:val="0"/>
          <w:i/>
          <w:sz w:val="18"/>
        </w:rPr>
        <w:t>|log2FC|≥log₂(1.5)</w:t>
      </w:r>
      <w:r>
        <w:rPr>
          <w:rFonts w:ascii="Times New Roman" w:hAnsi="Times New Roman"/>
          <w:b w:val="0"/>
          <w:i w:val="0"/>
          <w:sz w:val="18"/>
        </w:rPr>
        <w:t>).</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shd w:fill="D9E2F3"/>
          </w:tcPr>
          <w:p>
            <w:pPr>
              <w:spacing w:line="240" w:lineRule="auto" w:after="0"/>
              <w:ind w:firstLine="0"/>
            </w:pPr>
            <w:r>
              <w:rPr>
                <w:rFonts w:ascii="Times New Roman" w:hAnsi="Times New Roman"/>
                <w:b/>
                <w:i w:val="0"/>
                <w:sz w:val="15"/>
              </w:rPr>
              <w:t>Gene</w:t>
            </w:r>
          </w:p>
        </w:tc>
        <w:tc>
          <w:tcPr>
            <w:tcW w:type="dxa" w:w="1987"/>
            <w:vAlign w:val="center"/>
            <w:shd w:fill="D9E2F3"/>
          </w:tcPr>
          <w:p>
            <w:pPr>
              <w:spacing w:line="240" w:lineRule="auto" w:after="0"/>
              <w:ind w:firstLine="0"/>
            </w:pPr>
            <w:r>
              <w:rPr>
                <w:rFonts w:ascii="Times New Roman" w:hAnsi="Times New Roman"/>
                <w:b/>
                <w:i w:val="0"/>
                <w:sz w:val="15"/>
              </w:rPr>
              <w:t>Exploratory annotation</w:t>
            </w:r>
          </w:p>
        </w:tc>
        <w:tc>
          <w:tcPr>
            <w:tcW w:type="dxa" w:w="1987"/>
            <w:vAlign w:val="center"/>
            <w:shd w:fill="D9E2F3"/>
          </w:tcPr>
          <w:p>
            <w:pPr>
              <w:spacing w:line="240" w:lineRule="auto" w:after="0"/>
              <w:ind w:firstLine="0"/>
            </w:pPr>
            <w:r>
              <w:rPr>
                <w:rFonts w:ascii="Times New Roman" w:hAnsi="Times New Roman"/>
                <w:b/>
                <w:i w:val="0"/>
                <w:sz w:val="15"/>
              </w:rPr>
              <w:t>Interaction log2FC (SE)</w:t>
            </w:r>
          </w:p>
        </w:tc>
        <w:tc>
          <w:tcPr>
            <w:tcW w:type="dxa" w:w="1987"/>
            <w:vAlign w:val="center"/>
            <w:shd w:fill="D9E2F3"/>
          </w:tcPr>
          <w:p>
            <w:pPr>
              <w:spacing w:line="240" w:lineRule="auto" w:after="0"/>
              <w:ind w:firstLine="0"/>
            </w:pPr>
            <w:r>
              <w:rPr>
                <w:rFonts w:ascii="Times New Roman" w:hAnsi="Times New Roman"/>
                <w:b/>
                <w:i w:val="0"/>
                <w:sz w:val="15"/>
              </w:rPr>
              <w:t xml:space="preserve">Genome-wide </w:t>
            </w:r>
            <w:r>
              <w:rPr>
                <w:rFonts w:ascii="Times New Roman" w:hAnsi="Times New Roman"/>
                <w:b/>
                <w:i/>
                <w:sz w:val="15"/>
              </w:rPr>
              <w:t>q</w:t>
            </w:r>
          </w:p>
        </w:tc>
        <w:tc>
          <w:tcPr>
            <w:tcW w:type="dxa" w:w="1987"/>
            <w:vAlign w:val="center"/>
            <w:shd w:fill="D9E2F3"/>
          </w:tcPr>
          <w:p>
            <w:pPr>
              <w:spacing w:line="240" w:lineRule="auto" w:after="0"/>
              <w:ind w:firstLine="0"/>
            </w:pPr>
            <w:r>
              <w:rPr>
                <w:rFonts w:ascii="Times New Roman" w:hAnsi="Times New Roman"/>
                <w:b/>
                <w:i w:val="0"/>
                <w:sz w:val="15"/>
              </w:rPr>
              <w:t>Mappability</w:t>
            </w:r>
          </w:p>
        </w:tc>
      </w:tr>
      <w:tr>
        <w:trPr>
          <w:cantSplit/>
        </w:trPr>
        <w:tc>
          <w:tcPr>
            <w:tcW w:type="dxa" w:w="1987"/>
            <w:vAlign w:val="center"/>
          </w:tcPr>
          <w:p>
            <w:pPr>
              <w:spacing w:line="240" w:lineRule="auto" w:after="0"/>
              <w:ind w:firstLine="0"/>
            </w:pPr>
            <w:r>
              <w:rPr>
                <w:rFonts w:ascii="Times New Roman" w:hAnsi="Times New Roman"/>
                <w:b w:val="0"/>
                <w:i w:val="0"/>
                <w:sz w:val="15"/>
              </w:rPr>
              <w:t>LITCHI001510</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-2.83</w:t>
            </w:r>
            <w:r>
              <w:rPr>
                <w:rFonts w:ascii="Times New Roman" w:hAnsi="Times New Roman"/>
                <w:b w:val="0"/>
                <w:i w:val="0"/>
                <w:sz w:val="15"/>
              </w:rPr>
              <w:t xml:space="preserve"> (0.91)</w:t>
            </w:r>
          </w:p>
        </w:tc>
        <w:tc>
          <w:tcPr>
            <w:tcW w:type="dxa" w:w="1987"/>
            <w:vAlign w:val="center"/>
          </w:tcPr>
          <w:p>
            <w:pPr>
              <w:spacing w:line="240" w:lineRule="auto" w:after="0"/>
              <w:ind w:firstLine="0"/>
            </w:pPr>
            <w:r>
              <w:rPr>
                <w:rFonts w:ascii="Times New Roman" w:hAnsi="Times New Roman"/>
                <w:b w:val="0"/>
                <w:i w:val="0"/>
                <w:sz w:val="15"/>
              </w:rPr>
              <w:t>0.080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LITCHI019519</w:t>
            </w:r>
          </w:p>
        </w:tc>
        <w:tc>
          <w:tcPr>
            <w:tcW w:type="dxa" w:w="1987"/>
            <w:vAlign w:val="center"/>
          </w:tcPr>
          <w:p>
            <w:pPr>
              <w:spacing w:line="240" w:lineRule="auto" w:after="0"/>
              <w:ind w:firstLine="0"/>
            </w:pPr>
            <w:r>
              <w:rPr>
                <w:rFonts w:ascii="Times New Roman" w:hAnsi="Times New Roman"/>
                <w:b w:val="0"/>
                <w:i w:val="0"/>
                <w:sz w:val="15"/>
              </w:rPr>
              <w:t>EF-hand calcium-binding protein</w:t>
            </w:r>
          </w:p>
        </w:tc>
        <w:tc>
          <w:tcPr>
            <w:tcW w:type="dxa" w:w="1987"/>
            <w:vAlign w:val="center"/>
          </w:tcPr>
          <w:p>
            <w:pPr>
              <w:spacing w:line="240" w:lineRule="auto" w:after="0"/>
              <w:ind w:firstLine="0"/>
            </w:pPr>
            <w:r>
              <w:rPr>
                <w:rFonts w:ascii="Times New Roman" w:hAnsi="Times New Roman"/>
                <w:b w:val="0"/>
                <w:i/>
                <w:sz w:val="15"/>
              </w:rPr>
              <w:t>-3.33</w:t>
            </w:r>
            <w:r>
              <w:rPr>
                <w:rFonts w:ascii="Times New Roman" w:hAnsi="Times New Roman"/>
                <w:b w:val="0"/>
                <w:i w:val="0"/>
                <w:sz w:val="15"/>
              </w:rPr>
              <w:t xml:space="preserve"> (1.14)</w:t>
            </w:r>
          </w:p>
        </w:tc>
        <w:tc>
          <w:tcPr>
            <w:tcW w:type="dxa" w:w="1987"/>
            <w:vAlign w:val="center"/>
          </w:tcPr>
          <w:p>
            <w:pPr>
              <w:spacing w:line="240" w:lineRule="auto" w:after="0"/>
              <w:ind w:firstLine="0"/>
            </w:pPr>
            <w:r>
              <w:rPr>
                <w:rFonts w:ascii="Times New Roman" w:hAnsi="Times New Roman"/>
                <w:b w:val="0"/>
                <w:i w:val="0"/>
                <w:sz w:val="15"/>
              </w:rPr>
              <w:t>0.106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LITCHI019299</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-1.21</w:t>
            </w:r>
            <w:r>
              <w:rPr>
                <w:rFonts w:ascii="Times New Roman" w:hAnsi="Times New Roman"/>
                <w:b w:val="0"/>
                <w:i w:val="0"/>
                <w:sz w:val="15"/>
              </w:rPr>
              <w:t xml:space="preserve"> (0.47)</w:t>
            </w:r>
          </w:p>
        </w:tc>
        <w:tc>
          <w:tcPr>
            <w:tcW w:type="dxa" w:w="1987"/>
            <w:vAlign w:val="center"/>
          </w:tcPr>
          <w:p>
            <w:pPr>
              <w:spacing w:line="240" w:lineRule="auto" w:after="0"/>
              <w:ind w:firstLine="0"/>
            </w:pPr>
            <w:r>
              <w:rPr>
                <w:rFonts w:ascii="Times New Roman" w:hAnsi="Times New Roman"/>
                <w:b w:val="0"/>
                <w:i w:val="0"/>
                <w:sz w:val="15"/>
              </w:rPr>
              <w:t>0.175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LITCHI007102</w:t>
            </w:r>
          </w:p>
        </w:tc>
        <w:tc>
          <w:tcPr>
            <w:tcW w:type="dxa" w:w="1987"/>
            <w:vAlign w:val="center"/>
          </w:tcPr>
          <w:p>
            <w:pPr>
              <w:spacing w:line="240" w:lineRule="auto" w:after="0"/>
              <w:ind w:firstLine="0"/>
            </w:pPr>
            <w:r>
              <w:rPr>
                <w:rFonts w:ascii="Times New Roman" w:hAnsi="Times New Roman"/>
                <w:b w:val="0"/>
                <w:i w:val="0"/>
                <w:sz w:val="15"/>
              </w:rPr>
              <w:t>Phytosulfokine precursor</w:t>
            </w:r>
          </w:p>
        </w:tc>
        <w:tc>
          <w:tcPr>
            <w:tcW w:type="dxa" w:w="1987"/>
            <w:vAlign w:val="center"/>
          </w:tcPr>
          <w:p>
            <w:pPr>
              <w:spacing w:line="240" w:lineRule="auto" w:after="0"/>
              <w:ind w:firstLine="0"/>
            </w:pPr>
            <w:r>
              <w:rPr>
                <w:rFonts w:ascii="Times New Roman" w:hAnsi="Times New Roman"/>
                <w:b w:val="0"/>
                <w:i/>
                <w:sz w:val="15"/>
              </w:rPr>
              <w:t>-0.74</w:t>
            </w:r>
            <w:r>
              <w:rPr>
                <w:rFonts w:ascii="Times New Roman" w:hAnsi="Times New Roman"/>
                <w:b w:val="0"/>
                <w:i w:val="0"/>
                <w:sz w:val="15"/>
              </w:rPr>
              <w:t xml:space="preserve"> (0.32)</w:t>
            </w:r>
          </w:p>
        </w:tc>
        <w:tc>
          <w:tcPr>
            <w:tcW w:type="dxa" w:w="1987"/>
            <w:vAlign w:val="center"/>
          </w:tcPr>
          <w:p>
            <w:pPr>
              <w:spacing w:line="240" w:lineRule="auto" w:after="0"/>
              <w:ind w:firstLine="0"/>
            </w:pPr>
            <w:r>
              <w:rPr>
                <w:rFonts w:ascii="Times New Roman" w:hAnsi="Times New Roman"/>
                <w:b w:val="0"/>
                <w:i w:val="0"/>
                <w:sz w:val="15"/>
              </w:rPr>
              <w:t>0.238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LITCHI019183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+0.99</w:t>
            </w:r>
            <w:r>
              <w:rPr>
                <w:rFonts w:ascii="Times New Roman" w:hAnsi="Times New Roman"/>
                <w:b w:val="0"/>
                <w:i w:val="0"/>
                <w:sz w:val="15"/>
              </w:rPr>
              <w:t xml:space="preserve"> (0.45)</w:t>
            </w:r>
          </w:p>
        </w:tc>
        <w:tc>
          <w:tcPr>
            <w:tcW w:type="dxa" w:w="1987"/>
            <w:vAlign w:val="center"/>
          </w:tcPr>
          <w:p>
            <w:pPr>
              <w:spacing w:line="240" w:lineRule="auto" w:after="0"/>
              <w:ind w:firstLine="0"/>
            </w:pPr>
            <w:r>
              <w:rPr>
                <w:rFonts w:ascii="Times New Roman" w:hAnsi="Times New Roman"/>
                <w:b w:val="0"/>
                <w:i w:val="0"/>
                <w:sz w:val="15"/>
              </w:rPr>
              <w:t>0.273</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LITCHI028401</w:t>
            </w:r>
          </w:p>
        </w:tc>
        <w:tc>
          <w:tcPr>
            <w:tcW w:type="dxa" w:w="1987"/>
            <w:vAlign w:val="center"/>
          </w:tcPr>
          <w:p>
            <w:pPr>
              <w:spacing w:line="240" w:lineRule="auto" w:after="0"/>
              <w:ind w:firstLine="0"/>
            </w:pPr>
            <w:r>
              <w:rPr>
                <w:rFonts w:ascii="Times New Roman" w:hAnsi="Times New Roman"/>
                <w:b w:val="0"/>
                <w:i w:val="0"/>
                <w:sz w:val="15"/>
              </w:rPr>
              <w:t>Selected interaction candidate</w:t>
            </w:r>
          </w:p>
        </w:tc>
        <w:tc>
          <w:tcPr>
            <w:tcW w:type="dxa" w:w="1987"/>
            <w:vAlign w:val="center"/>
          </w:tcPr>
          <w:p>
            <w:pPr>
              <w:spacing w:line="240" w:lineRule="auto" w:after="0"/>
              <w:ind w:firstLine="0"/>
            </w:pPr>
            <w:r>
              <w:rPr>
                <w:rFonts w:ascii="Times New Roman" w:hAnsi="Times New Roman"/>
                <w:b w:val="0"/>
                <w:i/>
                <w:sz w:val="15"/>
              </w:rPr>
              <w:t>-2.41</w:t>
            </w:r>
            <w:r>
              <w:rPr>
                <w:rFonts w:ascii="Times New Roman" w:hAnsi="Times New Roman"/>
                <w:b w:val="0"/>
                <w:i w:val="0"/>
                <w:sz w:val="15"/>
              </w:rPr>
              <w:t xml:space="preserve"> (1.13)</w:t>
            </w:r>
          </w:p>
        </w:tc>
        <w:tc>
          <w:tcPr>
            <w:tcW w:type="dxa" w:w="1987"/>
            <w:vAlign w:val="center"/>
          </w:tcPr>
          <w:p>
            <w:pPr>
              <w:spacing w:line="240" w:lineRule="auto" w:after="0"/>
              <w:ind w:firstLine="0"/>
            </w:pPr>
            <w:r>
              <w:rPr>
                <w:rFonts w:ascii="Times New Roman" w:hAnsi="Times New Roman"/>
                <w:b w:val="0"/>
                <w:i w:val="0"/>
                <w:sz w:val="15"/>
              </w:rPr>
              <w:t>0.281</w:t>
            </w:r>
          </w:p>
        </w:tc>
        <w:tc>
          <w:tcPr>
            <w:tcW w:type="dxa" w:w="1987"/>
            <w:vAlign w:val="center"/>
          </w:tcPr>
          <w:p>
            <w:pPr>
              <w:spacing w:line="240" w:lineRule="auto" w:after="0"/>
              <w:ind w:firstLine="0"/>
            </w:pPr>
            <w:r>
              <w:rPr>
                <w:rFonts w:ascii="Times New Roman" w:hAnsi="Times New Roman"/>
                <w:b w:val="0"/>
                <w:i w:val="0"/>
                <w:sz w:val="15"/>
              </w:rPr>
              <w:t>Fail</w:t>
            </w:r>
          </w:p>
        </w:tc>
      </w:tr>
      <w:tr>
        <w:trPr>
          <w:cantSplit/>
        </w:trPr>
        <w:tc>
          <w:tcPr>
            <w:tcW w:type="dxa" w:w="1987"/>
            <w:vAlign w:val="center"/>
          </w:tcPr>
          <w:p>
            <w:pPr>
              <w:spacing w:line="240" w:lineRule="auto" w:after="0"/>
              <w:ind w:firstLine="0"/>
            </w:pPr>
            <w:r>
              <w:rPr>
                <w:rFonts w:ascii="Times New Roman" w:hAnsi="Times New Roman"/>
                <w:b w:val="0"/>
                <w:i w:val="0"/>
                <w:sz w:val="15"/>
              </w:rPr>
              <w:t>LITCHI012388</w:t>
            </w:r>
          </w:p>
        </w:tc>
        <w:tc>
          <w:tcPr>
            <w:tcW w:type="dxa" w:w="1987"/>
            <w:vAlign w:val="center"/>
          </w:tcPr>
          <w:p>
            <w:pPr>
              <w:spacing w:line="240" w:lineRule="auto" w:after="0"/>
              <w:ind w:firstLine="0"/>
            </w:pPr>
            <w:r>
              <w:rPr>
                <w:rFonts w:ascii="Times New Roman" w:hAnsi="Times New Roman"/>
                <w:b w:val="0"/>
                <w:i w:val="0"/>
                <w:sz w:val="15"/>
              </w:rPr>
              <w:t>Heat-shock protein 70</w:t>
            </w:r>
          </w:p>
        </w:tc>
        <w:tc>
          <w:tcPr>
            <w:tcW w:type="dxa" w:w="1987"/>
            <w:vAlign w:val="center"/>
          </w:tcPr>
          <w:p>
            <w:pPr>
              <w:spacing w:line="240" w:lineRule="auto" w:after="0"/>
              <w:ind w:firstLine="0"/>
            </w:pPr>
            <w:r>
              <w:rPr>
                <w:rFonts w:ascii="Times New Roman" w:hAnsi="Times New Roman"/>
                <w:b w:val="0"/>
                <w:i/>
                <w:sz w:val="15"/>
              </w:rPr>
              <w:t>-0.90</w:t>
            </w:r>
            <w:r>
              <w:rPr>
                <w:rFonts w:ascii="Times New Roman" w:hAnsi="Times New Roman"/>
                <w:b w:val="0"/>
                <w:i w:val="0"/>
                <w:sz w:val="15"/>
              </w:rPr>
              <w:t xml:space="preserve"> (0.49)</w:t>
            </w:r>
          </w:p>
        </w:tc>
        <w:tc>
          <w:tcPr>
            <w:tcW w:type="dxa" w:w="1987"/>
            <w:vAlign w:val="center"/>
          </w:tcPr>
          <w:p>
            <w:pPr>
              <w:spacing w:line="240" w:lineRule="auto" w:after="0"/>
              <w:ind w:firstLine="0"/>
            </w:pPr>
            <w:r>
              <w:rPr>
                <w:rFonts w:ascii="Times New Roman" w:hAnsi="Times New Roman"/>
                <w:b w:val="0"/>
                <w:i w:val="0"/>
                <w:sz w:val="15"/>
              </w:rPr>
              <w:t>0.381</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LITCHI001552</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+0.92</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0.430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LITCHI001512</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-1.01</w:t>
            </w:r>
            <w:r>
              <w:rPr>
                <w:rFonts w:ascii="Times New Roman" w:hAnsi="Times New Roman"/>
                <w:b w:val="0"/>
                <w:i w:val="0"/>
                <w:sz w:val="15"/>
              </w:rPr>
              <w:t xml:space="preserve"> (0.63)</w:t>
            </w:r>
          </w:p>
        </w:tc>
        <w:tc>
          <w:tcPr>
            <w:tcW w:type="dxa" w:w="1987"/>
            <w:vAlign w:val="center"/>
          </w:tcPr>
          <w:p>
            <w:pPr>
              <w:spacing w:line="240" w:lineRule="auto" w:after="0"/>
              <w:ind w:firstLine="0"/>
            </w:pPr>
            <w:r>
              <w:rPr>
                <w:rFonts w:ascii="Times New Roman" w:hAnsi="Times New Roman"/>
                <w:b w:val="0"/>
                <w:i w:val="0"/>
                <w:sz w:val="15"/>
              </w:rPr>
              <w:t>0.457</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LITCHI017676</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-2.36</w:t>
            </w:r>
            <w:r>
              <w:rPr>
                <w:rFonts w:ascii="Times New Roman" w:hAnsi="Times New Roman"/>
                <w:b w:val="0"/>
                <w:i w:val="0"/>
                <w:sz w:val="15"/>
              </w:rPr>
              <w:t xml:space="preserve"> (1.53)</w:t>
            </w:r>
          </w:p>
        </w:tc>
        <w:tc>
          <w:tcPr>
            <w:tcW w:type="dxa" w:w="1987"/>
            <w:vAlign w:val="center"/>
          </w:tcPr>
          <w:p>
            <w:pPr>
              <w:spacing w:line="240" w:lineRule="auto" w:after="0"/>
              <w:ind w:firstLine="0"/>
            </w:pPr>
            <w:r>
              <w:rPr>
                <w:rFonts w:ascii="Times New Roman" w:hAnsi="Times New Roman"/>
                <w:b w:val="0"/>
                <w:i w:val="0"/>
                <w:sz w:val="15"/>
              </w:rPr>
              <w:t>0.478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LITCHI002550</w:t>
            </w:r>
          </w:p>
        </w:tc>
        <w:tc>
          <w:tcPr>
            <w:tcW w:type="dxa" w:w="1987"/>
            <w:vAlign w:val="center"/>
          </w:tcPr>
          <w:p>
            <w:pPr>
              <w:spacing w:line="240" w:lineRule="auto" w:after="0"/>
              <w:ind w:firstLine="0"/>
            </w:pPr>
            <w:r>
              <w:rPr>
                <w:rFonts w:ascii="Times New Roman" w:hAnsi="Times New Roman"/>
                <w:b w:val="0"/>
                <w:i w:val="0"/>
                <w:sz w:val="15"/>
              </w:rPr>
              <w:t>Cytochrome P450</w:t>
            </w:r>
          </w:p>
        </w:tc>
        <w:tc>
          <w:tcPr>
            <w:tcW w:type="dxa" w:w="1987"/>
            <w:vAlign w:val="center"/>
          </w:tcPr>
          <w:p>
            <w:pPr>
              <w:spacing w:line="240" w:lineRule="auto" w:after="0"/>
              <w:ind w:firstLine="0"/>
            </w:pPr>
            <w:r>
              <w:rPr>
                <w:rFonts w:ascii="Times New Roman" w:hAnsi="Times New Roman"/>
                <w:b w:val="0"/>
                <w:i/>
                <w:sz w:val="15"/>
              </w:rPr>
              <w:t>+0.76</w:t>
            </w:r>
            <w:r>
              <w:rPr>
                <w:rFonts w:ascii="Times New Roman" w:hAnsi="Times New Roman"/>
                <w:b w:val="0"/>
                <w:i w:val="0"/>
                <w:sz w:val="15"/>
              </w:rPr>
              <w:t xml:space="preserve"> (0.96)</w:t>
            </w:r>
          </w:p>
        </w:tc>
        <w:tc>
          <w:tcPr>
            <w:tcW w:type="dxa" w:w="1987"/>
            <w:vAlign w:val="center"/>
          </w:tcPr>
          <w:p>
            <w:pPr>
              <w:spacing w:line="240" w:lineRule="auto" w:after="0"/>
              <w:ind w:firstLine="0"/>
            </w:pPr>
            <w:r>
              <w:rPr>
                <w:rFonts w:ascii="Times New Roman" w:hAnsi="Times New Roman"/>
                <w:b w:val="0"/>
                <w:i w:val="0"/>
                <w:sz w:val="15"/>
              </w:rPr>
              <w:t>0.762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LITCHI028104</w:t>
            </w:r>
          </w:p>
        </w:tc>
        <w:tc>
          <w:tcPr>
            <w:tcW w:type="dxa" w:w="1987"/>
            <w:vAlign w:val="center"/>
          </w:tcPr>
          <w:p>
            <w:pPr>
              <w:spacing w:line="240" w:lineRule="auto" w:after="0"/>
              <w:ind w:firstLine="0"/>
            </w:pPr>
            <w:r>
              <w:rPr>
                <w:rFonts w:ascii="Times New Roman" w:hAnsi="Times New Roman"/>
                <w:b w:val="0"/>
                <w:i w:val="0"/>
                <w:sz w:val="15"/>
              </w:rPr>
              <w:t>Jacalin-like lectin</w:t>
            </w:r>
          </w:p>
        </w:tc>
        <w:tc>
          <w:tcPr>
            <w:tcW w:type="dxa" w:w="1987"/>
            <w:vAlign w:val="center"/>
          </w:tcPr>
          <w:p>
            <w:pPr>
              <w:spacing w:line="240" w:lineRule="auto" w:after="0"/>
              <w:ind w:firstLine="0"/>
            </w:pPr>
            <w:r>
              <w:rPr>
                <w:rFonts w:ascii="Times New Roman" w:hAnsi="Times New Roman"/>
                <w:b w:val="0"/>
                <w:i/>
                <w:sz w:val="15"/>
              </w:rPr>
              <w:t>+1.39</w:t>
            </w:r>
            <w:r>
              <w:rPr>
                <w:rFonts w:ascii="Times New Roman" w:hAnsi="Times New Roman"/>
                <w:b w:val="0"/>
                <w:i w:val="0"/>
                <w:sz w:val="15"/>
              </w:rPr>
              <w:t xml:space="preserve"> (1.89)</w:t>
            </w:r>
          </w:p>
        </w:tc>
        <w:tc>
          <w:tcPr>
            <w:tcW w:type="dxa" w:w="1987"/>
            <w:vAlign w:val="center"/>
          </w:tcPr>
          <w:p>
            <w:pPr>
              <w:spacing w:line="240" w:lineRule="auto" w:after="0"/>
              <w:ind w:firstLine="0"/>
            </w:pPr>
            <w:r>
              <w:rPr>
                <w:rFonts w:ascii="Times New Roman" w:hAnsi="Times New Roman"/>
                <w:b w:val="0"/>
                <w:i w:val="0"/>
                <w:sz w:val="15"/>
              </w:rPr>
              <w:t>0.785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LITCHI002793</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+0.41</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0.786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LITCHI017995</w:t>
            </w:r>
          </w:p>
        </w:tc>
        <w:tc>
          <w:tcPr>
            <w:tcW w:type="dxa" w:w="1987"/>
            <w:vAlign w:val="center"/>
          </w:tcPr>
          <w:p>
            <w:pPr>
              <w:spacing w:line="240" w:lineRule="auto" w:after="0"/>
              <w:ind w:firstLine="0"/>
            </w:pPr>
            <w:r>
              <w:rPr>
                <w:rFonts w:ascii="Times New Roman" w:hAnsi="Times New Roman"/>
                <w:b w:val="0"/>
                <w:i w:val="0"/>
                <w:sz w:val="15"/>
              </w:rPr>
              <w:t>Metalloendoproteinase</w:t>
            </w:r>
          </w:p>
        </w:tc>
        <w:tc>
          <w:tcPr>
            <w:tcW w:type="dxa" w:w="1987"/>
            <w:vAlign w:val="center"/>
          </w:tcPr>
          <w:p>
            <w:pPr>
              <w:spacing w:line="240" w:lineRule="auto" w:after="0"/>
              <w:ind w:firstLine="0"/>
            </w:pPr>
            <w:r>
              <w:rPr>
                <w:rFonts w:ascii="Times New Roman" w:hAnsi="Times New Roman"/>
                <w:b w:val="0"/>
                <w:i/>
                <w:sz w:val="15"/>
              </w:rPr>
              <w:t>+0.48</w:t>
            </w:r>
            <w:r>
              <w:rPr>
                <w:rFonts w:ascii="Times New Roman" w:hAnsi="Times New Roman"/>
                <w:b w:val="0"/>
                <w:i w:val="0"/>
                <w:sz w:val="15"/>
              </w:rPr>
              <w:t xml:space="preserve"> (0.73)</w:t>
            </w:r>
          </w:p>
        </w:tc>
        <w:tc>
          <w:tcPr>
            <w:tcW w:type="dxa" w:w="1987"/>
            <w:vAlign w:val="center"/>
          </w:tcPr>
          <w:p>
            <w:pPr>
              <w:spacing w:line="240" w:lineRule="auto" w:after="0"/>
              <w:ind w:firstLine="0"/>
            </w:pPr>
            <w:r>
              <w:rPr>
                <w:rFonts w:ascii="Times New Roman" w:hAnsi="Times New Roman"/>
                <w:b w:val="0"/>
                <w:i w:val="0"/>
                <w:sz w:val="15"/>
              </w:rPr>
              <w:t>0.812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LITCHI009301</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-0.70</w:t>
            </w:r>
            <w:r>
              <w:rPr>
                <w:rFonts w:ascii="Times New Roman" w:hAnsi="Times New Roman"/>
                <w:b w:val="0"/>
                <w:i w:val="0"/>
                <w:sz w:val="15"/>
              </w:rPr>
              <w:t xml:space="preserve"> (1.08)</w:t>
            </w:r>
          </w:p>
        </w:tc>
        <w:tc>
          <w:tcPr>
            <w:tcW w:type="dxa" w:w="1987"/>
            <w:vAlign w:val="center"/>
          </w:tcPr>
          <w:p>
            <w:pPr>
              <w:spacing w:line="240" w:lineRule="auto" w:after="0"/>
              <w:ind w:firstLine="0"/>
            </w:pPr>
            <w:r>
              <w:rPr>
                <w:rFonts w:ascii="Times New Roman" w:hAnsi="Times New Roman"/>
                <w:b w:val="0"/>
                <w:i w:val="0"/>
                <w:sz w:val="15"/>
              </w:rPr>
              <w:t>0.816</w:t>
            </w:r>
          </w:p>
        </w:tc>
        <w:tc>
          <w:tcPr>
            <w:tcW w:type="dxa" w:w="1987"/>
            <w:vAlign w:val="center"/>
          </w:tcPr>
          <w:p>
            <w:pPr>
              <w:spacing w:line="240" w:lineRule="auto" w:after="0"/>
              <w:ind w:firstLine="0"/>
            </w:pPr>
            <w:r>
              <w:rPr>
                <w:rFonts w:ascii="Times New Roman" w:hAnsi="Times New Roman"/>
                <w:b w:val="0"/>
                <w:i w:val="0"/>
                <w:sz w:val="15"/>
              </w:rPr>
              <w:t>Fail</w:t>
            </w:r>
          </w:p>
        </w:tc>
      </w:tr>
      <w:tr>
        <w:trPr>
          <w:cantSplit/>
        </w:trPr>
        <w:tc>
          <w:tcPr>
            <w:tcW w:type="dxa" w:w="1987"/>
            <w:vAlign w:val="center"/>
          </w:tcPr>
          <w:p>
            <w:pPr>
              <w:spacing w:line="240" w:lineRule="auto" w:after="0"/>
              <w:ind w:firstLine="0"/>
            </w:pPr>
            <w:r>
              <w:rPr>
                <w:rFonts w:ascii="Times New Roman" w:hAnsi="Times New Roman"/>
                <w:b w:val="0"/>
                <w:i w:val="0"/>
                <w:sz w:val="15"/>
              </w:rPr>
              <w:t>LITCHI025738</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-0.22</w:t>
            </w:r>
            <w:r>
              <w:rPr>
                <w:rFonts w:ascii="Times New Roman" w:hAnsi="Times New Roman"/>
                <w:b w:val="0"/>
                <w:i w:val="0"/>
                <w:sz w:val="15"/>
              </w:rPr>
              <w:t xml:space="preserve"> (0.62)</w:t>
            </w:r>
          </w:p>
        </w:tc>
        <w:tc>
          <w:tcPr>
            <w:tcW w:type="dxa" w:w="1987"/>
            <w:vAlign w:val="center"/>
          </w:tcPr>
          <w:p>
            <w:pPr>
              <w:spacing w:line="240" w:lineRule="auto" w:after="0"/>
              <w:ind w:firstLine="0"/>
            </w:pPr>
            <w:r>
              <w:rPr>
                <w:rFonts w:ascii="Times New Roman" w:hAnsi="Times New Roman"/>
                <w:b w:val="0"/>
                <w:i w:val="0"/>
                <w:sz w:val="15"/>
              </w:rPr>
              <w:t>0.908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LITCHI011394</w:t>
            </w:r>
          </w:p>
        </w:tc>
        <w:tc>
          <w:tcPr>
            <w:tcW w:type="dxa" w:w="1987"/>
            <w:vAlign w:val="center"/>
          </w:tcPr>
          <w:p>
            <w:pPr>
              <w:spacing w:line="240" w:lineRule="auto" w:after="0"/>
              <w:ind w:firstLine="0"/>
            </w:pPr>
            <w:r>
              <w:rPr>
                <w:rFonts w:ascii="Times New Roman" w:hAnsi="Times New Roman"/>
                <w:b w:val="0"/>
                <w:i w:val="0"/>
                <w:sz w:val="15"/>
              </w:rPr>
              <w:t>Pathogenesis-related protein</w:t>
            </w:r>
          </w:p>
        </w:tc>
        <w:tc>
          <w:tcPr>
            <w:tcW w:type="dxa" w:w="1987"/>
            <w:vAlign w:val="center"/>
          </w:tcPr>
          <w:p>
            <w:pPr>
              <w:spacing w:line="240" w:lineRule="auto" w:after="0"/>
              <w:ind w:firstLine="0"/>
            </w:pPr>
            <w:r>
              <w:rPr>
                <w:rFonts w:ascii="Times New Roman" w:hAnsi="Times New Roman"/>
                <w:b w:val="0"/>
                <w:i/>
                <w:sz w:val="15"/>
              </w:rPr>
              <w:t>-0.25</w:t>
            </w:r>
            <w:r>
              <w:rPr>
                <w:rFonts w:ascii="Times New Roman" w:hAnsi="Times New Roman"/>
                <w:b w:val="0"/>
                <w:i w:val="0"/>
                <w:sz w:val="15"/>
              </w:rPr>
              <w:t xml:space="preserve"> (0.98)</w:t>
            </w:r>
          </w:p>
        </w:tc>
        <w:tc>
          <w:tcPr>
            <w:tcW w:type="dxa" w:w="1987"/>
            <w:vAlign w:val="center"/>
          </w:tcPr>
          <w:p>
            <w:pPr>
              <w:spacing w:line="240" w:lineRule="auto" w:after="0"/>
              <w:ind w:firstLine="0"/>
            </w:pPr>
            <w:r>
              <w:rPr>
                <w:rFonts w:ascii="Times New Roman" w:hAnsi="Times New Roman"/>
                <w:b w:val="0"/>
                <w:i w:val="0"/>
                <w:sz w:val="15"/>
              </w:rPr>
              <w:t>0.940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LITCHI018043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-0.10</w:t>
            </w:r>
            <w:r>
              <w:rPr>
                <w:rFonts w:ascii="Times New Roman" w:hAnsi="Times New Roman"/>
                <w:b w:val="0"/>
                <w:i w:val="0"/>
                <w:sz w:val="15"/>
              </w:rPr>
              <w:t xml:space="preserve"> (0.52)</w:t>
            </w:r>
          </w:p>
        </w:tc>
        <w:tc>
          <w:tcPr>
            <w:tcW w:type="dxa" w:w="1987"/>
            <w:vAlign w:val="center"/>
          </w:tcPr>
          <w:p>
            <w:pPr>
              <w:spacing w:line="240" w:lineRule="auto" w:after="0"/>
              <w:ind w:firstLine="0"/>
            </w:pPr>
            <w:r>
              <w:rPr>
                <w:rFonts w:ascii="Times New Roman" w:hAnsi="Times New Roman"/>
                <w:b w:val="0"/>
                <w:i w:val="0"/>
                <w:sz w:val="15"/>
              </w:rPr>
              <w:t>0.954</w:t>
            </w:r>
          </w:p>
        </w:tc>
        <w:tc>
          <w:tcPr>
            <w:tcW w:type="dxa" w:w="1987"/>
            <w:vAlign w:val="center"/>
          </w:tcPr>
          <w:p>
            <w:pPr>
              <w:spacing w:line="240" w:lineRule="auto" w:after="0"/>
              <w:ind w:firstLine="0"/>
            </w:pPr>
            <w:r>
              <w:rPr>
                <w:rFonts w:ascii="Times New Roman" w:hAnsi="Times New Roman"/>
                <w:b w:val="0"/>
                <w:i w:val="0"/>
                <w:sz w:val="15"/>
              </w:rPr>
              <w:t>Pass</w:t>
            </w:r>
          </w:p>
        </w:tc>
      </w:tr>
    </w:tbl>
    <w:p>
      <w:pPr>
        <w:pStyle w:val="Heading2"/>
        <w:pageBreakBefore w:val="0"/>
      </w:pPr>
      <w:r>
        <w:rPr>
          <w:rFonts w:ascii="Times New Roman" w:hAnsi="Times New Roman"/>
          <w:b w:val="0"/>
          <w:i w:val="0"/>
        </w:rPr>
        <w:t>Sixteen genes and one pathway passed all internal robustness gates</w:t>
      </w:r>
    </w:p>
    <w:p>
      <w:pPr>
        <w:pageBreakBefore w:val="0"/>
      </w:pPr>
      <w:r>
        <w:rPr>
          <w:rFonts w:ascii="Times New Roman" w:hAnsi="Times New Roman"/>
          <w:b w:val="0"/>
          <w:i w:val="0"/>
        </w:rPr>
        <w:t xml:space="preserve">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(Figure 3A). The alternative-framework gate was by far the most stringent, and the frozen genome-wide edgeR results explain why. The two frameworks agree almost perfectly on estimation: interaction effects correlate at Pearson </w:t>
      </w:r>
      <w:r>
        <w:rPr>
          <w:rFonts w:ascii="Times New Roman" w:hAnsi="Times New Roman"/>
          <w:b w:val="0"/>
          <w:i/>
        </w:rPr>
        <w:t>r=0.995</w:t>
      </w:r>
      <w:r>
        <w:rPr>
          <w:rFonts w:ascii="Times New Roman" w:hAnsi="Times New Roman"/>
          <w:b w:val="0"/>
          <w:i w:val="0"/>
        </w:rPr>
        <w:t xml:space="preserve"> across all 19,445 genes and </w:t>
      </w:r>
      <w:r>
        <w:rPr>
          <w:rFonts w:ascii="Times New Roman" w:hAnsi="Times New Roman"/>
          <w:b w:val="0"/>
          <w:i/>
        </w:rPr>
        <w:t>r=0.999</w:t>
      </w:r>
      <w:r>
        <w:rPr>
          <w:rFonts w:ascii="Times New Roman" w:hAnsi="Times New Roman"/>
          <w:b w:val="0"/>
          <w:i w:val="0"/>
        </w:rPr>
        <w:t xml:space="preserve"> across the 206 candidates, sign agreement among the candidates is 100%, and every candidate has nominal edgeR </w:t>
      </w:r>
      <w:r>
        <w:rPr>
          <w:rFonts w:ascii="Times New Roman" w:hAnsi="Times New Roman"/>
          <w:b w:val="0"/>
          <w:i/>
        </w:rPr>
        <w:t>P&lt;0.05</w:t>
      </w:r>
      <w:r>
        <w:rPr>
          <w:rFonts w:ascii="Times New Roman" w:hAnsi="Times New Roman"/>
          <w:b w:val="0"/>
          <w:i w:val="0"/>
        </w:rPr>
        <w:t xml:space="preserve">. The disagreement is confined to significance calibration. The registered gate required genome-wide edgeR </w:t>
      </w:r>
      <w:r>
        <w:rPr>
          <w:rFonts w:ascii="Times New Roman" w:hAnsi="Times New Roman"/>
          <w:b w:val="0"/>
          <w:i/>
        </w:rPr>
        <w:t>q&lt;0.10</w:t>
      </w:r>
      <w:r>
        <w:rPr>
          <w:rFonts w:ascii="Times New Roman" w:hAnsi="Times New Roman"/>
          <w:b w:val="0"/>
          <w:i w:val="0"/>
        </w:rPr>
        <w:t xml:space="preserve"> with direction agreement, and edgeR's quasi-likelihood test with robust dispersion estimation admits only 24 genes genome-wide at that threshold (10 at </w:t>
      </w:r>
      <w:r>
        <w:rPr>
          <w:rFonts w:ascii="Times New Roman" w:hAnsi="Times New Roman"/>
          <w:b w:val="0"/>
          <w:i/>
        </w:rPr>
        <w:t>q&lt;0.05</w:t>
      </w:r>
      <w:r>
        <w:rPr>
          <w:rFonts w:ascii="Times New Roman" w:hAnsi="Times New Roman"/>
          <w:b w:val="0"/>
          <w:i w:val="0"/>
        </w:rPr>
        <w:t xml:space="preserve">), against 262 for the primary Wald analysis at </w:t>
      </w:r>
      <w:r>
        <w:rPr>
          <w:rFonts w:ascii="Times New Roman" w:hAnsi="Times New Roman"/>
          <w:b w:val="0"/>
          <w:i/>
        </w:rPr>
        <w:t>q&lt;0.05</w:t>
      </w:r>
      <w:r>
        <w:rPr>
          <w:rFonts w:ascii="Times New Roman" w:hAnsi="Times New Roman"/>
          <w:b w:val="0"/>
          <w:i w:val="0"/>
        </w:rPr>
        <w:t>.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keepNext/>
        <w:pageBreakBefore/>
        <w:ind w:firstLine="0"/>
        <w:jc w:val="center"/>
      </w:pPr>
      <w:r>
        <w:drawing>
          <wp:inline xmlns:a="http://schemas.openxmlformats.org/drawingml/2006/main" xmlns:pic="http://schemas.openxmlformats.org/drawingml/2006/picture">
            <wp:extent cx="6172200" cy="5455275"/>
            <wp:docPr id="3" name="Picture 3" descr="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
            <wp:cNvGraphicFramePr>
              <a:graphicFrameLocks noChangeAspect="1"/>
            </wp:cNvGraphicFramePr>
            <a:graphic>
              <a:graphicData uri="http://schemas.openxmlformats.org/drawingml/2006/picture">
                <pic:pic>
                  <pic:nvPicPr>
                    <pic:cNvPr id="0" name="figure3_robustness_external.png"/>
                    <pic:cNvPicPr/>
                  </pic:nvPicPr>
                  <pic:blipFill>
                    <a:blip r:embed="rId12"/>
                    <a:stretch>
                      <a:fillRect/>
                    </a:stretch>
                  </pic:blipFill>
                  <pic:spPr>
                    <a:xfrm>
                      <a:off x="0" y="0"/>
                      <a:ext cx="6172200" cy="5455275"/>
                    </a:xfrm>
                    <a:prstGeom prst="rect"/>
                  </pic:spPr>
                </pic:pic>
              </a:graphicData>
            </a:graphic>
          </wp:inline>
        </w:drawing>
      </w:r>
    </w:p>
    <w:p>
      <w:pPr>
        <w:pStyle w:val="Caption"/>
      </w:pPr>
      <w:r>
        <w:rPr>
          <w:b/>
        </w:rPr>
        <w:t xml:space="preserve">Figure 3. </w:t>
      </w:r>
      <w:r>
        <w:rPr>
          <w:rFonts w:ascii="Times New Roman" w:hAnsi="Times New Roman"/>
          <w:b/>
          <w:i w:val="0"/>
          <w:sz w:val="18"/>
        </w:rPr>
        <w:t>Internal robustness and the primary external evaluation.</w:t>
      </w:r>
      <w:r>
        <w:rPr>
          <w:rFonts w:ascii="Times New Roman" w:hAnsi="Times New Roman"/>
          <w:b w:val="0"/>
          <w:i w:val="0"/>
          <w:sz w:val="18"/>
        </w:rPr>
        <w:t xml:space="preserve">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pStyle w:val="Heading2"/>
        <w:pageBreakBefore w:val="0"/>
      </w:pPr>
      <w:r>
        <w:rPr>
          <w:rFonts w:ascii="Times New Roman" w:hAnsi="Times New Roman"/>
          <w:b w:val="0"/>
          <w:i w:val="0"/>
        </w:rPr>
        <w:t>The prespecified external evaluation supported two genes and contradicted five</w:t>
      </w:r>
    </w:p>
    <w:p>
      <w:pPr>
        <w:pageBreakBefore w:val="0"/>
      </w:pPr>
      <w:r>
        <w:rPr>
          <w:rFonts w:ascii="Times New Roman" w:hAnsi="Times New Roman"/>
          <w:b w:val="0"/>
          <w:i w:val="0"/>
        </w:rPr>
        <w:t xml:space="preserve">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w:t>
      </w:r>
      <w:r>
        <w:rPr>
          <w:rFonts w:ascii="Times New Roman" w:hAnsi="Times New Roman"/>
          <w:b w:val="0"/>
          <w:i/>
        </w:rPr>
        <w:t>log₂(1.5)</w:t>
      </w:r>
      <w:r>
        <w:rPr>
          <w:rFonts w:ascii="Times New Roman" w:hAnsi="Times New Roman"/>
          <w:b w:val="0"/>
          <w:i w:val="0"/>
        </w:rPr>
        <w:t xml:space="preserve">,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w:t>
      </w:r>
      <w:r>
        <w:rPr>
          <w:rFonts w:ascii="Times New Roman" w:hAnsi="Times New Roman"/>
          <w:b w:val="0"/>
          <w:i/>
        </w:rPr>
        <w:t>Oryza</w:t>
      </w:r>
      <w:r>
        <w:rPr>
          <w:rFonts w:ascii="Times New Roman" w:hAnsi="Times New Roman"/>
          <w:b w:val="0"/>
          <w:i w:val="0"/>
        </w:rPr>
        <w:t xml:space="preserve"> ortholog. Five genes, including a beta-glucosidase and a Fe(II)/2-oxoglutarate-dependent dioxygenase, passed the magnitude and significance criteria with the </w:t>
      </w:r>
      <w:r>
        <w:rPr>
          <w:rFonts w:ascii="Times New Roman" w:hAnsi="Times New Roman"/>
          <w:b w:val="0"/>
          <w:i/>
        </w:rPr>
        <w:t>opposite</w:t>
      </w:r>
      <w:r>
        <w:rPr>
          <w:rFonts w:ascii="Times New Roman" w:hAnsi="Times New Roman"/>
          <w:b w:val="0"/>
          <w:i w:val="0"/>
        </w:rPr>
        <w:t xml:space="preserve"> direction and are recorded as contradictory; 177 were unsupported at the prespecified thresholds and 22 not testable (Figure 3C; Table 3). At the level of continuous estimates, discovery and external interaction effects across the 184 measurable candidates were uncorrelated (Pearson </w:t>
      </w:r>
      <w:r>
        <w:rPr>
          <w:rFonts w:ascii="Times New Roman" w:hAnsi="Times New Roman"/>
          <w:b w:val="0"/>
          <w:i/>
        </w:rPr>
        <w:t>r=-0.05</w:t>
      </w:r>
      <w:r>
        <w:rPr>
          <w:rFonts w:ascii="Times New Roman" w:hAnsi="Times New Roman"/>
          <w:b w:val="0"/>
          <w:i w:val="0"/>
        </w:rPr>
        <w:t xml:space="preserve">, 95% CI </w:t>
      </w:r>
      <w:r>
        <w:rPr>
          <w:rFonts w:ascii="Times New Roman" w:hAnsi="Times New Roman"/>
          <w:b w:val="0"/>
          <w:i/>
        </w:rPr>
        <w:t>-0.19</w:t>
      </w:r>
      <w:r>
        <w:rPr>
          <w:rFonts w:ascii="Times New Roman" w:hAnsi="Times New Roman"/>
          <w:b w:val="0"/>
          <w:i w:val="0"/>
        </w:rPr>
        <w:t xml:space="preserve"> to 0.10; Spearman </w:t>
      </w:r>
      <w:r>
        <w:rPr>
          <w:rFonts w:ascii="Times New Roman" w:hAnsi="Times New Roman"/>
          <w:b w:val="0"/>
          <w:i/>
        </w:rPr>
        <w:t>ρ=-0.04</w:t>
      </w:r>
      <w:r>
        <w:rPr>
          <w:rFonts w:ascii="Times New Roman" w:hAnsi="Times New Roman"/>
          <w:b w:val="0"/>
          <w:i w:val="0"/>
        </w:rPr>
        <w:t>), with sign concordance of 51.6% (95 of 184), indistinguishable from chance.</w:t>
      </w:r>
    </w:p>
    <w:p>
      <w:pPr>
        <w:pageBreakBefore w:val="0"/>
      </w:pPr>
      <w:r>
        <w:rPr>
          <w:rFonts w:ascii="Times New Roman" w:hAnsi="Times New Roman"/>
          <w:b w:val="0"/>
          <w:i w:val="0"/>
        </w:rPr>
        <w:t>The two supported genes are not among the 16 internally robust genes, and none of the 16 internally robust genes achieved external support (Figure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pStyle w:val="Caption"/>
        <w:keepNext/>
        <w:pageBreakBefore/>
      </w:pPr>
      <w:r>
        <w:rPr>
          <w:b/>
        </w:rPr>
        <w:t xml:space="preserve">Table 3. </w:t>
      </w:r>
      <w:r>
        <w:rPr>
          <w:rFonts w:ascii="Times New Roman" w:hAnsi="Times New Roman"/>
          <w:b/>
          <w:i w:val="0"/>
          <w:sz w:val="18"/>
        </w:rPr>
        <w:t>Cross-context supported and contradictory genes in the primary external evaluation (PRJNA450886, pericarp, 24 h).</w:t>
      </w:r>
      <w:r>
        <w:rPr>
          <w:rFonts w:ascii="Times New Roman" w:hAnsi="Times New Roman"/>
          <w:b w:val="0"/>
          <w:i w:val="0"/>
          <w:sz w:val="18"/>
        </w:rPr>
        <w:t xml:space="preserve"> Discovery effects are Yurong1-minus-Guiwei interaction log2 fold changes in leaf; external effects are Heiye-minus-Guiwei interaction log2 fold changes in pericarp with 95% confidence intervals. All </w:t>
      </w:r>
      <w:r>
        <w:rPr>
          <w:rFonts w:ascii="Times New Roman" w:hAnsi="Times New Roman"/>
          <w:b w:val="0"/>
          <w:i/>
          <w:sz w:val="18"/>
        </w:rPr>
        <w:t>q</w:t>
      </w:r>
      <w:r>
        <w:rPr>
          <w:rFonts w:ascii="Times New Roman" w:hAnsi="Times New Roman"/>
          <w:b w:val="0"/>
          <w:i w:val="0"/>
          <w:sz w:val="18"/>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1419"/>
            <w:vAlign w:val="center"/>
            <w:shd w:fill="D9E2F3"/>
          </w:tcPr>
          <w:p>
            <w:pPr>
              <w:spacing w:line="240" w:lineRule="auto" w:after="0"/>
              <w:ind w:firstLine="0"/>
            </w:pPr>
            <w:r>
              <w:rPr>
                <w:rFonts w:ascii="Times New Roman" w:hAnsi="Times New Roman"/>
                <w:b/>
                <w:i w:val="0"/>
                <w:sz w:val="14"/>
              </w:rPr>
              <w:t>Gene</w:t>
            </w:r>
          </w:p>
        </w:tc>
        <w:tc>
          <w:tcPr>
            <w:tcW w:type="dxa" w:w="1419"/>
            <w:vAlign w:val="center"/>
            <w:shd w:fill="D9E2F3"/>
          </w:tcPr>
          <w:p>
            <w:pPr>
              <w:spacing w:line="240" w:lineRule="auto" w:after="0"/>
              <w:ind w:firstLine="0"/>
            </w:pPr>
            <w:r>
              <w:rPr>
                <w:rFonts w:ascii="Times New Roman" w:hAnsi="Times New Roman"/>
                <w:b/>
                <w:i w:val="0"/>
                <w:sz w:val="14"/>
              </w:rPr>
              <w:t>Annotation</w:t>
            </w:r>
          </w:p>
        </w:tc>
        <w:tc>
          <w:tcPr>
            <w:tcW w:type="dxa" w:w="1419"/>
            <w:vAlign w:val="center"/>
            <w:shd w:fill="D9E2F3"/>
          </w:tcPr>
          <w:p>
            <w:pPr>
              <w:spacing w:line="240" w:lineRule="auto" w:after="0"/>
              <w:ind w:firstLine="0"/>
            </w:pPr>
            <w:r>
              <w:rPr>
                <w:rFonts w:ascii="Times New Roman" w:hAnsi="Times New Roman"/>
                <w:b/>
                <w:i w:val="0"/>
                <w:sz w:val="14"/>
              </w:rPr>
              <w:t>Disc. log2FC</w:t>
            </w:r>
          </w:p>
        </w:tc>
        <w:tc>
          <w:tcPr>
            <w:tcW w:type="dxa" w:w="1419"/>
            <w:vAlign w:val="center"/>
            <w:shd w:fill="D9E2F3"/>
          </w:tcPr>
          <w:p>
            <w:pPr>
              <w:spacing w:line="240" w:lineRule="auto" w:after="0"/>
              <w:ind w:firstLine="0"/>
            </w:pPr>
            <w:r>
              <w:rPr>
                <w:rFonts w:ascii="Times New Roman" w:hAnsi="Times New Roman"/>
                <w:b/>
                <w:i w:val="0"/>
                <w:sz w:val="14"/>
              </w:rPr>
              <w:t xml:space="preserve">Disc.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Ext. log2FC (95% CI)</w:t>
            </w:r>
          </w:p>
        </w:tc>
        <w:tc>
          <w:tcPr>
            <w:tcW w:type="dxa" w:w="1419"/>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Outcome</w:t>
            </w:r>
          </w:p>
        </w:tc>
      </w:tr>
      <w:tr>
        <w:trPr>
          <w:cantSplit/>
        </w:trPr>
        <w:tc>
          <w:tcPr>
            <w:tcW w:type="dxa" w:w="1419"/>
            <w:vAlign w:val="center"/>
          </w:tcPr>
          <w:p>
            <w:pPr>
              <w:spacing w:line="240" w:lineRule="auto" w:after="0"/>
              <w:ind w:firstLine="0"/>
            </w:pPr>
            <w:r>
              <w:rPr>
                <w:rFonts w:ascii="Times New Roman" w:hAnsi="Times New Roman"/>
                <w:b w:val="0"/>
                <w:i w:val="0"/>
                <w:sz w:val="14"/>
              </w:rPr>
              <w:t>LITCHI005518</w:t>
            </w:r>
          </w:p>
        </w:tc>
        <w:tc>
          <w:tcPr>
            <w:tcW w:type="dxa" w:w="1419"/>
            <w:vAlign w:val="center"/>
          </w:tcPr>
          <w:p>
            <w:pPr>
              <w:spacing w:line="240" w:lineRule="auto" w:after="0"/>
              <w:ind w:firstLine="0"/>
            </w:pPr>
            <w:r>
              <w:rPr>
                <w:rFonts w:ascii="Times New Roman" w:hAnsi="Times New Roman"/>
                <w:b w:val="0"/>
                <w:i w:val="0"/>
                <w:sz w:val="14"/>
              </w:rPr>
              <w:t>Alpha-xylosidase 1</w:t>
            </w:r>
          </w:p>
        </w:tc>
        <w:tc>
          <w:tcPr>
            <w:tcW w:type="dxa" w:w="1419"/>
            <w:vAlign w:val="center"/>
          </w:tcPr>
          <w:p>
            <w:pPr>
              <w:spacing w:line="240" w:lineRule="auto" w:after="0"/>
              <w:ind w:firstLine="0"/>
            </w:pPr>
            <w:r>
              <w:rPr>
                <w:rFonts w:ascii="Times New Roman" w:hAnsi="Times New Roman"/>
                <w:b w:val="0"/>
                <w:i/>
                <w:sz w:val="14"/>
              </w:rPr>
              <w:t>+0.64</w:t>
            </w:r>
          </w:p>
        </w:tc>
        <w:tc>
          <w:tcPr>
            <w:tcW w:type="dxa" w:w="1419"/>
            <w:vAlign w:val="center"/>
          </w:tcPr>
          <w:p>
            <w:pPr>
              <w:spacing w:line="240" w:lineRule="auto" w:after="0"/>
              <w:ind w:firstLine="0"/>
            </w:pPr>
            <w:r>
              <w:rPr>
                <w:rFonts w:ascii="Times New Roman" w:hAnsi="Times New Roman"/>
                <w:b w:val="0"/>
                <w:i w:val="0"/>
                <w:sz w:val="14"/>
              </w:rPr>
              <w:t>0.025</w:t>
            </w:r>
          </w:p>
        </w:tc>
        <w:tc>
          <w:tcPr>
            <w:tcW w:type="dxa" w:w="1419"/>
            <w:vAlign w:val="center"/>
          </w:tcPr>
          <w:p>
            <w:pPr>
              <w:spacing w:line="240" w:lineRule="auto" w:after="0"/>
              <w:ind w:firstLine="0"/>
            </w:pPr>
            <w:r>
              <w:rPr>
                <w:rFonts w:ascii="Times New Roman" w:hAnsi="Times New Roman"/>
                <w:b w:val="0"/>
                <w:i/>
                <w:sz w:val="14"/>
              </w:rPr>
              <w:t>+0.67</w:t>
            </w:r>
            <w:r>
              <w:rPr>
                <w:rFonts w:ascii="Times New Roman" w:hAnsi="Times New Roman"/>
                <w:b w:val="0"/>
                <w:i w:val="0"/>
                <w:sz w:val="14"/>
              </w:rPr>
              <w:t xml:space="preserve"> (</w:t>
            </w:r>
            <w:r>
              <w:rPr>
                <w:rFonts w:ascii="Times New Roman" w:hAnsi="Times New Roman"/>
                <w:b w:val="0"/>
                <w:i/>
                <w:sz w:val="14"/>
              </w:rPr>
              <w:t>+0.32</w:t>
            </w:r>
            <w:r>
              <w:rPr>
                <w:rFonts w:ascii="Times New Roman" w:hAnsi="Times New Roman"/>
                <w:b w:val="0"/>
                <w:i w:val="0"/>
                <w:sz w:val="14"/>
              </w:rPr>
              <w:t xml:space="preserve"> to </w:t>
            </w:r>
            <w:r>
              <w:rPr>
                <w:rFonts w:ascii="Times New Roman" w:hAnsi="Times New Roman"/>
                <w:b w:val="0"/>
                <w:i/>
                <w:sz w:val="14"/>
              </w:rPr>
              <w:t>+1.02</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LITCHI001963</w:t>
            </w:r>
          </w:p>
        </w:tc>
        <w:tc>
          <w:tcPr>
            <w:tcW w:type="dxa" w:w="1419"/>
            <w:vAlign w:val="center"/>
          </w:tcPr>
          <w:p>
            <w:pPr>
              <w:spacing w:line="240" w:lineRule="auto" w:after="0"/>
              <w:ind w:firstLine="0"/>
            </w:pPr>
            <w:r>
              <w:rPr>
                <w:rFonts w:ascii="Times New Roman" w:hAnsi="Times New Roman"/>
                <w:b w:val="0"/>
                <w:i w:val="0"/>
                <w:sz w:val="14"/>
              </w:rPr>
              <w:t xml:space="preserve">Uncharacterized; 1:1 </w:t>
            </w:r>
            <w:r>
              <w:rPr>
                <w:rFonts w:ascii="Times New Roman" w:hAnsi="Times New Roman"/>
                <w:b w:val="0"/>
                <w:i/>
                <w:sz w:val="14"/>
              </w:rPr>
              <w:t>Oryza</w:t>
            </w:r>
            <w:r>
              <w:rPr>
                <w:rFonts w:ascii="Times New Roman" w:hAnsi="Times New Roman"/>
                <w:b w:val="0"/>
                <w:i w:val="0"/>
                <w:sz w:val="14"/>
              </w:rPr>
              <w:t xml:space="preserve"> ortholog</w:t>
            </w:r>
          </w:p>
        </w:tc>
        <w:tc>
          <w:tcPr>
            <w:tcW w:type="dxa" w:w="1419"/>
            <w:vAlign w:val="center"/>
          </w:tcPr>
          <w:p>
            <w:pPr>
              <w:spacing w:line="240" w:lineRule="auto" w:after="0"/>
              <w:ind w:firstLine="0"/>
            </w:pPr>
            <w:r>
              <w:rPr>
                <w:rFonts w:ascii="Times New Roman" w:hAnsi="Times New Roman"/>
                <w:b w:val="0"/>
                <w:i/>
                <w:sz w:val="14"/>
              </w:rPr>
              <w:t>-1.41</w:t>
            </w:r>
          </w:p>
        </w:tc>
        <w:tc>
          <w:tcPr>
            <w:tcW w:type="dxa" w:w="1419"/>
            <w:vAlign w:val="center"/>
          </w:tcPr>
          <w:p>
            <w:pPr>
              <w:spacing w:line="240" w:lineRule="auto" w:after="0"/>
              <w:ind w:firstLine="0"/>
            </w:pPr>
            <w:r>
              <w:rPr>
                <w:rFonts w:ascii="Times New Roman" w:hAnsi="Times New Roman"/>
                <w:b w:val="0"/>
                <w:i w:val="0"/>
                <w:sz w:val="14"/>
              </w:rPr>
              <w:t>0.024</w:t>
            </w:r>
          </w:p>
        </w:tc>
        <w:tc>
          <w:tcPr>
            <w:tcW w:type="dxa" w:w="1419"/>
            <w:vAlign w:val="center"/>
          </w:tcPr>
          <w:p>
            <w:pPr>
              <w:spacing w:line="240" w:lineRule="auto" w:after="0"/>
              <w:ind w:firstLine="0"/>
            </w:pPr>
            <w:r>
              <w:rPr>
                <w:rFonts w:ascii="Times New Roman" w:hAnsi="Times New Roman"/>
                <w:b w:val="0"/>
                <w:i/>
                <w:sz w:val="14"/>
              </w:rPr>
              <w:t>-0.94</w:t>
            </w:r>
            <w:r>
              <w:rPr>
                <w:rFonts w:ascii="Times New Roman" w:hAnsi="Times New Roman"/>
                <w:b w:val="0"/>
                <w:i w:val="0"/>
                <w:sz w:val="14"/>
              </w:rPr>
              <w:t xml:space="preserve"> (</w:t>
            </w:r>
            <w:r>
              <w:rPr>
                <w:rFonts w:ascii="Times New Roman" w:hAnsi="Times New Roman"/>
                <w:b w:val="0"/>
                <w:i/>
                <w:sz w:val="14"/>
              </w:rPr>
              <w:t>-1.43</w:t>
            </w:r>
            <w:r>
              <w:rPr>
                <w:rFonts w:ascii="Times New Roman" w:hAnsi="Times New Roman"/>
                <w:b w:val="0"/>
                <w:i w:val="0"/>
                <w:sz w:val="14"/>
              </w:rPr>
              <w:t xml:space="preserve"> to </w:t>
            </w:r>
            <w:r>
              <w:rPr>
                <w:rFonts w:ascii="Times New Roman" w:hAnsi="Times New Roman"/>
                <w:b w:val="0"/>
                <w:i/>
                <w:sz w:val="14"/>
              </w:rPr>
              <w:t>-0.46</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LITCHI030761</w:t>
            </w:r>
          </w:p>
        </w:tc>
        <w:tc>
          <w:tcPr>
            <w:tcW w:type="dxa" w:w="1419"/>
            <w:vAlign w:val="center"/>
          </w:tcPr>
          <w:p>
            <w:pPr>
              <w:spacing w:line="240" w:lineRule="auto" w:after="0"/>
              <w:ind w:firstLine="0"/>
            </w:pPr>
            <w:r>
              <w:rPr>
                <w:rFonts w:ascii="Times New Roman" w:hAnsi="Times New Roman"/>
                <w:b w:val="0"/>
                <w:i w:val="0"/>
                <w:sz w:val="14"/>
              </w:rPr>
              <w:t>Caffeoylshikimate esterase</w:t>
            </w:r>
          </w:p>
        </w:tc>
        <w:tc>
          <w:tcPr>
            <w:tcW w:type="dxa" w:w="1419"/>
            <w:vAlign w:val="center"/>
          </w:tcPr>
          <w:p>
            <w:pPr>
              <w:spacing w:line="240" w:lineRule="auto" w:after="0"/>
              <w:ind w:firstLine="0"/>
            </w:pPr>
            <w:r>
              <w:rPr>
                <w:rFonts w:ascii="Times New Roman" w:hAnsi="Times New Roman"/>
                <w:b w:val="0"/>
                <w:i/>
                <w:sz w:val="14"/>
              </w:rPr>
              <w:t>-0.92</w:t>
            </w:r>
          </w:p>
        </w:tc>
        <w:tc>
          <w:tcPr>
            <w:tcW w:type="dxa" w:w="1419"/>
            <w:vAlign w:val="center"/>
          </w:tcPr>
          <w:p>
            <w:pPr>
              <w:spacing w:line="240" w:lineRule="auto" w:after="0"/>
              <w:ind w:firstLine="0"/>
            </w:pPr>
            <w:r>
              <w:rPr>
                <w:rFonts w:ascii="Times New Roman" w:hAnsi="Times New Roman"/>
                <w:b w:val="0"/>
                <w:i w:val="0"/>
                <w:sz w:val="14"/>
              </w:rPr>
              <w:t>0.040</w:t>
            </w:r>
          </w:p>
        </w:tc>
        <w:tc>
          <w:tcPr>
            <w:tcW w:type="dxa" w:w="1419"/>
            <w:vAlign w:val="center"/>
          </w:tcPr>
          <w:p>
            <w:pPr>
              <w:spacing w:line="240" w:lineRule="auto" w:after="0"/>
              <w:ind w:firstLine="0"/>
            </w:pPr>
            <w:r>
              <w:rPr>
                <w:rFonts w:ascii="Times New Roman" w:hAnsi="Times New Roman"/>
                <w:b w:val="0"/>
                <w:i/>
                <w:sz w:val="14"/>
              </w:rPr>
              <w:t>+1.31</w:t>
            </w:r>
            <w:r>
              <w:rPr>
                <w:rFonts w:ascii="Times New Roman" w:hAnsi="Times New Roman"/>
                <w:b w:val="0"/>
                <w:i w:val="0"/>
                <w:sz w:val="14"/>
              </w:rPr>
              <w:t xml:space="preserve"> (</w:t>
            </w:r>
            <w:r>
              <w:rPr>
                <w:rFonts w:ascii="Times New Roman" w:hAnsi="Times New Roman"/>
                <w:b w:val="0"/>
                <w:i/>
                <w:sz w:val="14"/>
              </w:rPr>
              <w:t>+0.78</w:t>
            </w:r>
            <w:r>
              <w:rPr>
                <w:rFonts w:ascii="Times New Roman" w:hAnsi="Times New Roman"/>
                <w:b w:val="0"/>
                <w:i w:val="0"/>
                <w:sz w:val="14"/>
              </w:rPr>
              <w:t xml:space="preserve"> to </w:t>
            </w:r>
            <w:r>
              <w:rPr>
                <w:rFonts w:ascii="Times New Roman" w:hAnsi="Times New Roman"/>
                <w:b w:val="0"/>
                <w:i/>
                <w:sz w:val="14"/>
              </w:rPr>
              <w:t>+1.85</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0.0002</w:t>
            </w:r>
          </w:p>
        </w:tc>
        <w:tc>
          <w:tcPr>
            <w:tcW w:type="dxa" w:w="1419"/>
            <w:vAlign w:val="center"/>
          </w:tcPr>
          <w:p>
            <w:pPr>
              <w:spacing w:line="240" w:lineRule="auto" w:after="0"/>
              <w:ind w:firstLine="0"/>
            </w:pPr>
            <w:r>
              <w:rPr>
                <w:rFonts w:ascii="Times New Roman" w:hAnsi="Times New Roman"/>
                <w:b w:val="0"/>
                <w:i w:val="0"/>
                <w:sz w:val="14"/>
              </w:rPr>
              <w:t>Contradictory</w:t>
            </w:r>
          </w:p>
        </w:tc>
      </w:tr>
      <w:tr>
        <w:trPr>
          <w:cantSplit/>
        </w:trPr>
        <w:tc>
          <w:tcPr>
            <w:tcW w:type="dxa" w:w="1419"/>
            <w:vAlign w:val="center"/>
          </w:tcPr>
          <w:p>
            <w:pPr>
              <w:spacing w:line="240" w:lineRule="auto" w:after="0"/>
              <w:ind w:firstLine="0"/>
            </w:pPr>
            <w:r>
              <w:rPr>
                <w:rFonts w:ascii="Times New Roman" w:hAnsi="Times New Roman"/>
                <w:b w:val="0"/>
                <w:i w:val="0"/>
                <w:sz w:val="14"/>
              </w:rPr>
              <w:t>LITCHI029534</w:t>
            </w:r>
          </w:p>
        </w:tc>
        <w:tc>
          <w:tcPr>
            <w:tcW w:type="dxa" w:w="1419"/>
            <w:vAlign w:val="center"/>
          </w:tcPr>
          <w:p>
            <w:pPr>
              <w:spacing w:line="240" w:lineRule="auto" w:after="0"/>
              <w:ind w:firstLine="0"/>
            </w:pPr>
            <w:r>
              <w:rPr>
                <w:rFonts w:ascii="Times New Roman" w:hAnsi="Times New Roman"/>
                <w:b w:val="0"/>
                <w:i w:val="0"/>
                <w:sz w:val="14"/>
              </w:rPr>
              <w:t>Thiamine thiazole synthase 2</w:t>
            </w:r>
          </w:p>
        </w:tc>
        <w:tc>
          <w:tcPr>
            <w:tcW w:type="dxa" w:w="1419"/>
            <w:vAlign w:val="center"/>
          </w:tcPr>
          <w:p>
            <w:pPr>
              <w:spacing w:line="240" w:lineRule="auto" w:after="0"/>
              <w:ind w:firstLine="0"/>
            </w:pPr>
            <w:r>
              <w:rPr>
                <w:rFonts w:ascii="Times New Roman" w:hAnsi="Times New Roman"/>
                <w:b w:val="0"/>
                <w:i/>
                <w:sz w:val="14"/>
              </w:rPr>
              <w:t>+1.48</w:t>
            </w:r>
          </w:p>
        </w:tc>
        <w:tc>
          <w:tcPr>
            <w:tcW w:type="dxa" w:w="1419"/>
            <w:vAlign w:val="center"/>
          </w:tcPr>
          <w:p>
            <w:pPr>
              <w:spacing w:line="240" w:lineRule="auto" w:after="0"/>
              <w:ind w:firstLine="0"/>
            </w:pPr>
            <w:r>
              <w:rPr>
                <w:rFonts w:ascii="Times New Roman" w:hAnsi="Times New Roman"/>
                <w:b w:val="0"/>
                <w:i w:val="0"/>
                <w:sz w:val="14"/>
              </w:rPr>
              <w:t>0.002</w:t>
            </w:r>
          </w:p>
        </w:tc>
        <w:tc>
          <w:tcPr>
            <w:tcW w:type="dxa" w:w="1419"/>
            <w:vAlign w:val="center"/>
          </w:tcPr>
          <w:p>
            <w:pPr>
              <w:spacing w:line="240" w:lineRule="auto" w:after="0"/>
              <w:ind w:firstLine="0"/>
            </w:pPr>
            <w:r>
              <w:rPr>
                <w:rFonts w:ascii="Times New Roman" w:hAnsi="Times New Roman"/>
                <w:b w:val="0"/>
                <w:i/>
                <w:sz w:val="14"/>
              </w:rPr>
              <w:t>-1.04</w:t>
            </w:r>
            <w:r>
              <w:rPr>
                <w:rFonts w:ascii="Times New Roman" w:hAnsi="Times New Roman"/>
                <w:b w:val="0"/>
                <w:i w:val="0"/>
                <w:sz w:val="14"/>
              </w:rPr>
              <w:t xml:space="preserve"> (</w:t>
            </w:r>
            <w:r>
              <w:rPr>
                <w:rFonts w:ascii="Times New Roman" w:hAnsi="Times New Roman"/>
                <w:b w:val="0"/>
                <w:i/>
                <w:sz w:val="14"/>
              </w:rPr>
              <w:t>-1.61</w:t>
            </w:r>
            <w:r>
              <w:rPr>
                <w:rFonts w:ascii="Times New Roman" w:hAnsi="Times New Roman"/>
                <w:b w:val="0"/>
                <w:i w:val="0"/>
                <w:sz w:val="14"/>
              </w:rPr>
              <w:t xml:space="preserve"> to </w:t>
            </w:r>
            <w:r>
              <w:rPr>
                <w:rFonts w:ascii="Times New Roman" w:hAnsi="Times New Roman"/>
                <w:b w:val="0"/>
                <w:i/>
                <w:sz w:val="14"/>
              </w:rPr>
              <w:t>-0.48</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0.010</w:t>
            </w:r>
          </w:p>
        </w:tc>
        <w:tc>
          <w:tcPr>
            <w:tcW w:type="dxa" w:w="1419"/>
            <w:vAlign w:val="center"/>
          </w:tcPr>
          <w:p>
            <w:pPr>
              <w:spacing w:line="240" w:lineRule="auto" w:after="0"/>
              <w:ind w:firstLine="0"/>
            </w:pPr>
            <w:r>
              <w:rPr>
                <w:rFonts w:ascii="Times New Roman" w:hAnsi="Times New Roman"/>
                <w:b w:val="0"/>
                <w:i w:val="0"/>
                <w:sz w:val="14"/>
              </w:rPr>
              <w:t>Contradictory</w:t>
            </w:r>
          </w:p>
        </w:tc>
      </w:tr>
      <w:tr>
        <w:trPr>
          <w:cantSplit/>
        </w:trPr>
        <w:tc>
          <w:tcPr>
            <w:tcW w:type="dxa" w:w="1419"/>
            <w:vAlign w:val="center"/>
          </w:tcPr>
          <w:p>
            <w:pPr>
              <w:spacing w:line="240" w:lineRule="auto" w:after="0"/>
              <w:ind w:firstLine="0"/>
            </w:pPr>
            <w:r>
              <w:rPr>
                <w:rFonts w:ascii="Times New Roman" w:hAnsi="Times New Roman"/>
                <w:b w:val="0"/>
                <w:i w:val="0"/>
                <w:sz w:val="14"/>
              </w:rPr>
              <w:t>LITCHI021860</w:t>
            </w:r>
          </w:p>
        </w:tc>
        <w:tc>
          <w:tcPr>
            <w:tcW w:type="dxa" w:w="1419"/>
            <w:vAlign w:val="center"/>
          </w:tcPr>
          <w:p>
            <w:pPr>
              <w:spacing w:line="240" w:lineRule="auto" w:after="0"/>
              <w:ind w:firstLine="0"/>
            </w:pPr>
            <w:r>
              <w:rPr>
                <w:rFonts w:ascii="Times New Roman" w:hAnsi="Times New Roman"/>
                <w:b w:val="0"/>
                <w:i w:val="0"/>
                <w:sz w:val="14"/>
              </w:rPr>
              <w:t>Phosphatidylinositol 4-kinase gamma 2</w:t>
            </w:r>
          </w:p>
        </w:tc>
        <w:tc>
          <w:tcPr>
            <w:tcW w:type="dxa" w:w="1419"/>
            <w:vAlign w:val="center"/>
          </w:tcPr>
          <w:p>
            <w:pPr>
              <w:spacing w:line="240" w:lineRule="auto" w:after="0"/>
              <w:ind w:firstLine="0"/>
            </w:pPr>
            <w:r>
              <w:rPr>
                <w:rFonts w:ascii="Times New Roman" w:hAnsi="Times New Roman"/>
                <w:b w:val="0"/>
                <w:i/>
                <w:sz w:val="14"/>
              </w:rPr>
              <w:t>-0.65</w:t>
            </w:r>
          </w:p>
        </w:tc>
        <w:tc>
          <w:tcPr>
            <w:tcW w:type="dxa" w:w="1419"/>
            <w:vAlign w:val="center"/>
          </w:tcPr>
          <w:p>
            <w:pPr>
              <w:spacing w:line="240" w:lineRule="auto" w:after="0"/>
              <w:ind w:firstLine="0"/>
            </w:pPr>
            <w:r>
              <w:rPr>
                <w:rFonts w:ascii="Times New Roman" w:hAnsi="Times New Roman"/>
                <w:b w:val="0"/>
                <w:i w:val="0"/>
                <w:sz w:val="14"/>
              </w:rPr>
              <w:t>0.032</w:t>
            </w:r>
          </w:p>
        </w:tc>
        <w:tc>
          <w:tcPr>
            <w:tcW w:type="dxa" w:w="1419"/>
            <w:vAlign w:val="center"/>
          </w:tcPr>
          <w:p>
            <w:pPr>
              <w:spacing w:line="240" w:lineRule="auto" w:after="0"/>
              <w:ind w:firstLine="0"/>
            </w:pPr>
            <w:r>
              <w:rPr>
                <w:rFonts w:ascii="Times New Roman" w:hAnsi="Times New Roman"/>
                <w:b w:val="0"/>
                <w:i/>
                <w:sz w:val="14"/>
              </w:rPr>
              <w:t>+0.97</w:t>
            </w:r>
            <w:r>
              <w:rPr>
                <w:rFonts w:ascii="Times New Roman" w:hAnsi="Times New Roman"/>
                <w:b w:val="0"/>
                <w:i w:val="0"/>
                <w:sz w:val="14"/>
              </w:rPr>
              <w:t xml:space="preserve"> (</w:t>
            </w:r>
            <w:r>
              <w:rPr>
                <w:rFonts w:ascii="Times New Roman" w:hAnsi="Times New Roman"/>
                <w:b w:val="0"/>
                <w:i/>
                <w:sz w:val="14"/>
              </w:rPr>
              <w:t>+0.39</w:t>
            </w:r>
            <w:r>
              <w:rPr>
                <w:rFonts w:ascii="Times New Roman" w:hAnsi="Times New Roman"/>
                <w:b w:val="0"/>
                <w:i w:val="0"/>
                <w:sz w:val="14"/>
              </w:rPr>
              <w:t xml:space="preserve"> to </w:t>
            </w:r>
            <w:r>
              <w:rPr>
                <w:rFonts w:ascii="Times New Roman" w:hAnsi="Times New Roman"/>
                <w:b w:val="0"/>
                <w:i/>
                <w:sz w:val="14"/>
              </w:rPr>
              <w:t>+1.54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0.029</w:t>
            </w:r>
          </w:p>
        </w:tc>
        <w:tc>
          <w:tcPr>
            <w:tcW w:type="dxa" w:w="1419"/>
            <w:vAlign w:val="center"/>
          </w:tcPr>
          <w:p>
            <w:pPr>
              <w:spacing w:line="240" w:lineRule="auto" w:after="0"/>
              <w:ind w:firstLine="0"/>
            </w:pPr>
            <w:r>
              <w:rPr>
                <w:rFonts w:ascii="Times New Roman" w:hAnsi="Times New Roman"/>
                <w:b w:val="0"/>
                <w:i w:val="0"/>
                <w:sz w:val="14"/>
              </w:rPr>
              <w:t>Contradictory</w:t>
            </w:r>
          </w:p>
        </w:tc>
      </w:tr>
      <w:tr>
        <w:trPr>
          <w:cantSplit/>
        </w:trPr>
        <w:tc>
          <w:tcPr>
            <w:tcW w:type="dxa" w:w="1419"/>
            <w:vAlign w:val="center"/>
          </w:tcPr>
          <w:p>
            <w:pPr>
              <w:spacing w:line="240" w:lineRule="auto" w:after="0"/>
              <w:ind w:firstLine="0"/>
            </w:pPr>
            <w:r>
              <w:rPr>
                <w:rFonts w:ascii="Times New Roman" w:hAnsi="Times New Roman"/>
                <w:b w:val="0"/>
                <w:i w:val="0"/>
                <w:sz w:val="14"/>
              </w:rPr>
              <w:t>LITCHI008313</w:t>
            </w:r>
          </w:p>
        </w:tc>
        <w:tc>
          <w:tcPr>
            <w:tcW w:type="dxa" w:w="1419"/>
            <w:vAlign w:val="center"/>
          </w:tcPr>
          <w:p>
            <w:pPr>
              <w:spacing w:line="240" w:lineRule="auto" w:after="0"/>
              <w:ind w:firstLine="0"/>
            </w:pPr>
            <w:r>
              <w:rPr>
                <w:rFonts w:ascii="Times New Roman" w:hAnsi="Times New Roman"/>
                <w:b w:val="0"/>
                <w:i w:val="0"/>
                <w:sz w:val="14"/>
              </w:rPr>
              <w:t>Beta-glucosidase 44</w:t>
            </w:r>
          </w:p>
        </w:tc>
        <w:tc>
          <w:tcPr>
            <w:tcW w:type="dxa" w:w="1419"/>
            <w:vAlign w:val="center"/>
          </w:tcPr>
          <w:p>
            <w:pPr>
              <w:spacing w:line="240" w:lineRule="auto" w:after="0"/>
              <w:ind w:firstLine="0"/>
            </w:pPr>
            <w:r>
              <w:rPr>
                <w:rFonts w:ascii="Times New Roman" w:hAnsi="Times New Roman"/>
                <w:b w:val="0"/>
                <w:i/>
                <w:sz w:val="14"/>
              </w:rPr>
              <w:t>+0.90</w:t>
            </w:r>
          </w:p>
        </w:tc>
        <w:tc>
          <w:tcPr>
            <w:tcW w:type="dxa" w:w="1419"/>
            <w:vAlign w:val="center"/>
          </w:tcPr>
          <w:p>
            <w:pPr>
              <w:spacing w:line="240" w:lineRule="auto" w:after="0"/>
              <w:ind w:firstLine="0"/>
            </w:pPr>
            <w:r>
              <w:rPr>
                <w:rFonts w:ascii="Times New Roman" w:hAnsi="Times New Roman"/>
                <w:b w:val="0"/>
                <w:i w:val="0"/>
                <w:sz w:val="14"/>
              </w:rPr>
              <w:t>0.045</w:t>
            </w:r>
          </w:p>
        </w:tc>
        <w:tc>
          <w:tcPr>
            <w:tcW w:type="dxa" w:w="1419"/>
            <w:vAlign w:val="center"/>
          </w:tcPr>
          <w:p>
            <w:pPr>
              <w:spacing w:line="240" w:lineRule="auto" w:after="0"/>
              <w:ind w:firstLine="0"/>
            </w:pPr>
            <w:r>
              <w:rPr>
                <w:rFonts w:ascii="Times New Roman" w:hAnsi="Times New Roman"/>
                <w:b w:val="0"/>
                <w:i/>
                <w:sz w:val="14"/>
              </w:rPr>
              <w:t>-1.12</w:t>
            </w:r>
            <w:r>
              <w:rPr>
                <w:rFonts w:ascii="Times New Roman" w:hAnsi="Times New Roman"/>
                <w:b w:val="0"/>
                <w:i w:val="0"/>
                <w:sz w:val="14"/>
              </w:rPr>
              <w:t xml:space="preserve"> (</w:t>
            </w:r>
            <w:r>
              <w:rPr>
                <w:rFonts w:ascii="Times New Roman" w:hAnsi="Times New Roman"/>
                <w:b w:val="0"/>
                <w:i/>
                <w:sz w:val="14"/>
              </w:rPr>
              <w:t>-1.81</w:t>
            </w:r>
            <w:r>
              <w:rPr>
                <w:rFonts w:ascii="Times New Roman" w:hAnsi="Times New Roman"/>
                <w:b w:val="0"/>
                <w:i w:val="0"/>
                <w:sz w:val="14"/>
              </w:rPr>
              <w:t xml:space="preserve"> to </w:t>
            </w:r>
            <w:r>
              <w:rPr>
                <w:rFonts w:ascii="Times New Roman" w:hAnsi="Times New Roman"/>
                <w:b w:val="0"/>
                <w:i/>
                <w:sz w:val="14"/>
              </w:rPr>
              <w:t>-0.44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0.034</w:t>
            </w:r>
          </w:p>
        </w:tc>
        <w:tc>
          <w:tcPr>
            <w:tcW w:type="dxa" w:w="1419"/>
            <w:vAlign w:val="center"/>
          </w:tcPr>
          <w:p>
            <w:pPr>
              <w:spacing w:line="240" w:lineRule="auto" w:after="0"/>
              <w:ind w:firstLine="0"/>
            </w:pPr>
            <w:r>
              <w:rPr>
                <w:rFonts w:ascii="Times New Roman" w:hAnsi="Times New Roman"/>
                <w:b w:val="0"/>
                <w:i w:val="0"/>
                <w:sz w:val="14"/>
              </w:rPr>
              <w:t>Contradictory</w:t>
            </w:r>
          </w:p>
        </w:tc>
      </w:tr>
      <w:tr>
        <w:trPr>
          <w:cantSplit/>
        </w:trPr>
        <w:tc>
          <w:tcPr>
            <w:tcW w:type="dxa" w:w="1419"/>
            <w:vAlign w:val="center"/>
          </w:tcPr>
          <w:p>
            <w:pPr>
              <w:spacing w:line="240" w:lineRule="auto" w:after="0"/>
              <w:ind w:firstLine="0"/>
            </w:pPr>
            <w:r>
              <w:rPr>
                <w:rFonts w:ascii="Times New Roman" w:hAnsi="Times New Roman"/>
                <w:b w:val="0"/>
                <w:i w:val="0"/>
                <w:sz w:val="14"/>
              </w:rPr>
              <w:t>LITCHI001700</w:t>
            </w:r>
          </w:p>
        </w:tc>
        <w:tc>
          <w:tcPr>
            <w:tcW w:type="dxa" w:w="1419"/>
            <w:vAlign w:val="center"/>
          </w:tcPr>
          <w:p>
            <w:pPr>
              <w:spacing w:line="240" w:lineRule="auto" w:after="0"/>
              <w:ind w:firstLine="0"/>
            </w:pPr>
            <w:r>
              <w:rPr>
                <w:rFonts w:ascii="Times New Roman" w:hAnsi="Times New Roman"/>
                <w:b w:val="0"/>
                <w:i w:val="0"/>
                <w:sz w:val="14"/>
              </w:rPr>
              <w:t>Fe(II)/2-OG-dependent dioxygenase 4</w:t>
            </w:r>
          </w:p>
        </w:tc>
        <w:tc>
          <w:tcPr>
            <w:tcW w:type="dxa" w:w="1419"/>
            <w:vAlign w:val="center"/>
          </w:tcPr>
          <w:p>
            <w:pPr>
              <w:spacing w:line="240" w:lineRule="auto" w:after="0"/>
              <w:ind w:firstLine="0"/>
            </w:pPr>
            <w:r>
              <w:rPr>
                <w:rFonts w:ascii="Times New Roman" w:hAnsi="Times New Roman"/>
                <w:b w:val="0"/>
                <w:i/>
                <w:sz w:val="14"/>
              </w:rPr>
              <w:t>+3.70</w:t>
            </w:r>
          </w:p>
        </w:tc>
        <w:tc>
          <w:tcPr>
            <w:tcW w:type="dxa" w:w="1419"/>
            <w:vAlign w:val="center"/>
          </w:tcPr>
          <w:p>
            <w:pPr>
              <w:spacing w:line="240" w:lineRule="auto" w:after="0"/>
              <w:ind w:firstLine="0"/>
            </w:pPr>
            <w:r>
              <w:rPr>
                <w:rFonts w:ascii="Times New Roman" w:hAnsi="Times New Roman"/>
                <w:b w:val="0"/>
                <w:i w:val="0"/>
                <w:sz w:val="14"/>
              </w:rPr>
              <w:t>0.033</w:t>
            </w:r>
          </w:p>
        </w:tc>
        <w:tc>
          <w:tcPr>
            <w:tcW w:type="dxa" w:w="1419"/>
            <w:vAlign w:val="center"/>
          </w:tcPr>
          <w:p>
            <w:pPr>
              <w:spacing w:line="240" w:lineRule="auto" w:after="0"/>
              <w:ind w:firstLine="0"/>
            </w:pPr>
            <w:r>
              <w:rPr>
                <w:rFonts w:ascii="Times New Roman" w:hAnsi="Times New Roman"/>
                <w:b w:val="0"/>
                <w:i/>
                <w:sz w:val="14"/>
              </w:rPr>
              <w:t>-2.00</w:t>
            </w:r>
            <w:r>
              <w:rPr>
                <w:rFonts w:ascii="Times New Roman" w:hAnsi="Times New Roman"/>
                <w:b w:val="0"/>
                <w:i w:val="0"/>
                <w:sz w:val="14"/>
              </w:rPr>
              <w:t xml:space="preserve"> (</w:t>
            </w:r>
            <w:r>
              <w:rPr>
                <w:rFonts w:ascii="Times New Roman" w:hAnsi="Times New Roman"/>
                <w:b w:val="0"/>
                <w:i/>
                <w:sz w:val="14"/>
              </w:rPr>
              <w:t>-3.24</w:t>
            </w:r>
            <w:r>
              <w:rPr>
                <w:rFonts w:ascii="Times New Roman" w:hAnsi="Times New Roman"/>
                <w:b w:val="0"/>
                <w:i w:val="0"/>
                <w:sz w:val="14"/>
              </w:rPr>
              <w:t xml:space="preserve"> to </w:t>
            </w:r>
            <w:r>
              <w:rPr>
                <w:rFonts w:ascii="Times New Roman" w:hAnsi="Times New Roman"/>
                <w:b w:val="0"/>
                <w:i/>
                <w:sz w:val="14"/>
              </w:rPr>
              <w:t>-0.77</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0.035</w:t>
            </w:r>
          </w:p>
        </w:tc>
        <w:tc>
          <w:tcPr>
            <w:tcW w:type="dxa" w:w="1419"/>
            <w:vAlign w:val="center"/>
          </w:tcPr>
          <w:p>
            <w:pPr>
              <w:spacing w:line="240" w:lineRule="auto" w:after="0"/>
              <w:ind w:firstLine="0"/>
            </w:pPr>
            <w:r>
              <w:rPr>
                <w:rFonts w:ascii="Times New Roman" w:hAnsi="Times New Roman"/>
                <w:b w:val="0"/>
                <w:i w:val="0"/>
                <w:sz w:val="14"/>
              </w:rPr>
              <w:t>Contradictory</w:t>
            </w:r>
          </w:p>
        </w:tc>
      </w:tr>
    </w:tbl>
    <w:p>
      <w:pPr>
        <w:pStyle w:val="Heading2"/>
        <w:pageBreakBefore w:val="0"/>
      </w:pPr>
      <w:r>
        <w:rPr>
          <w:rFonts w:ascii="Times New Roman" w:hAnsi="Times New Roman"/>
          <w:b w:val="0"/>
          <w:i w:val="0"/>
        </w:rPr>
        <w:t>Pathway and signature transport was weak and strongly context-dependent</w:t>
      </w:r>
    </w:p>
    <w:p>
      <w:pPr>
        <w:pageBreakBefore w:val="0"/>
      </w:pPr>
      <w:r>
        <w:rPr>
          <w:rFonts w:ascii="Times New Roman" w:hAnsi="Times New Roman"/>
          <w:b w:val="0"/>
          <w:i w:val="0"/>
        </w:rPr>
        <w:t xml:space="preserve">None of the six frozen pathways, including the internally robust circadian-rhythm pathway, passed the external pathway gates in PRJNA450886 (Figure 4A). The frozen signed signature over the 206 discovery genes behaved in a strongly context-dependent way (Figure 4B). At the primary 24-h contrast the signature score was indistinguishable from zero (estimate 0.109, 95% CI </w:t>
      </w:r>
      <w:r>
        <w:rPr>
          <w:rFonts w:ascii="Times New Roman" w:hAnsi="Times New Roman"/>
          <w:b w:val="0"/>
          <w:i/>
        </w:rPr>
        <w:t>-0.079</w:t>
      </w:r>
      <w:r>
        <w:rPr>
          <w:rFonts w:ascii="Times New Roman" w:hAnsi="Times New Roman"/>
          <w:b w:val="0"/>
          <w:i w:val="0"/>
        </w:rPr>
        <w:t xml:space="preserve"> to 0.297, </w:t>
      </w:r>
      <w:r>
        <w:rPr>
          <w:rFonts w:ascii="Times New Roman" w:hAnsi="Times New Roman"/>
          <w:b w:val="0"/>
          <w:i/>
        </w:rPr>
        <w:t>q=0.349</w:t>
      </w:r>
      <w:r>
        <w:rPr>
          <w:rFonts w:ascii="Times New Roman" w:hAnsi="Times New Roman"/>
          <w:b w:val="0"/>
          <w:i w:val="0"/>
        </w:rPr>
        <w:t xml:space="preserve">), and at 48 h it was significantly </w:t>
      </w:r>
      <w:r>
        <w:rPr>
          <w:rFonts w:ascii="Times New Roman" w:hAnsi="Times New Roman"/>
          <w:b w:val="0"/>
          <w:i/>
        </w:rPr>
        <w:t>negative</w:t>
      </w:r>
      <w:r>
        <w:rPr>
          <w:rFonts w:ascii="Times New Roman" w:hAnsi="Times New Roman"/>
          <w:b w:val="0"/>
          <w:i w:val="0"/>
        </w:rPr>
        <w:t xml:space="preserve"> (</w:t>
      </w:r>
      <w:r>
        <w:rPr>
          <w:rFonts w:ascii="Times New Roman" w:hAnsi="Times New Roman"/>
          <w:b w:val="0"/>
          <w:i/>
        </w:rPr>
        <w:t>-0.240</w:t>
      </w:r>
      <w:r>
        <w:rPr>
          <w:rFonts w:ascii="Times New Roman" w:hAnsi="Times New Roman"/>
          <w:b w:val="0"/>
          <w:i w:val="0"/>
        </w:rPr>
        <w:t xml:space="preserve">, 95% CI </w:t>
      </w:r>
      <w:r>
        <w:rPr>
          <w:rFonts w:ascii="Times New Roman" w:hAnsi="Times New Roman"/>
          <w:b w:val="0"/>
          <w:i/>
        </w:rPr>
        <w:t>-0.428</w:t>
      </w:r>
      <w:r>
        <w:rPr>
          <w:rFonts w:ascii="Times New Roman" w:hAnsi="Times New Roman"/>
          <w:b w:val="0"/>
          <w:i w:val="0"/>
        </w:rPr>
        <w:t xml:space="preserve"> to </w:t>
      </w:r>
      <w:r>
        <w:rPr>
          <w:rFonts w:ascii="Times New Roman" w:hAnsi="Times New Roman"/>
          <w:b w:val="0"/>
          <w:i/>
        </w:rPr>
        <w:t>-0.052</w:t>
      </w:r>
      <w:r>
        <w:rPr>
          <w:rFonts w:ascii="Times New Roman" w:hAnsi="Times New Roman"/>
          <w:b w:val="0"/>
          <w:i w:val="0"/>
        </w:rPr>
        <w:t xml:space="preserve">, </w:t>
      </w:r>
      <w:r>
        <w:rPr>
          <w:rFonts w:ascii="Times New Roman" w:hAnsi="Times New Roman"/>
          <w:b w:val="0"/>
          <w:i/>
        </w:rPr>
        <w:t>q=0.043</w:t>
      </w:r>
      <w:r>
        <w:rPr>
          <w:rFonts w:ascii="Times New Roman" w:hAnsi="Times New Roman"/>
          <w:b w:val="0"/>
          <w:i w:val="0"/>
        </w:rPr>
        <w:t xml:space="preserve">), a sign reversal relative to discovery. In the generic-transfer study the signature tracked infection positively in leaf (0.107, </w:t>
      </w:r>
      <w:r>
        <w:rPr>
          <w:rFonts w:ascii="Times New Roman" w:hAnsi="Times New Roman"/>
          <w:b w:val="0"/>
          <w:i/>
        </w:rPr>
        <w:t>q=0.0015</w:t>
      </w:r>
      <w:r>
        <w:rPr>
          <w:rFonts w:ascii="Times New Roman" w:hAnsi="Times New Roman"/>
          <w:b w:val="0"/>
          <w:i w:val="0"/>
        </w:rPr>
        <w:t>) but negatively in fruit (</w:t>
      </w:r>
      <w:r>
        <w:rPr>
          <w:rFonts w:ascii="Times New Roman" w:hAnsi="Times New Roman"/>
          <w:b w:val="0"/>
          <w:i/>
        </w:rPr>
        <w:t>-0.181</w:t>
      </w:r>
      <w:r>
        <w:rPr>
          <w:rFonts w:ascii="Times New Roman" w:hAnsi="Times New Roman"/>
          <w:b w:val="0"/>
          <w:i w:val="0"/>
        </w:rPr>
        <w:t xml:space="preserve">, </w:t>
      </w:r>
      <w:r>
        <w:rPr>
          <w:rFonts w:ascii="Times New Roman" w:hAnsi="Times New Roman"/>
          <w:b w:val="0"/>
          <w:i/>
        </w:rPr>
        <w:t>q&lt;0.001</w:t>
      </w:r>
      <w:r>
        <w:rPr>
          <w:rFonts w:ascii="Times New Roman" w:hAnsi="Times New Roman"/>
          <w:b w:val="0"/>
          <w:i w:val="0"/>
        </w:rPr>
        <w:t xml:space="preserve">), with a significant leaf-minus-fruit interaction (0.289, </w:t>
      </w:r>
      <w:r>
        <w:rPr>
          <w:rFonts w:ascii="Times New Roman" w:hAnsi="Times New Roman"/>
          <w:b w:val="0"/>
          <w:i/>
        </w:rPr>
        <w:t>q&lt;0.001</w:t>
      </w:r>
      <w:r>
        <w:rPr>
          <w:rFonts w:ascii="Times New Roman" w:hAnsi="Times New Roman"/>
          <w:b w:val="0"/>
          <w:i w:val="0"/>
        </w:rPr>
        <w:t>).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keepNext/>
        <w:pageBreakBefore/>
        <w:ind w:firstLine="0"/>
        <w:jc w:val="center"/>
      </w:pPr>
      <w:r>
        <w:drawing>
          <wp:inline xmlns:a="http://schemas.openxmlformats.org/drawingml/2006/main" xmlns:pic="http://schemas.openxmlformats.org/drawingml/2006/picture">
            <wp:extent cx="6172200" cy="5355570"/>
            <wp:docPr id="4" name="Picture 4" descr="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lt;0.05. The quarantined PRJNA1090613 estimate is in Figure~S3."/>
            <wp:cNvGraphicFramePr>
              <a:graphicFrameLocks noChangeAspect="1"/>
            </wp:cNvGraphicFramePr>
            <a:graphic>
              <a:graphicData uri="http://schemas.openxmlformats.org/drawingml/2006/picture">
                <pic:pic>
                  <pic:nvPicPr>
                    <pic:cNvPr id="0" name="figure4_pathways_signatures.png"/>
                    <pic:cNvPicPr/>
                  </pic:nvPicPr>
                  <pic:blipFill>
                    <a:blip r:embed="rId13"/>
                    <a:stretch>
                      <a:fillRect/>
                    </a:stretch>
                  </pic:blipFill>
                  <pic:spPr>
                    <a:xfrm>
                      <a:off x="0" y="0"/>
                      <a:ext cx="6172200" cy="5355570"/>
                    </a:xfrm>
                    <a:prstGeom prst="rect"/>
                  </pic:spPr>
                </pic:pic>
              </a:graphicData>
            </a:graphic>
          </wp:inline>
        </w:drawing>
      </w:r>
    </w:p>
    <w:p>
      <w:pPr>
        <w:pStyle w:val="Caption"/>
      </w:pPr>
      <w:r>
        <w:rPr>
          <w:b/>
        </w:rPr>
        <w:t xml:space="preserve">Figure 4. </w:t>
      </w:r>
      <w:r>
        <w:rPr>
          <w:rFonts w:ascii="Times New Roman" w:hAnsi="Times New Roman"/>
          <w:b/>
          <w:i w:val="0"/>
          <w:sz w:val="18"/>
        </w:rPr>
        <w:t>Frozen pathway and signature evaluation.</w:t>
      </w:r>
      <w:r>
        <w:rPr>
          <w:rFonts w:ascii="Times New Roman" w:hAnsi="Times New Roman"/>
          <w:b w:val="0"/>
          <w:i w:val="0"/>
          <w:sz w:val="18"/>
        </w:rPr>
        <w:t xml:space="preserve">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w:t>
      </w:r>
      <w:r>
        <w:rPr>
          <w:rFonts w:ascii="Times New Roman" w:hAnsi="Times New Roman"/>
          <w:b w:val="0"/>
          <w:i/>
          <w:sz w:val="18"/>
        </w:rPr>
        <w:t>q&lt;0.05</w:t>
      </w:r>
      <w:r>
        <w:rPr>
          <w:rFonts w:ascii="Times New Roman" w:hAnsi="Times New Roman"/>
          <w:b w:val="0"/>
          <w:i w:val="0"/>
          <w:sz w:val="18"/>
        </w:rPr>
        <w:t>. The quarantined PRJNA1090613 estimate is in Figure S3.</w:t>
      </w:r>
    </w:p>
    <w:p>
      <w:pPr>
        <w:pStyle w:val="Heading2"/>
        <w:pageBreakBefore w:val="0"/>
      </w:pPr>
      <w:r>
        <w:rPr>
          <w:rFonts w:ascii="Times New Roman" w:hAnsi="Times New Roman"/>
          <w:b w:val="0"/>
          <w:i w:val="0"/>
        </w:rPr>
        <w:t>Conditional transcript-usage discovery remained internal</w:t>
      </w:r>
    </w:p>
    <w:p>
      <w:pPr>
        <w:pageBreakBefore w:val="0"/>
      </w:pPr>
      <w:r>
        <w:rPr>
          <w:rFonts w:ascii="Times New Roman" w:hAnsi="Times New Roman"/>
          <w:b w:val="0"/>
          <w:i w:val="0"/>
        </w:rPr>
        <w:t>Differential transcript usage was analyzed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(Figure 5A). External follow-up preserved the role separation of the cohorts (Figure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standardized. Transcript-level rewiring between cultivars therefore remains an internally supported, externally unconfirmed layer of the resource.</w:t>
      </w:r>
    </w:p>
    <w:p>
      <w:pPr>
        <w:keepNext/>
        <w:pageBreakBefore/>
        <w:ind w:firstLine="0"/>
        <w:jc w:val="center"/>
      </w:pPr>
      <w:r>
        <w:drawing>
          <wp:inline xmlns:a="http://schemas.openxmlformats.org/drawingml/2006/main" xmlns:pic="http://schemas.openxmlformats.org/drawingml/2006/picture">
            <wp:extent cx="6172200" cy="4208965"/>
            <wp:docPr id="5" name="Picture 5" descr="Conditional transcript usage. (A) Discovery gate and event counts. (B) External follow-up of the 225 discovery events, separated by prespecified study role."/>
            <wp:cNvGraphicFramePr>
              <a:graphicFrameLocks noChangeAspect="1"/>
            </wp:cNvGraphicFramePr>
            <a:graphic>
              <a:graphicData uri="http://schemas.openxmlformats.org/drawingml/2006/picture">
                <pic:pic>
                  <pic:nvPicPr>
                    <pic:cNvPr id="0" name="figure5_transcript_usage.png"/>
                    <pic:cNvPicPr/>
                  </pic:nvPicPr>
                  <pic:blipFill>
                    <a:blip r:embed="rId14"/>
                    <a:stretch>
                      <a:fillRect/>
                    </a:stretch>
                  </pic:blipFill>
                  <pic:spPr>
                    <a:xfrm>
                      <a:off x="0" y="0"/>
                      <a:ext cx="6172200" cy="4208965"/>
                    </a:xfrm>
                    <a:prstGeom prst="rect"/>
                  </pic:spPr>
                </pic:pic>
              </a:graphicData>
            </a:graphic>
          </wp:inline>
        </w:drawing>
      </w:r>
    </w:p>
    <w:p>
      <w:pPr>
        <w:pStyle w:val="Caption"/>
      </w:pPr>
      <w:r>
        <w:rPr>
          <w:b/>
        </w:rPr>
        <w:t xml:space="preserve">Figure 5. </w:t>
      </w:r>
      <w:r>
        <w:rPr>
          <w:rFonts w:ascii="Times New Roman" w:hAnsi="Times New Roman"/>
          <w:b/>
          <w:i w:val="0"/>
          <w:sz w:val="18"/>
        </w:rPr>
        <w:t>Conditional transcript usage.</w:t>
      </w:r>
      <w:r>
        <w:rPr>
          <w:rFonts w:ascii="Times New Roman" w:hAnsi="Times New Roman"/>
          <w:b w:val="0"/>
          <w:i w:val="0"/>
          <w:sz w:val="18"/>
        </w:rPr>
        <w:t xml:space="preserve"> (A) Discovery gate and event counts. (B) External follow-up of the 225 discovery events, separated by prespecified study role.</w:t>
      </w:r>
    </w:p>
    <w:p>
      <w:pPr>
        <w:pStyle w:val="Heading2"/>
        <w:pageBreakBefore w:val="0"/>
      </w:pPr>
      <w:r>
        <w:rPr>
          <w:rFonts w:ascii="Times New Roman" w:hAnsi="Times New Roman"/>
          <w:b w:val="0"/>
          <w:i w:val="0"/>
        </w:rPr>
        <w:t>Orthogonal evidence: informative nulls and reference-ecosystem gaps</w:t>
      </w:r>
    </w:p>
    <w:p>
      <w:pPr>
        <w:pageBreakBefore w:val="0"/>
      </w:pPr>
      <w:r>
        <w:rPr>
          <w:rFonts w:ascii="Times New Roman" w:hAnsi="Times New Roman"/>
          <w:b w:val="0"/>
          <w:i w:val="0"/>
        </w:rPr>
        <w:t xml:space="preserve">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(Figure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(Figure 6B). Small-RNA coherence was not testable because the frozen PmiREN reference contained no exact </w:t>
      </w:r>
      <w:r>
        <w:rPr>
          <w:rFonts w:ascii="Times New Roman" w:hAnsi="Times New Roman"/>
          <w:b w:val="0"/>
          <w:i/>
        </w:rPr>
        <w:t>Litchi</w:t>
      </w:r>
      <w:r>
        <w:rPr>
          <w:rFonts w:ascii="Times New Roman" w:hAnsi="Times New Roman"/>
          <w:b w:val="0"/>
          <w:i w:val="0"/>
        </w:rPr>
        <w:t xml:space="preserve"> entries.</w:t>
      </w:r>
    </w:p>
    <w:p>
      <w:pPr>
        <w:pageBreakBefore w:val="0"/>
      </w:pPr>
      <w:r>
        <w:rPr>
          <w:rFonts w:ascii="Times New Roman" w:hAnsi="Times New Roman"/>
          <w:b w:val="0"/>
          <w:i w:val="0"/>
        </w:rPr>
        <w:t>A separate post hoc controlled comparison held the published 18-promoter totals, six explicitly reported exact-element strings plus one standard PlantCARE TCA-element variant, scoring rule, and multiplicity correction fixed while changing only the background (Supplementary S15). The 100,000-set randomized-GC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analyzed accession, including the primary external study itself [5], remain registered as prior interpretation rather than independent support.</w:t>
      </w:r>
    </w:p>
    <w:p>
      <w:pPr>
        <w:keepNext/>
        <w:pageBreakBefore/>
        <w:ind w:firstLine="0"/>
        <w:jc w:val="center"/>
      </w:pPr>
      <w:r>
        <w:drawing>
          <wp:inline xmlns:a="http://schemas.openxmlformats.org/drawingml/2006/main" xmlns:pic="http://schemas.openxmlformats.org/drawingml/2006/picture">
            <wp:extent cx="6172200" cy="4610158"/>
            <wp:docPr id="6" name="Picture 6" descr="Orthogonal evidence and final tiers. (A) Annotation status of the 206 QC-retained genes. (B) Registered promoter-motif robustness and the small-RNA reference gate. (C) Deterministic final tiers over all 268 frozen entities."/>
            <wp:cNvGraphicFramePr>
              <a:graphicFrameLocks noChangeAspect="1"/>
            </wp:cNvGraphicFramePr>
            <a:graphic>
              <a:graphicData uri="http://schemas.openxmlformats.org/drawingml/2006/picture">
                <pic:pic>
                  <pic:nvPicPr>
                    <pic:cNvPr id="0" name="figure6_orthogonal_tiers.png"/>
                    <pic:cNvPicPr/>
                  </pic:nvPicPr>
                  <pic:blipFill>
                    <a:blip r:embed="rId15"/>
                    <a:stretch>
                      <a:fillRect/>
                    </a:stretch>
                  </pic:blipFill>
                  <pic:spPr>
                    <a:xfrm>
                      <a:off x="0" y="0"/>
                      <a:ext cx="6172200" cy="4610158"/>
                    </a:xfrm>
                    <a:prstGeom prst="rect"/>
                  </pic:spPr>
                </pic:pic>
              </a:graphicData>
            </a:graphic>
          </wp:inline>
        </w:drawing>
      </w:r>
    </w:p>
    <w:p>
      <w:pPr>
        <w:pStyle w:val="Caption"/>
      </w:pPr>
      <w:r>
        <w:rPr>
          <w:b/>
        </w:rPr>
        <w:t xml:space="preserve">Figure 6. </w:t>
      </w:r>
      <w:r>
        <w:rPr>
          <w:rFonts w:ascii="Times New Roman" w:hAnsi="Times New Roman"/>
          <w:b/>
          <w:i w:val="0"/>
          <w:sz w:val="18"/>
        </w:rPr>
        <w:t>Orthogonal evidence and final tiers.</w:t>
      </w:r>
      <w:r>
        <w:rPr>
          <w:rFonts w:ascii="Times New Roman" w:hAnsi="Times New Roman"/>
          <w:b w:val="0"/>
          <w:i w:val="0"/>
          <w:sz w:val="18"/>
        </w:rPr>
        <w:t xml:space="preserve"> (A) Annotation status of the 206 QC-retained genes. (B) Registered promoter-motif robustness and the small-RNA reference gate. (C) Deterministic final tiers over all 268 frozen entities.</w:t>
      </w:r>
    </w:p>
    <w:p>
      <w:pPr>
        <w:pStyle w:val="Heading2"/>
        <w:pageBreakBefore w:val="0"/>
      </w:pPr>
      <w:r>
        <w:rPr>
          <w:rFonts w:ascii="Times New Roman" w:hAnsi="Times New Roman"/>
          <w:b w:val="0"/>
          <w:i w:val="0"/>
        </w:rPr>
        <w:t>Deterministic integration: an empty top tier, twelve Tier B genes, and visible retirements</w:t>
      </w:r>
    </w:p>
    <w:p>
      <w:pPr>
        <w:pageBreakBefore w:val="0"/>
      </w:pPr>
      <w:r>
        <w:rPr>
          <w:rFonts w:ascii="Times New Roman" w:hAnsi="Times New Roman"/>
          <w:b w:val="0"/>
          <w:i w:val="0"/>
        </w:rP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(Figure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pPr>
        <w:pageBreakBefore w:val="0"/>
      </w:pPr>
      <w:r>
        <w:rPr>
          <w:rFonts w:ascii="Times New Roman" w:hAnsi="Times New Roman"/>
          <w:b w:val="0"/>
          <w:i w:val="0"/>
        </w:rPr>
        <w:t xml:space="preserve">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w:t>
      </w:r>
      <w:r>
        <w:rPr>
          <w:rFonts w:ascii="Times New Roman" w:hAnsi="Times New Roman"/>
          <w:b w:val="0"/>
          <w:i/>
        </w:rPr>
        <w:t>Arabidopsis</w:t>
      </w:r>
      <w:r>
        <w:rPr>
          <w:rFonts w:ascii="Times New Roman" w:hAnsi="Times New Roman"/>
          <w:b w:val="0"/>
          <w:i w:val="0"/>
        </w:rPr>
        <w:t xml:space="preserve">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pStyle w:val="Caption"/>
        <w:keepNext/>
        <w:pageBreakBefore w:val="0"/>
      </w:pPr>
      <w:r>
        <w:rPr>
          <w:b/>
        </w:rPr>
        <w:t xml:space="preserve">Table 4. </w:t>
      </w:r>
      <w:r>
        <w:rPr>
          <w:rFonts w:ascii="Times New Roman" w:hAnsi="Times New Roman"/>
          <w:b/>
          <w:i w:val="0"/>
          <w:sz w:val="18"/>
        </w:rPr>
        <w:t>The twelve Tier B genes: internally robust genome-wide statistical candidates with direction-consistent but sub-threshold, or non-measurable, primary external evidence.</w:t>
      </w:r>
      <w:r>
        <w:rPr>
          <w:rFonts w:ascii="Times New Roman" w:hAnsi="Times New Roman"/>
          <w:b w:val="0"/>
          <w:i w:val="0"/>
          <w:sz w:val="18"/>
        </w:rPr>
        <w:t xml:space="preserve"> Discovery effects are interaction log2 fold changes (Yurong1 response minus Guiwei response); positive values indicate a stronger infection response in Yurong1. External columns give the primary 24-h pericarp estimate with 95% confidence interval and family-adjusted </w:t>
      </w:r>
      <w:r>
        <w:rPr>
          <w:rFonts w:ascii="Times New Roman" w:hAnsi="Times New Roman"/>
          <w:b w:val="0"/>
          <w:i/>
          <w:sz w:val="18"/>
        </w:rPr>
        <w:t>q</w:t>
      </w:r>
      <w:r>
        <w:rPr>
          <w:rFonts w:ascii="Times New Roman" w:hAnsi="Times New Roman"/>
          <w:b w:val="0"/>
          <w:i w:val="0"/>
          <w:sz w:val="18"/>
        </w:rPr>
        <w:t>; NM denotes genes not measurable in the external cohort.</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shd w:fill="D9E2F3"/>
          </w:tcPr>
          <w:p>
            <w:pPr>
              <w:spacing w:line="240" w:lineRule="auto" w:after="0"/>
              <w:ind w:firstLine="0"/>
            </w:pPr>
            <w:r>
              <w:rPr>
                <w:rFonts w:ascii="Times New Roman" w:hAnsi="Times New Roman"/>
                <w:b/>
                <w:i w:val="0"/>
                <w:sz w:val="14"/>
              </w:rPr>
              <w:t>Gene</w:t>
            </w:r>
          </w:p>
        </w:tc>
        <w:tc>
          <w:tcPr>
            <w:tcW w:type="dxa" w:w="1656"/>
            <w:vAlign w:val="center"/>
            <w:shd w:fill="D9E2F3"/>
          </w:tcPr>
          <w:p>
            <w:pPr>
              <w:spacing w:line="240" w:lineRule="auto" w:after="0"/>
              <w:ind w:firstLine="0"/>
            </w:pPr>
            <w:r>
              <w:rPr>
                <w:rFonts w:ascii="Times New Roman" w:hAnsi="Times New Roman"/>
                <w:b/>
                <w:i w:val="0"/>
                <w:sz w:val="14"/>
              </w:rPr>
              <w:t>Family-level annotation</w:t>
            </w:r>
          </w:p>
        </w:tc>
        <w:tc>
          <w:tcPr>
            <w:tcW w:type="dxa" w:w="1656"/>
            <w:vAlign w:val="center"/>
            <w:shd w:fill="D9E2F3"/>
          </w:tcPr>
          <w:p>
            <w:pPr>
              <w:spacing w:line="240" w:lineRule="auto" w:after="0"/>
              <w:ind w:firstLine="0"/>
            </w:pPr>
            <w:r>
              <w:rPr>
                <w:rFonts w:ascii="Times New Roman" w:hAnsi="Times New Roman"/>
                <w:b/>
                <w:i w:val="0"/>
                <w:sz w:val="14"/>
              </w:rPr>
              <w:t>Disc. log2FC</w:t>
            </w:r>
          </w:p>
        </w:tc>
        <w:tc>
          <w:tcPr>
            <w:tcW w:type="dxa" w:w="1656"/>
            <w:vAlign w:val="center"/>
            <w:shd w:fill="D9E2F3"/>
          </w:tcPr>
          <w:p>
            <w:pPr>
              <w:spacing w:line="240" w:lineRule="auto" w:after="0"/>
              <w:ind w:firstLine="0"/>
            </w:pPr>
            <w:r>
              <w:rPr>
                <w:rFonts w:ascii="Times New Roman" w:hAnsi="Times New Roman"/>
                <w:b/>
                <w:i w:val="0"/>
                <w:sz w:val="14"/>
              </w:rPr>
              <w:t xml:space="preserve">Genome-wide </w:t>
            </w:r>
            <w:r>
              <w:rPr>
                <w:rFonts w:ascii="Times New Roman" w:hAnsi="Times New Roman"/>
                <w:b/>
                <w:i/>
                <w:sz w:val="14"/>
              </w:rPr>
              <w:t>q</w:t>
            </w:r>
          </w:p>
        </w:tc>
        <w:tc>
          <w:tcPr>
            <w:tcW w:type="dxa" w:w="1656"/>
            <w:vAlign w:val="center"/>
            <w:shd w:fill="D9E2F3"/>
          </w:tcPr>
          <w:p>
            <w:pPr>
              <w:spacing w:line="240" w:lineRule="auto" w:after="0"/>
              <w:ind w:firstLine="0"/>
            </w:pPr>
            <w:r>
              <w:rPr>
                <w:rFonts w:ascii="Times New Roman" w:hAnsi="Times New Roman"/>
                <w:b/>
                <w:i w:val="0"/>
                <w:sz w:val="14"/>
              </w:rPr>
              <w:t>Ext. log2FC (95% CI)</w:t>
            </w:r>
          </w:p>
        </w:tc>
        <w:tc>
          <w:tcPr>
            <w:tcW w:type="dxa" w:w="1656"/>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r>
      <w:tr>
        <w:trPr>
          <w:cantSplit/>
        </w:trPr>
        <w:tc>
          <w:tcPr>
            <w:tcW w:type="dxa" w:w="1656"/>
            <w:vAlign w:val="center"/>
          </w:tcPr>
          <w:p>
            <w:pPr>
              <w:spacing w:line="240" w:lineRule="auto" w:after="0"/>
              <w:ind w:firstLine="0"/>
            </w:pPr>
            <w:r>
              <w:rPr>
                <w:rFonts w:ascii="Times New Roman" w:hAnsi="Times New Roman"/>
                <w:b w:val="0"/>
                <w:i w:val="0"/>
                <w:sz w:val="14"/>
              </w:rPr>
              <w:t>LITCHI014613</w:t>
            </w:r>
          </w:p>
        </w:tc>
        <w:tc>
          <w:tcPr>
            <w:tcW w:type="dxa" w:w="1656"/>
            <w:vAlign w:val="center"/>
          </w:tcPr>
          <w:p>
            <w:pPr>
              <w:spacing w:line="240" w:lineRule="auto" w:after="0"/>
              <w:ind w:firstLine="0"/>
            </w:pPr>
            <w:r>
              <w:rPr>
                <w:rFonts w:ascii="Times New Roman" w:hAnsi="Times New Roman"/>
                <w:b w:val="0"/>
                <w:i w:val="0"/>
                <w:sz w:val="14"/>
              </w:rPr>
              <w:t>Sugar transporter ERD6-like 16</w:t>
            </w:r>
          </w:p>
        </w:tc>
        <w:tc>
          <w:tcPr>
            <w:tcW w:type="dxa" w:w="1656"/>
            <w:vAlign w:val="center"/>
          </w:tcPr>
          <w:p>
            <w:pPr>
              <w:spacing w:line="240" w:lineRule="auto" w:after="0"/>
              <w:ind w:firstLine="0"/>
            </w:pPr>
            <w:r>
              <w:rPr>
                <w:rFonts w:ascii="Times New Roman" w:hAnsi="Times New Roman"/>
                <w:b w:val="0"/>
                <w:i/>
                <w:sz w:val="14"/>
              </w:rPr>
              <w:t>+3.69</w:t>
            </w:r>
          </w:p>
        </w:tc>
        <w:tc>
          <w:tcPr>
            <w:tcW w:type="dxa" w:w="1656"/>
            <w:vAlign w:val="center"/>
          </w:tcPr>
          <w:p>
            <w:pPr>
              <w:spacing w:line="240" w:lineRule="auto" w:after="0"/>
              <w:ind w:firstLine="0"/>
            </w:pPr>
            <w:r>
              <w:rPr>
                <w:rFonts w:ascii="Times New Roman" w:hAnsi="Times New Roman"/>
                <w:b w:val="0"/>
                <w:i/>
                <w:sz w:val="14"/>
              </w:rPr>
              <w:t>8.7×10⁻⁶</w:t>
            </w:r>
          </w:p>
        </w:tc>
        <w:tc>
          <w:tcPr>
            <w:tcW w:type="dxa" w:w="1656"/>
            <w:vAlign w:val="center"/>
          </w:tcPr>
          <w:p>
            <w:pPr>
              <w:spacing w:line="240" w:lineRule="auto" w:after="0"/>
              <w:ind w:firstLine="0"/>
            </w:pPr>
            <w:r>
              <w:rPr>
                <w:rFonts w:ascii="Times New Roman" w:hAnsi="Times New Roman"/>
                <w:b w:val="0"/>
                <w:i/>
                <w:sz w:val="14"/>
              </w:rPr>
              <w:t>+0.60</w:t>
            </w:r>
            <w:r>
              <w:rPr>
                <w:rFonts w:ascii="Times New Roman" w:hAnsi="Times New Roman"/>
                <w:b w:val="0"/>
                <w:i w:val="0"/>
                <w:sz w:val="14"/>
              </w:rPr>
              <w:t xml:space="preserve"> (</w:t>
            </w:r>
            <w:r>
              <w:rPr>
                <w:rFonts w:ascii="Times New Roman" w:hAnsi="Times New Roman"/>
                <w:b w:val="0"/>
                <w:i/>
                <w:sz w:val="14"/>
              </w:rPr>
              <w:t>-0.04</w:t>
            </w:r>
            <w:r>
              <w:rPr>
                <w:rFonts w:ascii="Times New Roman" w:hAnsi="Times New Roman"/>
                <w:b w:val="0"/>
                <w:i w:val="0"/>
                <w:sz w:val="14"/>
              </w:rPr>
              <w:t xml:space="preserve"> to </w:t>
            </w:r>
            <w:r>
              <w:rPr>
                <w:rFonts w:ascii="Times New Roman" w:hAnsi="Times New Roman"/>
                <w:b w:val="0"/>
                <w:i/>
                <w:sz w:val="14"/>
              </w:rPr>
              <w:t>+1.25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0.27</w:t>
            </w:r>
          </w:p>
        </w:tc>
      </w:tr>
      <w:tr>
        <w:trPr>
          <w:cantSplit/>
        </w:trPr>
        <w:tc>
          <w:tcPr>
            <w:tcW w:type="dxa" w:w="1656"/>
            <w:vAlign w:val="center"/>
          </w:tcPr>
          <w:p>
            <w:pPr>
              <w:spacing w:line="240" w:lineRule="auto" w:after="0"/>
              <w:ind w:firstLine="0"/>
            </w:pPr>
            <w:r>
              <w:rPr>
                <w:rFonts w:ascii="Times New Roman" w:hAnsi="Times New Roman"/>
                <w:b w:val="0"/>
                <w:i w:val="0"/>
                <w:sz w:val="14"/>
              </w:rPr>
              <w:t>LITCHI015982</w:t>
            </w:r>
          </w:p>
        </w:tc>
        <w:tc>
          <w:tcPr>
            <w:tcW w:type="dxa" w:w="1656"/>
            <w:vAlign w:val="center"/>
          </w:tcPr>
          <w:p>
            <w:pPr>
              <w:spacing w:line="240" w:lineRule="auto" w:after="0"/>
              <w:ind w:firstLine="0"/>
            </w:pPr>
            <w:r>
              <w:rPr>
                <w:rFonts w:ascii="Times New Roman" w:hAnsi="Times New Roman"/>
                <w:b w:val="0"/>
                <w:i w:val="0"/>
                <w:sz w:val="14"/>
              </w:rPr>
              <w:t>WAT1-related protein</w:t>
            </w:r>
          </w:p>
        </w:tc>
        <w:tc>
          <w:tcPr>
            <w:tcW w:type="dxa" w:w="1656"/>
            <w:vAlign w:val="center"/>
          </w:tcPr>
          <w:p>
            <w:pPr>
              <w:spacing w:line="240" w:lineRule="auto" w:after="0"/>
              <w:ind w:firstLine="0"/>
            </w:pPr>
            <w:r>
              <w:rPr>
                <w:rFonts w:ascii="Times New Roman" w:hAnsi="Times New Roman"/>
                <w:b w:val="0"/>
                <w:i/>
                <w:sz w:val="14"/>
              </w:rPr>
              <w:t>+3.43</w:t>
            </w:r>
          </w:p>
        </w:tc>
        <w:tc>
          <w:tcPr>
            <w:tcW w:type="dxa" w:w="1656"/>
            <w:vAlign w:val="center"/>
          </w:tcPr>
          <w:p>
            <w:pPr>
              <w:spacing w:line="240" w:lineRule="auto" w:after="0"/>
              <w:ind w:firstLine="0"/>
            </w:pPr>
            <w:r>
              <w:rPr>
                <w:rFonts w:ascii="Times New Roman" w:hAnsi="Times New Roman"/>
                <w:b w:val="0"/>
                <w:i/>
                <w:sz w:val="14"/>
              </w:rPr>
              <w:t>7.8×10⁻⁷</w:t>
            </w:r>
          </w:p>
        </w:tc>
        <w:tc>
          <w:tcPr>
            <w:tcW w:type="dxa" w:w="1656"/>
            <w:vAlign w:val="center"/>
          </w:tcPr>
          <w:p>
            <w:pPr>
              <w:spacing w:line="240" w:lineRule="auto" w:after="0"/>
              <w:ind w:firstLine="0"/>
            </w:pPr>
            <w:r>
              <w:rPr>
                <w:rFonts w:ascii="Times New Roman" w:hAnsi="Times New Roman"/>
                <w:b w:val="0"/>
                <w:i/>
                <w:sz w:val="14"/>
              </w:rPr>
              <w:t>+0.77</w:t>
            </w:r>
            <w:r>
              <w:rPr>
                <w:rFonts w:ascii="Times New Roman" w:hAnsi="Times New Roman"/>
                <w:b w:val="0"/>
                <w:i w:val="0"/>
                <w:sz w:val="14"/>
              </w:rPr>
              <w:t xml:space="preserve"> (</w:t>
            </w:r>
            <w:r>
              <w:rPr>
                <w:rFonts w:ascii="Times New Roman" w:hAnsi="Times New Roman"/>
                <w:b w:val="0"/>
                <w:i/>
                <w:sz w:val="14"/>
              </w:rPr>
              <w:t>+0.07</w:t>
            </w:r>
            <w:r>
              <w:rPr>
                <w:rFonts w:ascii="Times New Roman" w:hAnsi="Times New Roman"/>
                <w:b w:val="0"/>
                <w:i w:val="0"/>
                <w:sz w:val="14"/>
              </w:rPr>
              <w:t xml:space="preserve"> to </w:t>
            </w:r>
            <w:r>
              <w:rPr>
                <w:rFonts w:ascii="Times New Roman" w:hAnsi="Times New Roman"/>
                <w:b w:val="0"/>
                <w:i/>
                <w:sz w:val="14"/>
              </w:rPr>
              <w:t>+1.48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0.18</w:t>
            </w:r>
          </w:p>
        </w:tc>
      </w:tr>
      <w:tr>
        <w:trPr>
          <w:cantSplit/>
        </w:trPr>
        <w:tc>
          <w:tcPr>
            <w:tcW w:type="dxa" w:w="1656"/>
            <w:vAlign w:val="center"/>
          </w:tcPr>
          <w:p>
            <w:pPr>
              <w:spacing w:line="240" w:lineRule="auto" w:after="0"/>
              <w:ind w:firstLine="0"/>
            </w:pPr>
            <w:r>
              <w:rPr>
                <w:rFonts w:ascii="Times New Roman" w:hAnsi="Times New Roman"/>
                <w:b w:val="0"/>
                <w:i w:val="0"/>
                <w:sz w:val="14"/>
              </w:rPr>
              <w:t>LITCHI005805</w:t>
            </w:r>
          </w:p>
        </w:tc>
        <w:tc>
          <w:tcPr>
            <w:tcW w:type="dxa" w:w="1656"/>
            <w:vAlign w:val="center"/>
          </w:tcPr>
          <w:p>
            <w:pPr>
              <w:spacing w:line="240" w:lineRule="auto" w:after="0"/>
              <w:ind w:firstLine="0"/>
            </w:pPr>
            <w:r>
              <w:rPr>
                <w:rFonts w:ascii="Times New Roman" w:hAnsi="Times New Roman"/>
                <w:b w:val="0"/>
                <w:i w:val="0"/>
                <w:sz w:val="14"/>
              </w:rPr>
              <w:t>Phosphomannomutase/phosphoglucomutase</w:t>
            </w:r>
          </w:p>
        </w:tc>
        <w:tc>
          <w:tcPr>
            <w:tcW w:type="dxa" w:w="1656"/>
            <w:vAlign w:val="center"/>
          </w:tcPr>
          <w:p>
            <w:pPr>
              <w:spacing w:line="240" w:lineRule="auto" w:after="0"/>
              <w:ind w:firstLine="0"/>
            </w:pPr>
            <w:r>
              <w:rPr>
                <w:rFonts w:ascii="Times New Roman" w:hAnsi="Times New Roman"/>
                <w:b w:val="0"/>
                <w:i/>
                <w:sz w:val="14"/>
              </w:rPr>
              <w:t>+2.07</w:t>
            </w:r>
          </w:p>
        </w:tc>
        <w:tc>
          <w:tcPr>
            <w:tcW w:type="dxa" w:w="1656"/>
            <w:vAlign w:val="center"/>
          </w:tcPr>
          <w:p>
            <w:pPr>
              <w:spacing w:line="240" w:lineRule="auto" w:after="0"/>
              <w:ind w:firstLine="0"/>
            </w:pPr>
            <w:r>
              <w:rPr>
                <w:rFonts w:ascii="Times New Roman" w:hAnsi="Times New Roman"/>
                <w:b w:val="0"/>
                <w:i/>
                <w:sz w:val="14"/>
              </w:rPr>
              <w:t>5.5×10⁻⁸</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LITCHI028926</w:t>
            </w:r>
          </w:p>
        </w:tc>
        <w:tc>
          <w:tcPr>
            <w:tcW w:type="dxa" w:w="1656"/>
            <w:vAlign w:val="center"/>
          </w:tcPr>
          <w:p>
            <w:pPr>
              <w:spacing w:line="240" w:lineRule="auto" w:after="0"/>
              <w:ind w:firstLine="0"/>
            </w:pPr>
            <w:r>
              <w:rPr>
                <w:rFonts w:ascii="Times New Roman" w:hAnsi="Times New Roman"/>
                <w:b w:val="0"/>
                <w:i w:val="0"/>
                <w:sz w:val="14"/>
              </w:rPr>
              <w:t>Exonuclease 1</w:t>
            </w:r>
          </w:p>
        </w:tc>
        <w:tc>
          <w:tcPr>
            <w:tcW w:type="dxa" w:w="1656"/>
            <w:vAlign w:val="center"/>
          </w:tcPr>
          <w:p>
            <w:pPr>
              <w:spacing w:line="240" w:lineRule="auto" w:after="0"/>
              <w:ind w:firstLine="0"/>
            </w:pPr>
            <w:r>
              <w:rPr>
                <w:rFonts w:ascii="Times New Roman" w:hAnsi="Times New Roman"/>
                <w:b w:val="0"/>
                <w:i/>
                <w:sz w:val="14"/>
              </w:rPr>
              <w:t>+1.90</w:t>
            </w:r>
          </w:p>
        </w:tc>
        <w:tc>
          <w:tcPr>
            <w:tcW w:type="dxa" w:w="1656"/>
            <w:vAlign w:val="center"/>
          </w:tcPr>
          <w:p>
            <w:pPr>
              <w:spacing w:line="240" w:lineRule="auto" w:after="0"/>
              <w:ind w:firstLine="0"/>
            </w:pPr>
            <w:r>
              <w:rPr>
                <w:rFonts w:ascii="Times New Roman" w:hAnsi="Times New Roman"/>
                <w:b w:val="0"/>
                <w:i/>
                <w:sz w:val="14"/>
              </w:rPr>
              <w:t>5.7×10⁻⁵</w:t>
            </w:r>
          </w:p>
        </w:tc>
        <w:tc>
          <w:tcPr>
            <w:tcW w:type="dxa" w:w="1656"/>
            <w:vAlign w:val="center"/>
          </w:tcPr>
          <w:p>
            <w:pPr>
              <w:spacing w:line="240" w:lineRule="auto" w:after="0"/>
              <w:ind w:firstLine="0"/>
            </w:pPr>
            <w:r>
              <w:rPr>
                <w:rFonts w:ascii="Times New Roman" w:hAnsi="Times New Roman"/>
                <w:b w:val="0"/>
                <w:i/>
                <w:sz w:val="14"/>
              </w:rPr>
              <w:t>+0.32</w:t>
            </w:r>
            <w:r>
              <w:rPr>
                <w:rFonts w:ascii="Times New Roman" w:hAnsi="Times New Roman"/>
                <w:b w:val="0"/>
                <w:i w:val="0"/>
                <w:sz w:val="14"/>
              </w:rPr>
              <w:t xml:space="preserve"> (</w:t>
            </w:r>
            <w:r>
              <w:rPr>
                <w:rFonts w:ascii="Times New Roman" w:hAnsi="Times New Roman"/>
                <w:b w:val="0"/>
                <w:i/>
                <w:sz w:val="14"/>
              </w:rPr>
              <w:t>-0.63</w:t>
            </w:r>
            <w:r>
              <w:rPr>
                <w:rFonts w:ascii="Times New Roman" w:hAnsi="Times New Roman"/>
                <w:b w:val="0"/>
                <w:i w:val="0"/>
                <w:sz w:val="14"/>
              </w:rPr>
              <w:t xml:space="preserve"> to </w:t>
            </w:r>
            <w:r>
              <w:rPr>
                <w:rFonts w:ascii="Times New Roman" w:hAnsi="Times New Roman"/>
                <w:b w:val="0"/>
                <w:i/>
                <w:sz w:val="14"/>
              </w:rPr>
              <w:t>+1.28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LITCHI016077</w:t>
            </w:r>
          </w:p>
        </w:tc>
        <w:tc>
          <w:tcPr>
            <w:tcW w:type="dxa" w:w="1656"/>
            <w:vAlign w:val="center"/>
          </w:tcPr>
          <w:p>
            <w:pPr>
              <w:spacing w:line="240" w:lineRule="auto" w:after="0"/>
              <w:ind w:firstLine="0"/>
            </w:pPr>
            <w:r>
              <w:rPr>
                <w:rFonts w:ascii="Times New Roman" w:hAnsi="Times New Roman"/>
                <w:b w:val="0"/>
                <w:i w:val="0"/>
                <w:sz w:val="14"/>
              </w:rPr>
              <w:t>Serine carboxypeptidase 24</w:t>
            </w:r>
          </w:p>
        </w:tc>
        <w:tc>
          <w:tcPr>
            <w:tcW w:type="dxa" w:w="1656"/>
            <w:vAlign w:val="center"/>
          </w:tcPr>
          <w:p>
            <w:pPr>
              <w:spacing w:line="240" w:lineRule="auto" w:after="0"/>
              <w:ind w:firstLine="0"/>
            </w:pPr>
            <w:r>
              <w:rPr>
                <w:rFonts w:ascii="Times New Roman" w:hAnsi="Times New Roman"/>
                <w:b w:val="0"/>
                <w:i/>
                <w:sz w:val="14"/>
              </w:rPr>
              <w:t>+1.81</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+0.23</w:t>
            </w:r>
            <w:r>
              <w:rPr>
                <w:rFonts w:ascii="Times New Roman" w:hAnsi="Times New Roman"/>
                <w:b w:val="0"/>
                <w:i w:val="0"/>
                <w:sz w:val="14"/>
              </w:rPr>
              <w:t xml:space="preserve"> (</w:t>
            </w:r>
            <w:r>
              <w:rPr>
                <w:rFonts w:ascii="Times New Roman" w:hAnsi="Times New Roman"/>
                <w:b w:val="0"/>
                <w:i/>
                <w:sz w:val="14"/>
              </w:rPr>
              <w:t>-1.05</w:t>
            </w:r>
            <w:r>
              <w:rPr>
                <w:rFonts w:ascii="Times New Roman" w:hAnsi="Times New Roman"/>
                <w:b w:val="0"/>
                <w:i w:val="0"/>
                <w:sz w:val="14"/>
              </w:rPr>
              <w:t xml:space="preserve"> to </w:t>
            </w:r>
            <w:r>
              <w:rPr>
                <w:rFonts w:ascii="Times New Roman" w:hAnsi="Times New Roman"/>
                <w:b w:val="0"/>
                <w:i/>
                <w:sz w:val="14"/>
              </w:rPr>
              <w:t>+1.51</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0.89</w:t>
            </w:r>
          </w:p>
        </w:tc>
      </w:tr>
      <w:tr>
        <w:trPr>
          <w:cantSplit/>
        </w:trPr>
        <w:tc>
          <w:tcPr>
            <w:tcW w:type="dxa" w:w="1656"/>
            <w:vAlign w:val="center"/>
          </w:tcPr>
          <w:p>
            <w:pPr>
              <w:spacing w:line="240" w:lineRule="auto" w:after="0"/>
              <w:ind w:firstLine="0"/>
            </w:pPr>
            <w:r>
              <w:rPr>
                <w:rFonts w:ascii="Times New Roman" w:hAnsi="Times New Roman"/>
                <w:b w:val="0"/>
                <w:i w:val="0"/>
                <w:sz w:val="14"/>
              </w:rPr>
              <w:t>LITCHI013915</w:t>
            </w:r>
          </w:p>
        </w:tc>
        <w:tc>
          <w:tcPr>
            <w:tcW w:type="dxa" w:w="1656"/>
            <w:vAlign w:val="center"/>
          </w:tcPr>
          <w:p>
            <w:pPr>
              <w:spacing w:line="240" w:lineRule="auto" w:after="0"/>
              <w:ind w:firstLine="0"/>
            </w:pPr>
            <w:r>
              <w:rPr>
                <w:rFonts w:ascii="Times New Roman" w:hAnsi="Times New Roman"/>
                <w:b w:val="0"/>
                <w:i w:val="0"/>
                <w:sz w:val="14"/>
              </w:rPr>
              <w:t>1,4-alpha-glucan-branching enzyme 3</w:t>
            </w:r>
          </w:p>
        </w:tc>
        <w:tc>
          <w:tcPr>
            <w:tcW w:type="dxa" w:w="1656"/>
            <w:vAlign w:val="center"/>
          </w:tcPr>
          <w:p>
            <w:pPr>
              <w:spacing w:line="240" w:lineRule="auto" w:after="0"/>
              <w:ind w:firstLine="0"/>
            </w:pPr>
            <w:r>
              <w:rPr>
                <w:rFonts w:ascii="Times New Roman" w:hAnsi="Times New Roman"/>
                <w:b w:val="0"/>
                <w:i/>
                <w:sz w:val="14"/>
              </w:rPr>
              <w:t>+1.58</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+0.53</w:t>
            </w:r>
            <w:r>
              <w:rPr>
                <w:rFonts w:ascii="Times New Roman" w:hAnsi="Times New Roman"/>
                <w:b w:val="0"/>
                <w:i w:val="0"/>
                <w:sz w:val="14"/>
              </w:rPr>
              <w:t xml:space="preserve"> (</w:t>
            </w:r>
            <w:r>
              <w:rPr>
                <w:rFonts w:ascii="Times New Roman" w:hAnsi="Times New Roman"/>
                <w:b w:val="0"/>
                <w:i/>
                <w:sz w:val="14"/>
              </w:rPr>
              <w:t>+0.10</w:t>
            </w:r>
            <w:r>
              <w:rPr>
                <w:rFonts w:ascii="Times New Roman" w:hAnsi="Times New Roman"/>
                <w:b w:val="0"/>
                <w:i w:val="0"/>
                <w:sz w:val="14"/>
              </w:rPr>
              <w:t xml:space="preserve"> to </w:t>
            </w:r>
            <w:r>
              <w:rPr>
                <w:rFonts w:ascii="Times New Roman" w:hAnsi="Times New Roman"/>
                <w:b w:val="0"/>
                <w:i/>
                <w:sz w:val="14"/>
              </w:rPr>
              <w:t>+0.95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0.13</w:t>
            </w:r>
          </w:p>
        </w:tc>
      </w:tr>
      <w:tr>
        <w:trPr>
          <w:cantSplit/>
        </w:trPr>
        <w:tc>
          <w:tcPr>
            <w:tcW w:type="dxa" w:w="1656"/>
            <w:vAlign w:val="center"/>
          </w:tcPr>
          <w:p>
            <w:pPr>
              <w:spacing w:line="240" w:lineRule="auto" w:after="0"/>
              <w:ind w:firstLine="0"/>
            </w:pPr>
            <w:r>
              <w:rPr>
                <w:rFonts w:ascii="Times New Roman" w:hAnsi="Times New Roman"/>
                <w:b w:val="0"/>
                <w:i w:val="0"/>
                <w:sz w:val="14"/>
              </w:rPr>
              <w:t>LITCHI021546</w:t>
            </w:r>
          </w:p>
        </w:tc>
        <w:tc>
          <w:tcPr>
            <w:tcW w:type="dxa" w:w="1656"/>
            <w:vAlign w:val="center"/>
          </w:tcPr>
          <w:p>
            <w:pPr>
              <w:spacing w:line="240" w:lineRule="auto" w:after="0"/>
              <w:ind w:firstLine="0"/>
            </w:pPr>
            <w:r>
              <w:rPr>
                <w:rFonts w:ascii="Times New Roman" w:hAnsi="Times New Roman"/>
                <w:b w:val="0"/>
                <w:i w:val="0"/>
                <w:sz w:val="14"/>
              </w:rPr>
              <w:t>Homeobox-DDT domain protein RLT3</w:t>
            </w:r>
          </w:p>
        </w:tc>
        <w:tc>
          <w:tcPr>
            <w:tcW w:type="dxa" w:w="1656"/>
            <w:vAlign w:val="center"/>
          </w:tcPr>
          <w:p>
            <w:pPr>
              <w:spacing w:line="240" w:lineRule="auto" w:after="0"/>
              <w:ind w:firstLine="0"/>
            </w:pPr>
            <w:r>
              <w:rPr>
                <w:rFonts w:ascii="Times New Roman" w:hAnsi="Times New Roman"/>
                <w:b w:val="0"/>
                <w:i/>
                <w:sz w:val="14"/>
              </w:rPr>
              <w:t>+1.31</w:t>
            </w:r>
          </w:p>
        </w:tc>
        <w:tc>
          <w:tcPr>
            <w:tcW w:type="dxa" w:w="1656"/>
            <w:vAlign w:val="center"/>
          </w:tcPr>
          <w:p>
            <w:pPr>
              <w:spacing w:line="240" w:lineRule="auto" w:after="0"/>
              <w:ind w:firstLine="0"/>
            </w:pPr>
            <w:r>
              <w:rPr>
                <w:rFonts w:ascii="Times New Roman" w:hAnsi="Times New Roman"/>
                <w:b w:val="0"/>
                <w:i/>
                <w:sz w:val="14"/>
              </w:rPr>
              <w:t>6.6×10⁻⁵</w:t>
            </w:r>
          </w:p>
        </w:tc>
        <w:tc>
          <w:tcPr>
            <w:tcW w:type="dxa" w:w="1656"/>
            <w:vAlign w:val="center"/>
          </w:tcPr>
          <w:p>
            <w:pPr>
              <w:spacing w:line="240" w:lineRule="auto" w:after="0"/>
              <w:ind w:firstLine="0"/>
            </w:pPr>
            <w:r>
              <w:rPr>
                <w:rFonts w:ascii="Times New Roman" w:hAnsi="Times New Roman"/>
                <w:b w:val="0"/>
                <w:i/>
                <w:sz w:val="14"/>
              </w:rPr>
              <w:t>+0.12</w:t>
            </w:r>
            <w:r>
              <w:rPr>
                <w:rFonts w:ascii="Times New Roman" w:hAnsi="Times New Roman"/>
                <w:b w:val="0"/>
                <w:i w:val="0"/>
                <w:sz w:val="14"/>
              </w:rPr>
              <w:t xml:space="preserve"> (</w:t>
            </w:r>
            <w:r>
              <w:rPr>
                <w:rFonts w:ascii="Times New Roman" w:hAnsi="Times New Roman"/>
                <w:b w:val="0"/>
                <w:i/>
                <w:sz w:val="14"/>
              </w:rPr>
              <w:t>-0.30</w:t>
            </w:r>
            <w:r>
              <w:rPr>
                <w:rFonts w:ascii="Times New Roman" w:hAnsi="Times New Roman"/>
                <w:b w:val="0"/>
                <w:i w:val="0"/>
                <w:sz w:val="14"/>
              </w:rPr>
              <w:t xml:space="preserve"> to </w:t>
            </w:r>
            <w:r>
              <w:rPr>
                <w:rFonts w:ascii="Times New Roman" w:hAnsi="Times New Roman"/>
                <w:b w:val="0"/>
                <w:i/>
                <w:sz w:val="14"/>
              </w:rPr>
              <w:t>+0.54</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LITCHI022605</w:t>
            </w:r>
          </w:p>
        </w:tc>
        <w:tc>
          <w:tcPr>
            <w:tcW w:type="dxa" w:w="1656"/>
            <w:vAlign w:val="center"/>
          </w:tcPr>
          <w:p>
            <w:pPr>
              <w:spacing w:line="240" w:lineRule="auto" w:after="0"/>
              <w:ind w:firstLine="0"/>
            </w:pPr>
            <w:r>
              <w:rPr>
                <w:rFonts w:ascii="Times New Roman" w:hAnsi="Times New Roman"/>
                <w:b w:val="0"/>
                <w:i w:val="0"/>
                <w:sz w:val="14"/>
              </w:rPr>
              <w:t>Ribonuclease J</w:t>
            </w:r>
          </w:p>
        </w:tc>
        <w:tc>
          <w:tcPr>
            <w:tcW w:type="dxa" w:w="1656"/>
            <w:vAlign w:val="center"/>
          </w:tcPr>
          <w:p>
            <w:pPr>
              <w:spacing w:line="240" w:lineRule="auto" w:after="0"/>
              <w:ind w:firstLine="0"/>
            </w:pPr>
            <w:r>
              <w:rPr>
                <w:rFonts w:ascii="Times New Roman" w:hAnsi="Times New Roman"/>
                <w:b w:val="0"/>
                <w:i/>
                <w:sz w:val="14"/>
              </w:rPr>
              <w:t>+0.74</w:t>
            </w:r>
          </w:p>
        </w:tc>
        <w:tc>
          <w:tcPr>
            <w:tcW w:type="dxa" w:w="1656"/>
            <w:vAlign w:val="center"/>
          </w:tcPr>
          <w:p>
            <w:pPr>
              <w:spacing w:line="240" w:lineRule="auto" w:after="0"/>
              <w:ind w:firstLine="0"/>
            </w:pPr>
            <w:r>
              <w:rPr>
                <w:rFonts w:ascii="Times New Roman" w:hAnsi="Times New Roman"/>
                <w:b w:val="0"/>
                <w:i/>
                <w:sz w:val="14"/>
              </w:rPr>
              <w:t>2.9×10⁻⁴</w:t>
            </w:r>
          </w:p>
        </w:tc>
        <w:tc>
          <w:tcPr>
            <w:tcW w:type="dxa" w:w="1656"/>
            <w:vAlign w:val="center"/>
          </w:tcPr>
          <w:p>
            <w:pPr>
              <w:spacing w:line="240" w:lineRule="auto" w:after="0"/>
              <w:ind w:firstLine="0"/>
            </w:pPr>
            <w:r>
              <w:rPr>
                <w:rFonts w:ascii="Times New Roman" w:hAnsi="Times New Roman"/>
                <w:b w:val="0"/>
                <w:i/>
                <w:sz w:val="14"/>
              </w:rPr>
              <w:t>+0.14</w:t>
            </w:r>
            <w:r>
              <w:rPr>
                <w:rFonts w:ascii="Times New Roman" w:hAnsi="Times New Roman"/>
                <w:b w:val="0"/>
                <w:i w:val="0"/>
                <w:sz w:val="14"/>
              </w:rPr>
              <w:t xml:space="preserve"> (</w:t>
            </w:r>
            <w:r>
              <w:rPr>
                <w:rFonts w:ascii="Times New Roman" w:hAnsi="Times New Roman"/>
                <w:b w:val="0"/>
                <w:i/>
                <w:sz w:val="14"/>
              </w:rPr>
              <w:t>-0.34</w:t>
            </w:r>
            <w:r>
              <w:rPr>
                <w:rFonts w:ascii="Times New Roman" w:hAnsi="Times New Roman"/>
                <w:b w:val="0"/>
                <w:i w:val="0"/>
                <w:sz w:val="14"/>
              </w:rPr>
              <w:t xml:space="preserve"> to </w:t>
            </w:r>
            <w:r>
              <w:rPr>
                <w:rFonts w:ascii="Times New Roman" w:hAnsi="Times New Roman"/>
                <w:b w:val="0"/>
                <w:i/>
                <w:sz w:val="14"/>
              </w:rPr>
              <w:t>+0.62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LITCHI028717</w:t>
            </w:r>
          </w:p>
        </w:tc>
        <w:tc>
          <w:tcPr>
            <w:tcW w:type="dxa" w:w="1656"/>
            <w:vAlign w:val="center"/>
          </w:tcPr>
          <w:p>
            <w:pPr>
              <w:spacing w:line="240" w:lineRule="auto" w:after="0"/>
              <w:ind w:firstLine="0"/>
            </w:pPr>
            <w:r>
              <w:rPr>
                <w:rFonts w:ascii="Times New Roman" w:hAnsi="Times New Roman"/>
                <w:b w:val="0"/>
                <w:i w:val="0"/>
                <w:sz w:val="14"/>
              </w:rPr>
              <w:t>BAG-family chaperone regulator 4</w:t>
            </w:r>
          </w:p>
        </w:tc>
        <w:tc>
          <w:tcPr>
            <w:tcW w:type="dxa" w:w="1656"/>
            <w:vAlign w:val="center"/>
          </w:tcPr>
          <w:p>
            <w:pPr>
              <w:spacing w:line="240" w:lineRule="auto" w:after="0"/>
              <w:ind w:firstLine="0"/>
            </w:pPr>
            <w:r>
              <w:rPr>
                <w:rFonts w:ascii="Times New Roman" w:hAnsi="Times New Roman"/>
                <w:b w:val="0"/>
                <w:i/>
                <w:sz w:val="14"/>
              </w:rPr>
              <w:t>-0.91</w:t>
            </w:r>
          </w:p>
        </w:tc>
        <w:tc>
          <w:tcPr>
            <w:tcW w:type="dxa" w:w="1656"/>
            <w:vAlign w:val="center"/>
          </w:tcPr>
          <w:p>
            <w:pPr>
              <w:spacing w:line="240" w:lineRule="auto" w:after="0"/>
              <w:ind w:firstLine="0"/>
            </w:pPr>
            <w:r>
              <w:rPr>
                <w:rFonts w:ascii="Times New Roman" w:hAnsi="Times New Roman"/>
                <w:b w:val="0"/>
                <w:i/>
                <w:sz w:val="14"/>
              </w:rPr>
              <w:t>1.8×10⁻⁵</w:t>
            </w:r>
          </w:p>
        </w:tc>
        <w:tc>
          <w:tcPr>
            <w:tcW w:type="dxa" w:w="1656"/>
            <w:vAlign w:val="center"/>
          </w:tcPr>
          <w:p>
            <w:pPr>
              <w:spacing w:line="240" w:lineRule="auto" w:after="0"/>
              <w:ind w:firstLine="0"/>
            </w:pPr>
            <w:r>
              <w:rPr>
                <w:rFonts w:ascii="Times New Roman" w:hAnsi="Times New Roman"/>
                <w:b w:val="0"/>
                <w:i/>
                <w:sz w:val="14"/>
              </w:rPr>
              <w:t>-1.20</w:t>
            </w:r>
            <w:r>
              <w:rPr>
                <w:rFonts w:ascii="Times New Roman" w:hAnsi="Times New Roman"/>
                <w:b w:val="0"/>
                <w:i w:val="0"/>
                <w:sz w:val="14"/>
              </w:rPr>
              <w:t xml:space="preserve"> (</w:t>
            </w:r>
            <w:r>
              <w:rPr>
                <w:rFonts w:ascii="Times New Roman" w:hAnsi="Times New Roman"/>
                <w:b w:val="0"/>
                <w:i/>
                <w:sz w:val="14"/>
              </w:rPr>
              <w:t>-2.52</w:t>
            </w:r>
            <w:r>
              <w:rPr>
                <w:rFonts w:ascii="Times New Roman" w:hAnsi="Times New Roman"/>
                <w:b w:val="0"/>
                <w:i w:val="0"/>
                <w:sz w:val="14"/>
              </w:rPr>
              <w:t xml:space="preserve"> to </w:t>
            </w:r>
            <w:r>
              <w:rPr>
                <w:rFonts w:ascii="Times New Roman" w:hAnsi="Times New Roman"/>
                <w:b w:val="0"/>
                <w:i/>
                <w:sz w:val="14"/>
              </w:rPr>
              <w:t>+0.12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0.29</w:t>
            </w:r>
          </w:p>
        </w:tc>
      </w:tr>
      <w:tr>
        <w:trPr>
          <w:cantSplit/>
        </w:trPr>
        <w:tc>
          <w:tcPr>
            <w:tcW w:type="dxa" w:w="1656"/>
            <w:vAlign w:val="center"/>
          </w:tcPr>
          <w:p>
            <w:pPr>
              <w:spacing w:line="240" w:lineRule="auto" w:after="0"/>
              <w:ind w:firstLine="0"/>
            </w:pPr>
            <w:r>
              <w:rPr>
                <w:rFonts w:ascii="Times New Roman" w:hAnsi="Times New Roman"/>
                <w:b w:val="0"/>
                <w:i w:val="0"/>
                <w:sz w:val="14"/>
              </w:rPr>
              <w:t>LITCHI008721</w:t>
            </w:r>
          </w:p>
        </w:tc>
        <w:tc>
          <w:tcPr>
            <w:tcW w:type="dxa" w:w="1656"/>
            <w:vAlign w:val="center"/>
          </w:tcPr>
          <w:p>
            <w:pPr>
              <w:spacing w:line="240" w:lineRule="auto" w:after="0"/>
              <w:ind w:firstLine="0"/>
            </w:pPr>
            <w:r>
              <w:rPr>
                <w:rFonts w:ascii="Times New Roman" w:hAnsi="Times New Roman"/>
                <w:b w:val="0"/>
                <w:i w:val="0"/>
                <w:sz w:val="14"/>
              </w:rPr>
              <w:t>Unannotated protein</w:t>
            </w:r>
          </w:p>
        </w:tc>
        <w:tc>
          <w:tcPr>
            <w:tcW w:type="dxa" w:w="1656"/>
            <w:vAlign w:val="center"/>
          </w:tcPr>
          <w:p>
            <w:pPr>
              <w:spacing w:line="240" w:lineRule="auto" w:after="0"/>
              <w:ind w:firstLine="0"/>
            </w:pPr>
            <w:r>
              <w:rPr>
                <w:rFonts w:ascii="Times New Roman" w:hAnsi="Times New Roman"/>
                <w:b w:val="0"/>
                <w:i/>
                <w:sz w:val="14"/>
              </w:rPr>
              <w:t>-1.91</w:t>
            </w:r>
          </w:p>
        </w:tc>
        <w:tc>
          <w:tcPr>
            <w:tcW w:type="dxa" w:w="1656"/>
            <w:vAlign w:val="center"/>
          </w:tcPr>
          <w:p>
            <w:pPr>
              <w:spacing w:line="240" w:lineRule="auto" w:after="0"/>
              <w:ind w:firstLine="0"/>
            </w:pPr>
            <w:r>
              <w:rPr>
                <w:rFonts w:ascii="Times New Roman" w:hAnsi="Times New Roman"/>
                <w:b w:val="0"/>
                <w:i/>
                <w:sz w:val="14"/>
              </w:rPr>
              <w:t>7.9×10⁻¹¹</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LITCHI015740</w:t>
            </w:r>
          </w:p>
        </w:tc>
        <w:tc>
          <w:tcPr>
            <w:tcW w:type="dxa" w:w="1656"/>
            <w:vAlign w:val="center"/>
          </w:tcPr>
          <w:p>
            <w:pPr>
              <w:spacing w:line="240" w:lineRule="auto" w:after="0"/>
              <w:ind w:firstLine="0"/>
            </w:pPr>
            <w:r>
              <w:rPr>
                <w:rFonts w:ascii="Times New Roman" w:hAnsi="Times New Roman"/>
                <w:b w:val="0"/>
                <w:i w:val="0"/>
                <w:sz w:val="14"/>
              </w:rPr>
              <w:t>Putative lipid-transfer protein DIR1</w:t>
            </w:r>
          </w:p>
        </w:tc>
        <w:tc>
          <w:tcPr>
            <w:tcW w:type="dxa" w:w="1656"/>
            <w:vAlign w:val="center"/>
          </w:tcPr>
          <w:p>
            <w:pPr>
              <w:spacing w:line="240" w:lineRule="auto" w:after="0"/>
              <w:ind w:firstLine="0"/>
            </w:pPr>
            <w:r>
              <w:rPr>
                <w:rFonts w:ascii="Times New Roman" w:hAnsi="Times New Roman"/>
                <w:b w:val="0"/>
                <w:i/>
                <w:sz w:val="14"/>
              </w:rPr>
              <w:t>-1.96</w:t>
            </w:r>
          </w:p>
        </w:tc>
        <w:tc>
          <w:tcPr>
            <w:tcW w:type="dxa" w:w="1656"/>
            <w:vAlign w:val="center"/>
          </w:tcPr>
          <w:p>
            <w:pPr>
              <w:spacing w:line="240" w:lineRule="auto" w:after="0"/>
              <w:ind w:firstLine="0"/>
            </w:pPr>
            <w:r>
              <w:rPr>
                <w:rFonts w:ascii="Times New Roman" w:hAnsi="Times New Roman"/>
                <w:b w:val="0"/>
                <w:i/>
                <w:sz w:val="14"/>
              </w:rPr>
              <w:t>1.2×10⁻⁷</w:t>
            </w:r>
          </w:p>
        </w:tc>
        <w:tc>
          <w:tcPr>
            <w:tcW w:type="dxa" w:w="1656"/>
            <w:vAlign w:val="center"/>
          </w:tcPr>
          <w:p>
            <w:pPr>
              <w:spacing w:line="240" w:lineRule="auto" w:after="0"/>
              <w:ind w:firstLine="0"/>
            </w:pPr>
            <w:r>
              <w:rPr>
                <w:rFonts w:ascii="Times New Roman" w:hAnsi="Times New Roman"/>
                <w:b w:val="0"/>
                <w:i/>
                <w:sz w:val="14"/>
              </w:rPr>
              <w:t>-0.21</w:t>
            </w:r>
            <w:r>
              <w:rPr>
                <w:rFonts w:ascii="Times New Roman" w:hAnsi="Times New Roman"/>
                <w:b w:val="0"/>
                <w:i w:val="0"/>
                <w:sz w:val="14"/>
              </w:rPr>
              <w:t xml:space="preserve"> (</w:t>
            </w:r>
            <w:r>
              <w:rPr>
                <w:rFonts w:ascii="Times New Roman" w:hAnsi="Times New Roman"/>
                <w:b w:val="0"/>
                <w:i/>
                <w:sz w:val="14"/>
              </w:rPr>
              <w:t>-1.10</w:t>
            </w:r>
            <w:r>
              <w:rPr>
                <w:rFonts w:ascii="Times New Roman" w:hAnsi="Times New Roman"/>
                <w:b w:val="0"/>
                <w:i w:val="0"/>
                <w:sz w:val="14"/>
              </w:rPr>
              <w:t xml:space="preserve"> to </w:t>
            </w:r>
            <w:r>
              <w:rPr>
                <w:rFonts w:ascii="Times New Roman" w:hAnsi="Times New Roman"/>
                <w:b w:val="0"/>
                <w:i/>
                <w:sz w:val="14"/>
              </w:rPr>
              <w:t>+0.69</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0.88</w:t>
            </w:r>
          </w:p>
        </w:tc>
      </w:tr>
      <w:tr>
        <w:trPr>
          <w:cantSplit/>
        </w:trPr>
        <w:tc>
          <w:tcPr>
            <w:tcW w:type="dxa" w:w="1656"/>
            <w:vAlign w:val="center"/>
          </w:tcPr>
          <w:p>
            <w:pPr>
              <w:spacing w:line="240" w:lineRule="auto" w:after="0"/>
              <w:ind w:firstLine="0"/>
            </w:pPr>
            <w:r>
              <w:rPr>
                <w:rFonts w:ascii="Times New Roman" w:hAnsi="Times New Roman"/>
                <w:b w:val="0"/>
                <w:i w:val="0"/>
                <w:sz w:val="14"/>
              </w:rPr>
              <w:t>LITCHI010877</w:t>
            </w:r>
          </w:p>
        </w:tc>
        <w:tc>
          <w:tcPr>
            <w:tcW w:type="dxa" w:w="1656"/>
            <w:vAlign w:val="center"/>
          </w:tcPr>
          <w:p>
            <w:pPr>
              <w:spacing w:line="240" w:lineRule="auto" w:after="0"/>
              <w:ind w:firstLine="0"/>
            </w:pPr>
            <w:r>
              <w:rPr>
                <w:rFonts w:ascii="Times New Roman" w:hAnsi="Times New Roman"/>
                <w:b w:val="0"/>
                <w:i w:val="0"/>
                <w:sz w:val="14"/>
              </w:rPr>
              <w:t>Cytochrome P450 81Q32</w:t>
            </w:r>
          </w:p>
        </w:tc>
        <w:tc>
          <w:tcPr>
            <w:tcW w:type="dxa" w:w="1656"/>
            <w:vAlign w:val="center"/>
          </w:tcPr>
          <w:p>
            <w:pPr>
              <w:spacing w:line="240" w:lineRule="auto" w:after="0"/>
              <w:ind w:firstLine="0"/>
            </w:pPr>
            <w:r>
              <w:rPr>
                <w:rFonts w:ascii="Times New Roman" w:hAnsi="Times New Roman"/>
                <w:b w:val="0"/>
                <w:i/>
                <w:sz w:val="14"/>
              </w:rPr>
              <w:t>-2.77</w:t>
            </w:r>
          </w:p>
        </w:tc>
        <w:tc>
          <w:tcPr>
            <w:tcW w:type="dxa" w:w="1656"/>
            <w:vAlign w:val="center"/>
          </w:tcPr>
          <w:p>
            <w:pPr>
              <w:spacing w:line="240" w:lineRule="auto" w:after="0"/>
              <w:ind w:firstLine="0"/>
            </w:pPr>
            <w:r>
              <w:rPr>
                <w:rFonts w:ascii="Times New Roman" w:hAnsi="Times New Roman"/>
                <w:b w:val="0"/>
                <w:i/>
                <w:sz w:val="14"/>
              </w:rPr>
              <w:t>2.1×10⁻⁷</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bl>
    <w:p>
      <w:pPr>
        <w:pStyle w:val="Heading2"/>
        <w:pageBreakBefore w:val="0"/>
      </w:pPr>
      <w:r>
        <w:rPr>
          <w:rFonts w:ascii="Times New Roman" w:hAnsi="Times New Roman"/>
          <w:b w:val="0"/>
          <w:i w:val="0"/>
        </w:rPr>
        <w:t>Parametric simulations quantify the interaction effects detectable with three libraries per cell</w:t>
      </w:r>
    </w:p>
    <w:p>
      <w:pPr>
        <w:pageBreakBefore w:val="0"/>
      </w:pPr>
      <w:r>
        <w:rPr>
          <w:rFonts w:ascii="Times New Roman" w:hAnsi="Times New Roman"/>
          <w:b w:val="0"/>
          <w:i w:val="0"/>
        </w:rP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w:t>
      </w:r>
      <w:r>
        <w:rPr>
          <w:rFonts w:ascii="Times New Roman" w:hAnsi="Times New Roman"/>
          <w:b w:val="0"/>
          <w:i/>
        </w:rPr>
        <w:t>|</w:t>
      </w:r>
      <w:r>
        <w:rPr>
          <w:rFonts w:ascii="Times New Roman" w:hAnsi="Times New Roman"/>
          <w:b w:val="0"/>
          <w:i w:val="0"/>
        </w:rPr>
        <w:t>interaction log2FC</w:t>
      </w:r>
      <w:r>
        <w:rPr>
          <w:rFonts w:ascii="Times New Roman" w:hAnsi="Times New Roman"/>
          <w:b w:val="0"/>
          <w:i/>
        </w:rPr>
        <w:t>|</w:t>
      </w:r>
      <w:r>
        <w:rPr>
          <w:rFonts w:ascii="Times New Roman" w:hAnsi="Times New Roman"/>
          <w:b w:val="0"/>
          <w:i w:val="0"/>
        </w:rPr>
        <w:t xml:space="preserve">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pageBreakBefore w:val="0"/>
      </w:pPr>
      <w:r>
        <w:rPr>
          <w:rFonts w:ascii="Times New Roman" w:hAnsi="Times New Roman"/>
          <w:b w:val="0"/>
          <w:i w:val="0"/>
        </w:rPr>
        <w:t>Discussion</w:t>
      </w:r>
    </w:p>
    <w:p>
      <w:pPr>
        <w:pageBreakBefore w:val="0"/>
      </w:pPr>
      <w:r>
        <w:rPr>
          <w:rFonts w:ascii="Times New Roman" w:hAnsi="Times New Roman"/>
          <w:b w:val="0"/>
          <w:i w:val="0"/>
        </w:rPr>
        <w:t>The central finding of this unified analysis is methodological and biological at once: in the lychee–</w:t>
      </w:r>
      <w:r>
        <w:rPr>
          <w:rFonts w:ascii="Times New Roman" w:hAnsi="Times New Roman"/>
          <w:b w:val="0"/>
          <w:i/>
        </w:rPr>
        <w:t>P. litchii</w:t>
      </w:r>
      <w:r>
        <w:rPr>
          <w:rFonts w:ascii="Times New Roman" w:hAnsi="Times New Roman"/>
          <w:b w:val="0"/>
          <w:i w:val="0"/>
        </w:rPr>
        <w:t xml:space="preserve"> pathosystem, the genes that look most impressive in a single-cohort exploratory analysis and the genes that survive formal genome-wide inference are almost entirely different sets. The 18 exploratory candidates were chosen for large fold changes and defense-plausible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pPr>
        <w:pageBreakBefore w:val="0"/>
      </w:pPr>
      <w:r>
        <w:rPr>
          <w:rFonts w:ascii="Times New Roman" w:hAnsi="Times New Roman"/>
          <w:b w:val="0"/>
          <w:i w:val="0"/>
        </w:rPr>
        <w:t xml:space="preserve">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modeled: LITCHI019519's selected-gene contrast of </w:t>
      </w:r>
      <w:r>
        <w:rPr>
          <w:rFonts w:ascii="Times New Roman" w:hAnsi="Times New Roman"/>
          <w:b w:val="0"/>
          <w:i/>
        </w:rPr>
        <w:t>-3.4</w:t>
      </w:r>
      <w:r>
        <w:rPr>
          <w:rFonts w:ascii="Times New Roman" w:hAnsi="Times New Roman"/>
          <w:b w:val="0"/>
          <w:i w:val="0"/>
        </w:rPr>
        <w:t xml:space="preserve"> looked decisive, but its genome-wide interaction test carried a standard error of 1.14 and a </w:t>
      </w:r>
      <w:r>
        <w:rPr>
          <w:rFonts w:ascii="Times New Roman" w:hAnsi="Times New Roman"/>
          <w:b w:val="0"/>
          <w:i/>
        </w:rPr>
        <w:t>q</w:t>
      </w:r>
      <w:r>
        <w:rPr>
          <w:rFonts w:ascii="Times New Roman" w:hAnsi="Times New Roman"/>
          <w:b w:val="0"/>
          <w:i w:val="0"/>
        </w:rPr>
        <w:t>-value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pPr>
        <w:pageBreakBefore w:val="0"/>
      </w:pPr>
      <w:r>
        <w:rPr>
          <w:rFonts w:ascii="Times New Roman" w:hAnsi="Times New Roman"/>
          <w:b w:val="0"/>
          <w:i w:val="0"/>
        </w:rPr>
        <w:t xml:space="preserve">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[5], and with the general role of apoplastic sugar status and wall remodeling in oomycete resistance. The Tier B set also contains a DIR1-like lipid-transfer protein, whose </w:t>
      </w:r>
      <w:r>
        <w:rPr>
          <w:rFonts w:ascii="Times New Roman" w:hAnsi="Times New Roman"/>
          <w:b w:val="0"/>
          <w:i/>
        </w:rPr>
        <w:t>Arabidopsis</w:t>
      </w:r>
      <w:r>
        <w:rPr>
          <w:rFonts w:ascii="Times New Roman" w:hAnsi="Times New Roman"/>
          <w:b w:val="0"/>
          <w:i w:val="0"/>
        </w:rPr>
        <w:t xml:space="preserve"> counterpart is a mobile signal in systemic acquired resistance, and a BAG-family chaperone regulator; BAG proteins act as HSP70 co-chaperones within the chaperone networks that shape plant immune responses and immune-associated cell death [9].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defense programs. We advance all of these as prioritized, testable hypotheses; the tier system exists precisely to prevent us from advancing them as more.</w:t>
      </w:r>
    </w:p>
    <w:p>
      <w:pPr>
        <w:pageBreakBefore w:val="0"/>
      </w:pPr>
      <w:r>
        <w:rPr>
          <w:rFonts w:ascii="Times New Roman" w:hAnsi="Times New Roman"/>
          <w:b w:val="0"/>
          <w:i w:val="0"/>
        </w:rP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pPr>
        <w:pageBreakBefore w:val="0"/>
      </w:pPr>
      <w:r>
        <w:rPr>
          <w:rFonts w:ascii="Times New Roman" w:hAnsi="Times New Roman"/>
          <w:b w:val="0"/>
          <w:i w:val="0"/>
        </w:rPr>
        <w:t xml:space="preserve">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 (ARE is replaced by ABRE) 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w:t>
      </w:r>
      <w:r>
        <w:rPr>
          <w:rFonts w:ascii="Times New Roman" w:hAnsi="Times New Roman"/>
          <w:b w:val="0"/>
          <w:i/>
        </w:rPr>
        <w:t>Litchi</w:t>
      </w:r>
      <w:r>
        <w:rPr>
          <w:rFonts w:ascii="Times New Roman" w:hAnsi="Times New Roman"/>
          <w:b w:val="0"/>
          <w:i w:val="0"/>
        </w:rPr>
        <w:t xml:space="preserve"> entries in the frozen miRNA reference) that bound what any computational study of this species can currently claim.</w:t>
      </w:r>
    </w:p>
    <w:p>
      <w:pPr>
        <w:pageBreakBefore w:val="0"/>
      </w:pPr>
      <w:r>
        <w:rPr>
          <w:rFonts w:ascii="Times New Roman" w:hAnsi="Times New Roman"/>
          <w:b w:val="0"/>
          <w:i w:val="0"/>
        </w:rPr>
        <w:t xml:space="preserve">Several limitations qualify all of the above. The deposited designs are small, with three libraries per cell, and the independence of those libraries at the level of source trees, pooling, and extraction is unreported, so our </w:t>
      </w:r>
      <w:r>
        <w:rPr>
          <w:rFonts w:ascii="Times New Roman" w:hAnsi="Times New Roman"/>
          <w:b w:val="0"/>
          <w:i/>
        </w:rPr>
        <w:t>q</w:t>
      </w:r>
      <w:r>
        <w:rPr>
          <w:rFonts w:ascii="Times New Roman" w:hAnsi="Times New Roman"/>
          <w:b w:val="0"/>
          <w:i w:val="0"/>
        </w:rPr>
        <w:t>-values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1"/>
        <w:pageBreakBefore w:val="0"/>
      </w:pPr>
      <w:r>
        <w:rPr>
          <w:rFonts w:ascii="Times New Roman" w:hAnsi="Times New Roman"/>
          <w:b w:val="0"/>
          <w:i w:val="0"/>
        </w:rPr>
        <w:t>Conclusions</w:t>
      </w:r>
    </w:p>
    <w:p>
      <w:pPr>
        <w:pageBreakBefore w:val="0"/>
      </w:pPr>
      <w:r>
        <w:rPr>
          <w:rFonts w:ascii="Times New Roman" w:hAnsi="Times New Roman"/>
          <w:b w:val="0"/>
          <w:i w:val="0"/>
        </w:rPr>
        <w:t xml:space="preserve">By carrying a single pathosystem from exploratory candidate discovery through a prospectively registered genome-wide discovery framework with prespecified cross-context external evaluation, this study establishes which claims about cultivar-dependent responses of lychee to </w:t>
      </w:r>
      <w:r>
        <w:rPr>
          <w:rFonts w:ascii="Times New Roman" w:hAnsi="Times New Roman"/>
          <w:b w:val="0"/>
          <w:i/>
        </w:rPr>
        <w:t>P. litchii</w:t>
      </w:r>
      <w:r>
        <w:rPr>
          <w:rFonts w:ascii="Times New Roman" w:hAnsi="Times New Roman"/>
          <w:b w:val="0"/>
          <w:i w:val="0"/>
        </w:rPr>
        <w:t xml:space="preserve">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pageBreakBefore w:val="0"/>
      </w:pPr>
      <w:r>
        <w:rPr>
          <w:rFonts w:ascii="Times New Roman" w:hAnsi="Times New Roman"/>
          <w:b w:val="0"/>
          <w:i w:val="0"/>
        </w:rPr>
        <w:t>Materials and Methods</w:t>
      </w:r>
    </w:p>
    <w:p>
      <w:pPr>
        <w:pStyle w:val="Heading2"/>
        <w:pageBreakBefore w:val="0"/>
      </w:pPr>
      <w:r>
        <w:rPr>
          <w:rFonts w:ascii="Times New Roman" w:hAnsi="Times New Roman"/>
          <w:b w:val="0"/>
          <w:i w:val="0"/>
        </w:rPr>
        <w:t>Study design, registration, and evidence vocabulary</w:t>
      </w:r>
    </w:p>
    <w:p>
      <w:pPr>
        <w:pageBreakBefore w:val="0"/>
      </w:pPr>
      <w:r>
        <w:rPr>
          <w:rFonts w:ascii="Times New Roman" w:hAnsi="Times New Roman"/>
          <w:b w:val="0"/>
          <w:i w:val="0"/>
        </w:rP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rFonts w:ascii="Times New Roman" w:hAnsi="Times New Roman"/>
          <w:b w:val="0"/>
          <w:i/>
        </w:rPr>
        <w:t>frozen</w:t>
      </w:r>
      <w:r>
        <w:rPr>
          <w:rFonts w:ascii="Times New Roman" w:hAnsi="Times New Roman"/>
          <w:b w:val="0"/>
          <w:i w:val="0"/>
        </w:rPr>
        <w:t xml:space="preserve"> denotes a computed result fixed at a recorded checkpoint and never modified afterward; </w:t>
      </w:r>
      <w:r>
        <w:rPr>
          <w:rFonts w:ascii="Times New Roman" w:hAnsi="Times New Roman"/>
          <w:b w:val="0"/>
          <w:i/>
        </w:rPr>
        <w:t>discovery</w:t>
      </w:r>
      <w:r>
        <w:rPr>
          <w:rFonts w:ascii="Times New Roman" w:hAnsi="Times New Roman"/>
          <w:b w:val="0"/>
          <w:i w:val="0"/>
        </w:rPr>
        <w:t xml:space="preserve"> refers only to the registered genome-wide interaction analysis in PRJNA830488; </w:t>
      </w:r>
      <w:r>
        <w:rPr>
          <w:rFonts w:ascii="Times New Roman" w:hAnsi="Times New Roman"/>
          <w:b w:val="0"/>
          <w:i/>
        </w:rPr>
        <w:t>robustness</w:t>
      </w:r>
      <w:r>
        <w:rPr>
          <w:rFonts w:ascii="Times New Roman" w:hAnsi="Times New Roman"/>
          <w:b w:val="0"/>
          <w:i w:val="0"/>
        </w:rPr>
        <w:t xml:space="preserve"> refers only to predeclared sensitivity analyses within that cohort; </w:t>
      </w:r>
      <w:r>
        <w:rPr>
          <w:rFonts w:ascii="Times New Roman" w:hAnsi="Times New Roman"/>
          <w:b w:val="0"/>
          <w:i/>
        </w:rPr>
        <w:t>cross-context support</w:t>
      </w:r>
      <w:r>
        <w:rPr>
          <w:rFonts w:ascii="Times New Roman" w:hAnsi="Times New Roman"/>
          <w:b w:val="0"/>
          <w:i w:val="0"/>
        </w:rPr>
        <w:t xml:space="preserve"> denotes a passing frozen external test in a cohort that differs in tissue, comparator, or design, and is never described as replication; and </w:t>
      </w:r>
      <w:r>
        <w:rPr>
          <w:rFonts w:ascii="Times New Roman" w:hAnsi="Times New Roman"/>
          <w:b w:val="0"/>
          <w:i/>
        </w:rPr>
        <w:t>orthogonal</w:t>
      </w:r>
      <w:r>
        <w:rPr>
          <w:rFonts w:ascii="Times New Roman" w:hAnsi="Times New Roman"/>
          <w:b w:val="0"/>
          <w:i w:val="0"/>
        </w:rP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ageBreakBefore w:val="0"/>
      </w:pPr>
      <w:r>
        <w:rPr>
          <w:rFonts w:ascii="Times New Roman" w:hAnsi="Times New Roman"/>
          <w:b w:val="0"/>
          <w:i w:val="0"/>
        </w:rPr>
        <w:t>Exploratory-stage analyses (Stage 1)</w:t>
      </w:r>
    </w:p>
    <w:p>
      <w:pPr>
        <w:pageBreakBefore w:val="0"/>
      </w:pPr>
      <w:r>
        <w:rPr>
          <w:rFonts w:ascii="Times New Roman" w:hAnsi="Times New Roman"/>
          <w:b w:val="0"/>
          <w:i w:val="0"/>
        </w:rP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Times New Roman" w:hAnsi="Times New Roman"/>
          <w:b w:val="0"/>
          <w:i/>
        </w:rPr>
        <w:t>~</w:t>
      </w:r>
      <w:r>
        <w:rPr>
          <w:rFonts w:ascii="Times New Roman" w:hAnsi="Times New Roman"/>
          <w:b w:val="0"/>
          <w:i w:val="0"/>
        </w:rPr>
        <w:t xml:space="preserve"> treatment) with Benjamini–Hochberg adjustment at </w:t>
      </w:r>
      <w:r>
        <w:rPr>
          <w:rFonts w:ascii="Times New Roman" w:hAnsi="Times New Roman"/>
          <w:b w:val="0"/>
          <w:i/>
        </w:rPr>
        <w:t>P&lt;0.05</w:t>
      </w:r>
      <w:r>
        <w:rPr>
          <w:rFonts w:ascii="Times New Roman" w:hAnsi="Times New Roman"/>
          <w:b w:val="0"/>
          <w:i w:val="0"/>
        </w:rP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rFonts w:ascii="Times New Roman" w:hAnsi="Times New Roman"/>
          <w:b w:val="0"/>
          <w:i/>
        </w:rPr>
        <w:t>cis</w:t>
      </w:r>
      <w:r>
        <w:rPr>
          <w:rFonts w:ascii="Times New Roman" w:hAnsi="Times New Roman"/>
          <w:b w:val="0"/>
          <w:i w:val="0"/>
        </w:rPr>
        <w:t xml:space="preserve">-element counts in the 18 candidate promoters against 100,000 randomized sets of eighteen 2-kb sequences with lychee-like GC content, scoring exact motifs and reverse complements, with one-sided empirical </w:t>
      </w:r>
      <w:r>
        <w:rPr>
          <w:rFonts w:ascii="Times New Roman" w:hAnsi="Times New Roman"/>
          <w:b w:val="0"/>
          <w:i/>
        </w:rPr>
        <w:t>P</w:t>
      </w:r>
      <w:r>
        <w:rPr>
          <w:rFonts w:ascii="Times New Roman" w:hAnsi="Times New Roman"/>
          <w:b w:val="0"/>
          <w:i w:val="0"/>
        </w:rPr>
        <w:t xml:space="preserve">-values adjusted by Benjamini–Hochberg [19]. The selected-gene interaction contrast was computed as log2FC(Yurong1, infected versus mock) </w:t>
      </w:r>
      <w:r>
        <w:rPr>
          <w:rFonts w:ascii="Times New Roman" w:hAnsi="Times New Roman"/>
          <w:b w:val="0"/>
          <w:i/>
        </w:rPr>
        <w:t>-</w:t>
      </w:r>
      <w:r>
        <w:rPr>
          <w:rFonts w:ascii="Times New Roman" w:hAnsi="Times New Roman"/>
          <w:b w:val="0"/>
          <w:i w:val="0"/>
        </w:rPr>
        <w:t xml:space="preserve"> log2FC(Guiwei, infected versus mock) over the prioritized genes and was explicitly labeled a prioritization effect size rather than a genome-wide test.</w:t>
      </w:r>
    </w:p>
    <w:p>
      <w:pPr>
        <w:pStyle w:val="Heading2"/>
        <w:pageBreakBefore w:val="0"/>
      </w:pPr>
      <w:r>
        <w:rPr>
          <w:rFonts w:ascii="Times New Roman" w:hAnsi="Times New Roman"/>
          <w:b w:val="0"/>
          <w:i w:val="0"/>
        </w:rPr>
        <w:t>Data provenance and eligibility</w:t>
      </w:r>
    </w:p>
    <w:p>
      <w:pPr>
        <w:pageBreakBefore w:val="0"/>
      </w:pPr>
      <w:r>
        <w:rPr>
          <w:rFonts w:ascii="Times New Roman" w:hAnsi="Times New Roman"/>
          <w:b w:val="0"/>
          <w:i w:val="0"/>
        </w:rP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rFonts w:ascii="Times New Roman" w:hAnsi="Times New Roman"/>
          <w:b w:val="0"/>
          <w:i/>
        </w:rPr>
        <w:t>Colletotrichum gloeosporioides</w:t>
      </w:r>
      <w:r>
        <w:rPr>
          <w:rFonts w:ascii="Times New Roman" w:hAnsi="Times New Roman"/>
          <w:b w:val="0"/>
          <w:i w:val="0"/>
        </w:rPr>
        <w:t xml:space="preserve">, and excluding PRJNA268587/GSE63658 because it studied fruit senescence/storage without </w:t>
      </w:r>
      <w:r>
        <w:rPr>
          <w:rFonts w:ascii="Times New Roman" w:hAnsi="Times New Roman"/>
          <w:b w:val="0"/>
          <w:i/>
        </w:rPr>
        <w:t>P. litchii</w:t>
      </w:r>
      <w:r>
        <w:rPr>
          <w:rFonts w:ascii="Times New Roman" w:hAnsi="Times New Roman"/>
          <w:b w:val="0"/>
          <w:i w:val="0"/>
        </w:rPr>
        <w:t xml:space="preserve"> inoculation, the five prespecified cohorts remained (Supplementary S16a–b). Because source-tree, pooling, harvest, and extraction independence were not reported for the discovery libraries, all inferential </w:t>
      </w:r>
      <w:r>
        <w:rPr>
          <w:rFonts w:ascii="Times New Roman" w:hAnsi="Times New Roman"/>
          <w:b w:val="0"/>
          <w:i/>
        </w:rPr>
        <w:t>q</w:t>
      </w:r>
      <w:r>
        <w:rPr>
          <w:rFonts w:ascii="Times New Roman" w:hAnsi="Times New Roman"/>
          <w:b w:val="0"/>
          <w:i w:val="0"/>
        </w:rPr>
        <w:t>-values are conditional on deposited-library independence. The primary model required at least three included libraries in every cultivar-treatment cell.</w:t>
      </w:r>
    </w:p>
    <w:p>
      <w:pPr>
        <w:pStyle w:val="Heading2"/>
        <w:pageBreakBefore w:val="0"/>
      </w:pPr>
      <w:r>
        <w:rPr>
          <w:rFonts w:ascii="Times New Roman" w:hAnsi="Times New Roman"/>
          <w:b w:val="0"/>
          <w:i w:val="0"/>
        </w:rPr>
        <w:t>Confirmatory preprocessing and quality gates</w:t>
      </w:r>
    </w:p>
    <w:p>
      <w:pPr>
        <w:pageBreakBefore w:val="0"/>
      </w:pPr>
      <w:r>
        <w:rPr>
          <w:rFonts w:ascii="Times New Roman" w:hAnsi="Times New Roman"/>
          <w:b w:val="0"/>
          <w:i w:val="0"/>
        </w:rP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ageBreakBefore w:val="0"/>
      </w:pPr>
      <w:r>
        <w:rPr>
          <w:rFonts w:ascii="Times New Roman" w:hAnsi="Times New Roman"/>
          <w:b w:val="0"/>
          <w:i w:val="0"/>
        </w:rPr>
        <w:t>Genome-wide discovery model</w:t>
      </w:r>
    </w:p>
    <w:p>
      <w:pPr>
        <w:pageBreakBefore w:val="0"/>
      </w:pPr>
      <w:r>
        <w:rPr>
          <w:rFonts w:ascii="Times New Roman" w:hAnsi="Times New Roman"/>
          <w:b w:val="0"/>
          <w:i w:val="0"/>
        </w:rPr>
        <w:t xml:space="preserve">DESeq2 [15] fitted gene counts with the design </w:t>
      </w:r>
      <w:r>
        <w:rPr>
          <w:rFonts w:ascii="Times New Roman" w:hAnsi="Times New Roman"/>
          <w:b w:val="0"/>
          <w:i/>
        </w:rPr>
        <w:t>~</w:t>
      </w:r>
      <w:r>
        <w:rPr>
          <w:rFonts w:ascii="Times New Roman" w:hAnsi="Times New Roman"/>
          <w:b w:val="0"/>
          <w:i w:val="0"/>
        </w:rP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Times New Roman" w:hAnsi="Times New Roman"/>
          <w:b w:val="0"/>
          <w:i/>
        </w:rPr>
        <w:t>q&lt;0.05</w:t>
      </w:r>
      <w:r>
        <w:rPr>
          <w:rFonts w:ascii="Times New Roman" w:hAnsi="Times New Roman"/>
          <w:b w:val="0"/>
          <w:i w:val="0"/>
        </w:rPr>
        <w:t xml:space="preserve"> and </w:t>
      </w:r>
      <w:r>
        <w:rPr>
          <w:rFonts w:ascii="Times New Roman" w:hAnsi="Times New Roman"/>
          <w:b w:val="0"/>
          <w:i/>
        </w:rPr>
        <w:t>|log2FC|≥log₂(1.5)</w:t>
      </w:r>
      <w:r>
        <w:rPr>
          <w:rFonts w:ascii="Times New Roman" w:hAnsi="Times New Roman"/>
          <w:b w:val="0"/>
          <w:i w:val="0"/>
        </w:rPr>
        <w:t xml:space="preserve"> [19]. The registered rule tests the point null of zero interaction and applies the effect threshold to the observed estimate. Post hoc sensitivity used DESeq2 with </w:t>
      </w:r>
      <w:r>
        <w:rPr>
          <w:rFonts w:ascii="Courier New" w:hAnsi="Courier New"/>
          <w:b w:val="0"/>
          <w:i w:val="0"/>
        </w:rPr>
        <w:t>lfcThreshold = log2(1.5)</w:t>
      </w:r>
      <w:r>
        <w:rPr>
          <w:rFonts w:ascii="Times New Roman" w:hAnsi="Times New Roman"/>
          <w:b w:val="0"/>
          <w:i w:val="0"/>
        </w:rPr>
        <w:t xml:space="preserve"> and </w:t>
      </w:r>
      <w:r>
        <w:rPr>
          <w:rFonts w:ascii="Courier New" w:hAnsi="Courier New"/>
          <w:b w:val="0"/>
          <w:i w:val="0"/>
        </w:rPr>
        <w:t>altHypothesis = greaterAbs</w:t>
      </w:r>
      <w:r>
        <w:rPr>
          <w:rFonts w:ascii="Times New Roman" w:hAnsi="Times New Roman"/>
          <w:b w:val="0"/>
          <w:i w:val="0"/>
        </w:rPr>
        <w:t xml:space="preserve">, plus apeglm false-sign-or-small </w:t>
      </w:r>
      <w:r>
        <w:rPr>
          <w:rFonts w:ascii="Times New Roman" w:hAnsi="Times New Roman"/>
          <w:b w:val="0"/>
          <w:i/>
        </w:rPr>
        <w:t>s</w:t>
      </w:r>
      <w:r>
        <w:rPr>
          <w:rFonts w:ascii="Times New Roman" w:hAnsi="Times New Roman"/>
          <w:b w:val="0"/>
          <w:i w:val="0"/>
        </w:rPr>
        <w:t>-values for the same threshold; neither analysis modified frozen membership. To align the legacy audit with its original estimand, separate post hoc DESeq2 models (</w:t>
      </w:r>
      <w:r>
        <w:rPr>
          <w:rFonts w:ascii="Times New Roman" w:hAnsi="Times New Roman"/>
          <w:b w:val="0"/>
          <w:i/>
        </w:rPr>
        <w:t>~</w:t>
      </w:r>
      <w:r>
        <w:rPr>
          <w:rFonts w:ascii="Times New Roman" w:hAnsi="Times New Roman"/>
          <w:b w:val="0"/>
          <w:i w:val="0"/>
        </w:rP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ageBreakBefore w:val="0"/>
      </w:pPr>
      <w:r>
        <w:rPr>
          <w:rFonts w:ascii="Times New Roman" w:hAnsi="Times New Roman"/>
          <w:b w:val="0"/>
          <w:i w:val="0"/>
        </w:rPr>
        <w:t>Pathway and transcript-usage discovery</w:t>
      </w:r>
    </w:p>
    <w:p>
      <w:pPr>
        <w:pageBreakBefore w:val="0"/>
      </w:pPr>
      <w:r>
        <w:rPr>
          <w:rFonts w:ascii="Times New Roman" w:hAnsi="Times New Roman"/>
          <w:b w:val="0"/>
          <w:i w:val="0"/>
        </w:rPr>
        <w:t xml:space="preserve">Plant Reactome pathway memberships [26] were transported to lychee through one-to-one reciprocal-best DIAMOND protein matches to </w:t>
      </w:r>
      <w:r>
        <w:rPr>
          <w:rFonts w:ascii="Times New Roman" w:hAnsi="Times New Roman"/>
          <w:b w:val="0"/>
          <w:i/>
        </w:rPr>
        <w:t>Oryza</w:t>
      </w:r>
      <w:r>
        <w:rPr>
          <w:rFonts w:ascii="Times New Roman" w:hAnsi="Times New Roman"/>
          <w:b w:val="0"/>
          <w:i w:val="0"/>
        </w:rP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ageBreakBefore w:val="0"/>
      </w:pPr>
      <w:r>
        <w:rPr>
          <w:rFonts w:ascii="Times New Roman" w:hAnsi="Times New Roman"/>
          <w:b w:val="0"/>
          <w:i w:val="0"/>
        </w:rPr>
        <w:t>Internal robustness gates</w:t>
      </w:r>
    </w:p>
    <w:p>
      <w:pPr>
        <w:pageBreakBefore w:val="0"/>
      </w:pPr>
      <w:r>
        <w:rPr>
          <w:rFonts w:ascii="Times New Roman" w:hAnsi="Times New Roman"/>
          <w:b w:val="0"/>
          <w:i w:val="0"/>
        </w:rP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Times New Roman" w:hAnsi="Times New Roman"/>
          <w:b w:val="0"/>
          <w:i/>
        </w:rPr>
        <w:t>q&lt;0.10</w:t>
      </w:r>
      <w:r>
        <w:rPr>
          <w:rFonts w:ascii="Times New Roman" w:hAnsi="Times New Roman"/>
          <w:b w:val="0"/>
          <w:i w:val="0"/>
        </w:rPr>
        <w:t xml:space="preserve"> plus direction agreement; the expression-filter gate refit the primary model after a counts-per-million filter; and the leave-one-library-out gate required direction agreement in all 12 refits and </w:t>
      </w:r>
      <w:r>
        <w:rPr>
          <w:rFonts w:ascii="Times New Roman" w:hAnsi="Times New Roman"/>
          <w:b w:val="0"/>
          <w:i/>
        </w:rPr>
        <w:t>q&lt;0.10</w:t>
      </w:r>
      <w:r>
        <w:rPr>
          <w:rFonts w:ascii="Times New Roman" w:hAnsi="Times New Roman"/>
          <w:b w:val="0"/>
          <w:i w:val="0"/>
        </w:rPr>
        <w:t xml:space="preserve"> in at least 10 of 12. The observed mapping-sensitivity gate removed candidates whose effect depended on ambiguously mapped reads. Frozen pathways required agreement across camera, roast, leading-edge deletion, and the matched-null comparison.</w:t>
      </w:r>
    </w:p>
    <w:p>
      <w:pPr>
        <w:pStyle w:val="Heading2"/>
        <w:pageBreakBefore w:val="0"/>
      </w:pPr>
      <w:r>
        <w:rPr>
          <w:rFonts w:ascii="Times New Roman" w:hAnsi="Times New Roman"/>
          <w:b w:val="0"/>
          <w:i w:val="0"/>
        </w:rPr>
        <w:t>External frozen evaluation</w:t>
      </w:r>
    </w:p>
    <w:p>
      <w:pPr>
        <w:pageBreakBefore w:val="0"/>
      </w:pPr>
      <w:r>
        <w:rPr>
          <w:rFonts w:ascii="Times New Roman" w:hAnsi="Times New Roman"/>
          <w:b w:val="0"/>
          <w:i w:val="0"/>
        </w:rPr>
        <w:t xml:space="preserve">PRJNA450886 was analyzed with the design </w:t>
      </w:r>
      <w:r>
        <w:rPr>
          <w:rFonts w:ascii="Times New Roman" w:hAnsi="Times New Roman"/>
          <w:b w:val="0"/>
          <w:i/>
        </w:rPr>
        <w:t>~</w:t>
      </w:r>
      <w:r>
        <w:rPr>
          <w:rFonts w:ascii="Times New Roman" w:hAnsi="Times New Roman"/>
          <w:b w:val="0"/>
          <w:i w:val="0"/>
        </w:rPr>
        <w:t xml:space="preserve"> cultivar </w:t>
      </w:r>
      <w:r>
        <w:rPr>
          <w:rFonts w:ascii="Times New Roman" w:hAnsi="Times New Roman"/>
          <w:b w:val="0"/>
          <w:i/>
        </w:rPr>
        <w:t>×</w:t>
      </w:r>
      <w:r>
        <w:rPr>
          <w:rFonts w:ascii="Times New Roman" w:hAnsi="Times New Roman"/>
          <w:b w:val="0"/>
          <w:i w:val="0"/>
        </w:rPr>
        <w:t xml:space="preserve"> treatment </w:t>
      </w:r>
      <w:r>
        <w:rPr>
          <w:rFonts w:ascii="Times New Roman" w:hAnsi="Times New Roman"/>
          <w:b w:val="0"/>
          <w:i/>
        </w:rPr>
        <w:t>×</w:t>
      </w:r>
      <w:r>
        <w:rPr>
          <w:rFonts w:ascii="Times New Roman" w:hAnsi="Times New Roman"/>
          <w:b w:val="0"/>
          <w:i w:val="0"/>
        </w:rPr>
        <w:t xml:space="preserve">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w:t>
      </w:r>
      <w:r>
        <w:rPr>
          <w:rFonts w:ascii="Times New Roman" w:hAnsi="Times New Roman"/>
          <w:b w:val="0"/>
          <w:i/>
        </w:rPr>
        <w:t>log₂(1.5)</w:t>
      </w:r>
      <w:r>
        <w:rPr>
          <w:rFonts w:ascii="Times New Roman" w:hAnsi="Times New Roman"/>
          <w:b w:val="0"/>
          <w:i w:val="0"/>
        </w:rPr>
        <w:t xml:space="preserve">, confidence intervals excluding zero, and discovery-direction agreement; opposite-direction passes were recorded as contradictory. PRJNA922966 was analyzed with </w:t>
      </w:r>
      <w:r>
        <w:rPr>
          <w:rFonts w:ascii="Times New Roman" w:hAnsi="Times New Roman"/>
          <w:b w:val="0"/>
          <w:i/>
        </w:rPr>
        <w:t>~</w:t>
      </w:r>
      <w:r>
        <w:rPr>
          <w:rFonts w:ascii="Times New Roman" w:hAnsi="Times New Roman"/>
          <w:b w:val="0"/>
          <w:i w:val="0"/>
        </w:rPr>
        <w:t xml:space="preserve"> tissue + treatment + tissue:treatment for generic-transfer tests, and PRJNA1090613 outcomes were confined to exploratory status by protocol. The frozen signed signature was evaluated as a library-level score with the same family-wise adjustment.</w:t>
      </w:r>
    </w:p>
    <w:p>
      <w:pPr>
        <w:pStyle w:val="Heading2"/>
        <w:pageBreakBefore w:val="0"/>
      </w:pPr>
      <w:r>
        <w:rPr>
          <w:rFonts w:ascii="Times New Roman" w:hAnsi="Times New Roman"/>
          <w:b w:val="0"/>
          <w:i w:val="0"/>
        </w:rPr>
        <w:t>Annotation, motif, small-RNA, and literature classes</w:t>
      </w:r>
    </w:p>
    <w:p>
      <w:pPr>
        <w:pageBreakBefore w:val="0"/>
      </w:pPr>
      <w:r>
        <w:rPr>
          <w:rFonts w:ascii="Times New Roman" w:hAnsi="Times New Roman"/>
          <w:b w:val="0"/>
          <w:i w:val="0"/>
        </w:rPr>
        <w:t xml:space="preserve">Representative proteins were chosen by longest coding sequence with lexicographic tie-breaking. Reviewed Swiss-Prot (release 2026_02) DIAMOND matches [35], targeted InterPro/Pfam domain assignments [36], and one-to-one </w:t>
      </w:r>
      <w:r>
        <w:rPr>
          <w:rFonts w:ascii="Times New Roman" w:hAnsi="Times New Roman"/>
          <w:b w:val="0"/>
          <w:i/>
        </w:rPr>
        <w:t>Oryza</w:t>
      </w:r>
      <w:r>
        <w:rPr>
          <w:rFonts w:ascii="Times New Roman" w:hAnsi="Times New Roman"/>
          <w:b w:val="0"/>
          <w:i w:val="0"/>
        </w:rP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rFonts w:ascii="Times New Roman" w:hAnsi="Times New Roman"/>
          <w:b w:val="0"/>
          <w:i/>
        </w:rPr>
        <w:t>Litchi</w:t>
      </w:r>
      <w:r>
        <w:rPr>
          <w:rFonts w:ascii="Times New Roman" w:hAnsi="Times New Roman"/>
          <w:b w:val="0"/>
          <w:i w:val="0"/>
        </w:rP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Times New Roman" w:hAnsi="Times New Roman"/>
          <w:b w:val="0"/>
          <w:i/>
        </w:rPr>
        <w:t>P</w:t>
      </w:r>
      <w:r>
        <w:rPr>
          <w:rFonts w:ascii="Times New Roman" w:hAnsi="Times New Roman"/>
          <w:b w:val="0"/>
          <w:i w:val="0"/>
        </w:rPr>
        <w:t>-values were adjusted across seven classes. The missing archived observed-motif TSV and canonical-promoter recount discrepancies were retained as explicit provenance limitations (Supplementary S15).</w:t>
      </w:r>
    </w:p>
    <w:p>
      <w:pPr>
        <w:pStyle w:val="Heading2"/>
        <w:pageBreakBefore w:val="0"/>
      </w:pPr>
      <w:r>
        <w:rPr>
          <w:rFonts w:ascii="Times New Roman" w:hAnsi="Times New Roman"/>
          <w:b w:val="0"/>
          <w:i w:val="0"/>
        </w:rPr>
        <w:t>Simulation-based power analysis</w:t>
      </w:r>
    </w:p>
    <w:p>
      <w:pPr>
        <w:pageBreakBefore w:val="0"/>
      </w:pPr>
      <w:r>
        <w:rPr>
          <w:rFonts w:ascii="Times New Roman" w:hAnsi="Times New Roman"/>
          <w:b w:val="0"/>
          <w:i w:val="0"/>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ageBreakBefore w:val="0"/>
      </w:pPr>
      <w:r>
        <w:rPr>
          <w:rFonts w:ascii="Times New Roman" w:hAnsi="Times New Roman"/>
          <w:b w:val="0"/>
          <w:i w:val="0"/>
        </w:rPr>
        <w:t>Tier rules, software versions, and reproducibility</w:t>
      </w:r>
    </w:p>
    <w:p>
      <w:pPr>
        <w:pageBreakBefore w:val="0"/>
      </w:pPr>
      <w:r>
        <w:rPr>
          <w:rFonts w:ascii="Times New Roman" w:hAnsi="Times New Roman"/>
          <w:b w:val="0"/>
          <w:i w:val="0"/>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ageBreakBefore w:val="0"/>
      </w:pPr>
      <w:r>
        <w:rPr>
          <w:rFonts w:ascii="Times New Roman" w:hAnsi="Times New Roman"/>
          <w:b w:val="0"/>
          <w:i w:val="0"/>
        </w:rPr>
        <w:t>Declarations</w:t>
      </w:r>
    </w:p>
    <w:p>
      <w:pPr>
        <w:pageBreakBefore w:val="0"/>
      </w:pPr>
      <w:r>
        <w:rPr>
          <w:rFonts w:ascii="Times New Roman" w:hAnsi="Times New Roman"/>
          <w:b/>
          <w:i w:val="0"/>
        </w:rPr>
        <w:t>Funding:</w:t>
      </w:r>
      <w:r>
        <w:rPr>
          <w:rFonts w:ascii="Times New Roman" w:hAnsi="Times New Roman"/>
          <w:b w:val="0"/>
          <w:i w:val="0"/>
        </w:rPr>
        <w:t xml:space="preserve"> This work received no external funding. </w:t>
      </w:r>
      <w:r>
        <w:rPr>
          <w:rFonts w:ascii="Times New Roman" w:hAnsi="Times New Roman"/>
          <w:b/>
          <w:i w:val="0"/>
        </w:rPr>
        <w:t>Conflicts of interest:</w:t>
      </w:r>
      <w:r>
        <w:rPr>
          <w:rFonts w:ascii="Times New Roman" w:hAnsi="Times New Roman"/>
          <w:b w:val="0"/>
          <w:i w:val="0"/>
        </w:rPr>
        <w:t xml:space="preserve"> The author declares no conflicts of interest. </w:t>
      </w:r>
      <w:r>
        <w:rPr>
          <w:rFonts w:ascii="Times New Roman" w:hAnsi="Times New Roman"/>
          <w:b/>
          <w:i w:val="0"/>
        </w:rPr>
        <w:t>Author contributions:</w:t>
      </w:r>
      <w:r>
        <w:rPr>
          <w:rFonts w:ascii="Times New Roman" w:hAnsi="Times New Roman"/>
          <w:b w:val="0"/>
          <w:i w:val="0"/>
        </w:rPr>
        <w:t xml:space="preserve"> E.Z. conceived the study, performed all analyses, and wrote the manuscript.</w:t>
      </w:r>
    </w:p>
    <w:p>
      <w:pPr>
        <w:pStyle w:val="Heading1"/>
        <w:pageBreakBefore w:val="0"/>
      </w:pPr>
      <w:r>
        <w:rPr>
          <w:rFonts w:ascii="Times New Roman" w:hAnsi="Times New Roman"/>
          <w:b w:val="0"/>
          <w:i w:val="0"/>
        </w:rPr>
        <w:t>Data and code availability</w:t>
      </w:r>
    </w:p>
    <w:p>
      <w:pPr>
        <w:pageBreakBefore w:val="0"/>
      </w:pPr>
      <w:r>
        <w:rPr>
          <w:rFonts w:ascii="Times New Roman" w:hAnsi="Times New Roman"/>
          <w:b w:val="0"/>
          <w:i w:val="0"/>
        </w:rPr>
        <w:t xml:space="preserve">All analyzed data are public: PRJNA830488 (GSE201243, discovery), PRJNA450886 (primary external), PRJNA922966 (GSE222651, generic transfer), PRJNA922965 (GSE222650, small RNA), and PRJNA1090613 (GSE262200, exploratory). The registered protocol, amendment log, complete result tables (all discovery statistics, robustness manifests, external tests, pathway/signature tests, transcript-usage results, annotation and orthogonal evidence, and the contradictory-results file), and the workflow code accompany this repository. Supplementary Tables S1–S18, Figures S1–S3, and tab-separated figure source data are permanently archived under CC BY 4.0 on Zenodo at </w:t>
      </w:r>
      <w:hyperlink r:id="rId16">
        <w:r>
          <w:rPr>
            <w:color w:val="0563C1"/>
            <w:u w:val="single"/>
          </w:rPr>
          <w:t>https://zenodo.org/records/22436625</w:t>
        </w:r>
      </w:hyperlink>
      <w:r>
        <w:rPr>
          <w:rFonts w:ascii="Times New Roman" w:hAnsi="Times New Roman"/>
          <w:b w:val="0"/>
          <w:i w:val="0"/>
        </w:rPr>
        <w:t>.</w:t>
      </w:r>
    </w:p>
    <w:p>
      <w:pPr>
        <w:pStyle w:val="Heading1"/>
        <w:pageBreakBefore w:val="0"/>
      </w:pPr>
      <w:r>
        <w:rPr>
          <w:rFonts w:ascii="Times New Roman" w:hAnsi="Times New Roman"/>
          <w:b w:val="0"/>
          <w:i w:val="0"/>
        </w:rPr>
        <w:t>Supplementary information</w:t>
      </w:r>
    </w:p>
    <w:p>
      <w:pPr>
        <w:pageBreakBefore w:val="0"/>
      </w:pPr>
      <w:r>
        <w:rPr>
          <w:rFonts w:ascii="Times New Roman" w:hAnsi="Times New Roman"/>
          <w:b w:val="0"/>
          <w:i w:val="0"/>
        </w:rPr>
        <w:t>Supplementary tables S1–S18 provide the biological-unit registry, per-library quality control, all 19,445 discovery statistics (including composite-null and false-sign-or-small columns), robustness manifests, all external frozen tests, pathway/signature and transcript-usage results, annotation and orthology evidence, the small-RNA gate, all registered motif-background tests, the evidence registry, script/environment inventory, amendment log, within-cultivar legacy audit (S14), controlled PlantCARE background comparison (S15), reconstructed search queries and eligibility decisions (S16a–b), exact software versions (S17), and power minimum-detectable effects (S18). Figure S1 shows replicate-level normalized counts, Figure S2 the conditional power curves, and Figure S3 the quarantined exploratory signature estimate. Every main and supplementary analytical figure has tab-separated source data where applicable.</w:t>
      </w:r>
    </w:p>
    <w:p>
      <w:pPr>
        <w:keepNext/>
        <w:pageBreakBefore/>
        <w:ind w:firstLine="0"/>
        <w:jc w:val="center"/>
      </w:pPr>
      <w:r>
        <w:drawing>
          <wp:inline xmlns:a="http://schemas.openxmlformats.org/drawingml/2006/main" xmlns:pic="http://schemas.openxmlformats.org/drawingml/2006/picture">
            <wp:extent cx="6172200" cy="5640441"/>
            <wp:docPr id="7" name="Picture 7" descr="Replicate-level normalized counts for the two cross-context-supported genes, twelve Tier B genes, and two legacy highlights. Points are individual deposited libraries; bars show cultivar-treatment medians."/>
            <wp:cNvGraphicFramePr>
              <a:graphicFrameLocks noChangeAspect="1"/>
            </wp:cNvGraphicFramePr>
            <a:graphic>
              <a:graphicData uri="http://schemas.openxmlformats.org/drawingml/2006/picture">
                <pic:pic>
                  <pic:nvPicPr>
                    <pic:cNvPr id="0" name="FigureS1_replicate_level_counts.png"/>
                    <pic:cNvPicPr/>
                  </pic:nvPicPr>
                  <pic:blipFill>
                    <a:blip r:embed="rId17"/>
                    <a:stretch>
                      <a:fillRect/>
                    </a:stretch>
                  </pic:blipFill>
                  <pic:spPr>
                    <a:xfrm>
                      <a:off x="0" y="0"/>
                      <a:ext cx="6172200" cy="5640441"/>
                    </a:xfrm>
                    <a:prstGeom prst="rect"/>
                  </pic:spPr>
                </pic:pic>
              </a:graphicData>
            </a:graphic>
          </wp:inline>
        </w:drawing>
      </w:r>
    </w:p>
    <w:p>
      <w:pPr>
        <w:pStyle w:val="Caption"/>
      </w:pPr>
      <w:r>
        <w:rPr>
          <w:b/>
        </w:rPr>
        <w:t xml:space="preserve">Figure S1. </w:t>
      </w:r>
      <w:r>
        <w:rPr>
          <w:rFonts w:ascii="Times New Roman" w:hAnsi="Times New Roman"/>
          <w:b/>
          <w:i w:val="0"/>
          <w:sz w:val="18"/>
        </w:rPr>
        <w:t>Replicate-level normalized counts for the two cross-context-supported genes, twelve Tier B genes, and two legacy highlights.</w:t>
      </w:r>
      <w:r>
        <w:rPr>
          <w:rFonts w:ascii="Times New Roman" w:hAnsi="Times New Roman"/>
          <w:b w:val="0"/>
          <w:i w:val="0"/>
          <w:sz w:val="18"/>
        </w:rPr>
        <w:t xml:space="preserve"> Points are individual deposited libraries; bars show cultivar-treatment medians.</w:t>
      </w:r>
    </w:p>
    <w:p>
      <w:pPr>
        <w:keepNext/>
        <w:pageBreakBefore/>
        <w:ind w:firstLine="0"/>
        <w:jc w:val="center"/>
      </w:pPr>
      <w:r>
        <w:drawing>
          <wp:inline xmlns:a="http://schemas.openxmlformats.org/drawingml/2006/main" xmlns:pic="http://schemas.openxmlformats.org/drawingml/2006/picture">
            <wp:extent cx="6172200" cy="3233283"/>
            <wp:docPr id="8" name="Picture 8" descr="Parametric detection probability for cultivar-by-infection effects under genome-wide discovery and candidate-family external adjustment. Curves show the overall result and mean-expression quartiles; the dashed line marks 80\% power."/>
            <wp:cNvGraphicFramePr>
              <a:graphicFrameLocks noChangeAspect="1"/>
            </wp:cNvGraphicFramePr>
            <a:graphic>
              <a:graphicData uri="http://schemas.openxmlformats.org/drawingml/2006/picture">
                <pic:pic>
                  <pic:nvPicPr>
                    <pic:cNvPr id="0" name="FigureS2_power_analysis.png"/>
                    <pic:cNvPicPr/>
                  </pic:nvPicPr>
                  <pic:blipFill>
                    <a:blip r:embed="rId18"/>
                    <a:stretch>
                      <a:fillRect/>
                    </a:stretch>
                  </pic:blipFill>
                  <pic:spPr>
                    <a:xfrm>
                      <a:off x="0" y="0"/>
                      <a:ext cx="6172200" cy="3233283"/>
                    </a:xfrm>
                    <a:prstGeom prst="rect"/>
                  </pic:spPr>
                </pic:pic>
              </a:graphicData>
            </a:graphic>
          </wp:inline>
        </w:drawing>
      </w:r>
    </w:p>
    <w:p>
      <w:pPr>
        <w:pStyle w:val="Caption"/>
      </w:pPr>
      <w:r>
        <w:rPr>
          <w:b/>
        </w:rPr>
        <w:t xml:space="preserve">Figure S2. </w:t>
      </w:r>
      <w:r>
        <w:rPr>
          <w:rFonts w:ascii="Times New Roman" w:hAnsi="Times New Roman"/>
          <w:b/>
          <w:i w:val="0"/>
          <w:sz w:val="18"/>
        </w:rPr>
        <w:t>Parametric detection probability for cultivar-by-infection effects under genome-wide discovery and candidate-family external adjustment.</w:t>
      </w:r>
      <w:r>
        <w:rPr>
          <w:rFonts w:ascii="Times New Roman" w:hAnsi="Times New Roman"/>
          <w:b w:val="0"/>
          <w:i w:val="0"/>
          <w:sz w:val="18"/>
        </w:rPr>
        <w:t xml:space="preserve"> Curves show the overall result and mean-expression quartiles; the dashed line marks 80% power.</w:t>
      </w:r>
    </w:p>
    <w:p>
      <w:pPr>
        <w:keepNext/>
        <w:pageBreakBefore/>
        <w:ind w:firstLine="0"/>
        <w:jc w:val="center"/>
      </w:pPr>
      <w:r>
        <w:drawing>
          <wp:inline xmlns:a="http://schemas.openxmlformats.org/drawingml/2006/main" xmlns:pic="http://schemas.openxmlformats.org/drawingml/2006/picture">
            <wp:extent cx="6172200" cy="2459384"/>
            <wp:docPr id="9" name="Picture 9" descr="Quarantined PRJNA1090613 signed-signature estimate, retained as exploratory rather than confirmatory evidence."/>
            <wp:cNvGraphicFramePr>
              <a:graphicFrameLocks noChangeAspect="1"/>
            </wp:cNvGraphicFramePr>
            <a:graphic>
              <a:graphicData uri="http://schemas.openxmlformats.org/drawingml/2006/picture">
                <pic:pic>
                  <pic:nvPicPr>
                    <pic:cNvPr id="0" name="figureS3_exploratory_signature.png"/>
                    <pic:cNvPicPr/>
                  </pic:nvPicPr>
                  <pic:blipFill>
                    <a:blip r:embed="rId19"/>
                    <a:stretch>
                      <a:fillRect/>
                    </a:stretch>
                  </pic:blipFill>
                  <pic:spPr>
                    <a:xfrm>
                      <a:off x="0" y="0"/>
                      <a:ext cx="6172200" cy="2459384"/>
                    </a:xfrm>
                    <a:prstGeom prst="rect"/>
                  </pic:spPr>
                </pic:pic>
              </a:graphicData>
            </a:graphic>
          </wp:inline>
        </w:drawing>
      </w:r>
    </w:p>
    <w:p>
      <w:pPr>
        <w:pStyle w:val="Caption"/>
      </w:pPr>
      <w:r>
        <w:rPr>
          <w:b/>
        </w:rPr>
        <w:t xml:space="preserve">Figure S3. </w:t>
      </w:r>
      <w:r>
        <w:rPr>
          <w:rFonts w:ascii="Times New Roman" w:hAnsi="Times New Roman"/>
          <w:b/>
          <w:i w:val="0"/>
          <w:sz w:val="18"/>
        </w:rPr>
        <w:t>Quarantined PRJNA1090613 signed-signature estimate,</w:t>
      </w:r>
      <w:r>
        <w:rPr>
          <w:rFonts w:ascii="Times New Roman" w:hAnsi="Times New Roman"/>
          <w:b w:val="0"/>
          <w:i w:val="0"/>
          <w:sz w:val="18"/>
        </w:rPr>
        <w:t xml:space="preserve"> retained as exploratory rather than confirmatory evidence.</w:t>
      </w:r>
    </w:p>
    <w:p>
      <w:pPr>
        <w:pStyle w:val="Heading1"/>
        <w:pageBreakBefore/>
      </w:pPr>
      <w:r>
        <w:rPr>
          <w:rFonts w:ascii="Times New Roman" w:hAnsi="Times New Roman"/>
          <w:b w:val="0"/>
          <w:i w:val="0"/>
        </w:rPr>
        <w:t>References</w:t>
      </w:r>
    </w:p>
    <w:p>
      <w:pPr>
        <w:spacing w:line="240" w:lineRule="auto" w:after="60"/>
        <w:ind w:left="403" w:hanging="403"/>
      </w:pPr>
      <w:r>
        <w:rPr>
          <w:b w:val="0"/>
        </w:rPr>
        <w:t xml:space="preserve">1. </w:t>
      </w:r>
      <w:r>
        <w:rPr>
          <w:rFonts w:ascii="Times New Roman" w:hAnsi="Times New Roman"/>
          <w:b w:val="0"/>
          <w:i w:val="0"/>
          <w:sz w:val="19"/>
        </w:rPr>
        <w:t>Morton JF. Lychee. In: Fruits of Warm Climates. Winterville: Creative Resource Systems; 1987. p. 249–259.</w:t>
      </w:r>
    </w:p>
    <w:p>
      <w:pPr>
        <w:spacing w:line="240" w:lineRule="auto" w:after="60"/>
        <w:ind w:left="403" w:hanging="403"/>
      </w:pPr>
      <w:r>
        <w:rPr>
          <w:b w:val="0"/>
        </w:rPr>
        <w:t xml:space="preserve">2. </w:t>
      </w:r>
      <w:r>
        <w:rPr>
          <w:rFonts w:ascii="Times New Roman" w:hAnsi="Times New Roman"/>
          <w:b w:val="0"/>
          <w:i w:val="0"/>
          <w:sz w:val="19"/>
        </w:rPr>
        <w:t xml:space="preserve">Sun J, Gao Z, Zhang X, Zou X, Cao L, Wang J. Transcriptome analysis of </w:t>
      </w:r>
      <w:r>
        <w:rPr>
          <w:rFonts w:ascii="Times New Roman" w:hAnsi="Times New Roman"/>
          <w:b w:val="0"/>
          <w:i/>
          <w:sz w:val="19"/>
        </w:rPr>
        <w:t>Phytophthora litchii</w:t>
      </w:r>
      <w:r>
        <w:rPr>
          <w:rFonts w:ascii="Times New Roman" w:hAnsi="Times New Roman"/>
          <w:b w:val="0"/>
          <w:i w:val="0"/>
          <w:sz w:val="19"/>
        </w:rPr>
        <w:t xml:space="preserve"> reveals pathogenicity arsenals and confirms taxonomic status. PLoS ONE. 2017;12:e0178245.</w:t>
      </w:r>
    </w:p>
    <w:p>
      <w:pPr>
        <w:spacing w:line="240" w:lineRule="auto" w:after="60"/>
        <w:ind w:left="403" w:hanging="403"/>
      </w:pPr>
      <w:r>
        <w:rPr>
          <w:b w:val="0"/>
        </w:rPr>
        <w:t xml:space="preserve">3. </w:t>
      </w:r>
      <w:r>
        <w:rPr>
          <w:rFonts w:ascii="Times New Roman" w:hAnsi="Times New Roman"/>
          <w:b w:val="0"/>
          <w:i w:val="0"/>
          <w:sz w:val="19"/>
        </w:rPr>
        <w:t>Yi C, Jiang Y, Shi J, Qu H, Xue S, Duan X, et al. ATP-regulation of antioxidant properties and phenolics in litchi fruit during browning and pathogen infection process. Food Chemistry. 2010;118:42–47.</w:t>
      </w:r>
    </w:p>
    <w:p>
      <w:pPr>
        <w:spacing w:line="240" w:lineRule="auto" w:after="60"/>
        <w:ind w:left="403" w:hanging="403"/>
      </w:pPr>
      <w:r>
        <w:rPr>
          <w:b w:val="0"/>
        </w:rPr>
        <w:t xml:space="preserve">4. </w:t>
      </w:r>
      <w:r>
        <w:rPr>
          <w:rFonts w:ascii="Times New Roman" w:hAnsi="Times New Roman"/>
          <w:b w:val="0"/>
          <w:i w:val="0"/>
          <w:sz w:val="19"/>
        </w:rPr>
        <w:t>Hu G, Feng J, Xiang X, Wang J, Salojärvi J, Liu C, et al. Two divergent haplotypes from a highly heterozygous lychee genome suggest independent domestication events for early and late-maturing cultivars. Nature Genetics. 2022;54:73–83.</w:t>
      </w:r>
    </w:p>
    <w:p>
      <w:pPr>
        <w:spacing w:line="240" w:lineRule="auto" w:after="60"/>
        <w:ind w:left="403" w:hanging="403"/>
      </w:pPr>
      <w:r>
        <w:rPr>
          <w:b w:val="0"/>
        </w:rPr>
        <w:t xml:space="preserve">5. </w:t>
      </w:r>
      <w:r>
        <w:rPr>
          <w:rFonts w:ascii="Times New Roman" w:hAnsi="Times New Roman"/>
          <w:b w:val="0"/>
          <w:i w:val="0"/>
          <w:sz w:val="19"/>
        </w:rPr>
        <w:t xml:space="preserve">Sun J, Cao L, Li H, Wang G, Wang S, Li F, et al. Early responses given distinct tactics to infection of </w:t>
      </w:r>
      <w:r>
        <w:rPr>
          <w:rFonts w:ascii="Times New Roman" w:hAnsi="Times New Roman"/>
          <w:b w:val="0"/>
          <w:i/>
          <w:sz w:val="19"/>
        </w:rPr>
        <w:t>Peronophythora litchii</w:t>
      </w:r>
      <w:r>
        <w:rPr>
          <w:rFonts w:ascii="Times New Roman" w:hAnsi="Times New Roman"/>
          <w:b w:val="0"/>
          <w:i w:val="0"/>
          <w:sz w:val="19"/>
        </w:rPr>
        <w:t xml:space="preserve"> in susceptible and resistant litchi cultivar. Scientific Reports. 2019;9:2810.</w:t>
      </w:r>
    </w:p>
    <w:p>
      <w:pPr>
        <w:spacing w:line="240" w:lineRule="auto" w:after="60"/>
        <w:ind w:left="403" w:hanging="403"/>
      </w:pPr>
      <w:r>
        <w:rPr>
          <w:b w:val="0"/>
        </w:rPr>
        <w:t xml:space="preserve">6. </w:t>
      </w:r>
      <w:r>
        <w:rPr>
          <w:rFonts w:ascii="Times New Roman" w:hAnsi="Times New Roman"/>
          <w:b w:val="0"/>
          <w:i w:val="0"/>
          <w:sz w:val="19"/>
        </w:rPr>
        <w:t>Liu H, Yan Q, Jiang Y, Shi F, Chen J, Cai C, et al. Identification of LcCDPKs and analysis of their expression patterns in response to downy mildew stresses in lychee. Journal of Fruit Science. 2023;40:442–456.</w:t>
      </w:r>
    </w:p>
    <w:p>
      <w:pPr>
        <w:spacing w:line="240" w:lineRule="auto" w:after="60"/>
        <w:ind w:left="403" w:hanging="403"/>
      </w:pPr>
      <w:r>
        <w:rPr>
          <w:b w:val="0"/>
        </w:rPr>
        <w:t xml:space="preserve">7. </w:t>
      </w:r>
      <w:r>
        <w:rPr>
          <w:rFonts w:ascii="Times New Roman" w:hAnsi="Times New Roman"/>
          <w:b w:val="0"/>
          <w:i w:val="0"/>
          <w:sz w:val="19"/>
        </w:rPr>
        <w:t xml:space="preserve">Li P, Li W, Zhou X, Situ J, Xie L, Xi P, et al. </w:t>
      </w:r>
      <w:r>
        <w:rPr>
          <w:rFonts w:ascii="Times New Roman" w:hAnsi="Times New Roman"/>
          <w:b w:val="0"/>
          <w:i/>
          <w:sz w:val="19"/>
        </w:rPr>
        <w:t>Peronophythora litchii</w:t>
      </w:r>
      <w:r>
        <w:rPr>
          <w:rFonts w:ascii="Times New Roman" w:hAnsi="Times New Roman"/>
          <w:b w:val="0"/>
          <w:i w:val="0"/>
          <w:sz w:val="19"/>
        </w:rPr>
        <w:t xml:space="preserve"> RXLR effector PlAvh202 destabilizes a host ethylene biosynthesis enzyme. Plant Physiology. 2023;193:756–774.</w:t>
      </w:r>
    </w:p>
    <w:p>
      <w:pPr>
        <w:spacing w:line="240" w:lineRule="auto" w:after="60"/>
        <w:ind w:left="403" w:hanging="403"/>
      </w:pPr>
      <w:r>
        <w:rPr>
          <w:b w:val="0"/>
        </w:rPr>
        <w:t xml:space="preserve">8. </w:t>
      </w:r>
      <w:r>
        <w:rPr>
          <w:rFonts w:ascii="Times New Roman" w:hAnsi="Times New Roman"/>
          <w:b w:val="0"/>
          <w:i w:val="0"/>
          <w:sz w:val="19"/>
        </w:rPr>
        <w:t xml:space="preserve">National Center for Biotechnology Information. GEO accession GSE201243. </w:t>
      </w:r>
      <w:hyperlink r:id="rId20">
        <w:r>
          <w:rPr>
            <w:color w:val="0563C1"/>
            <w:u w:val="single"/>
          </w:rPr>
          <w:t>https://www.ncbi.nlm.nih.gov/geo/query/acc.cgi?acc=GSE201243</w:t>
        </w:r>
      </w:hyperlink>
      <w:r>
        <w:rPr>
          <w:rFonts w:ascii="Times New Roman" w:hAnsi="Times New Roman"/>
          <w:b w:val="0"/>
          <w:i w:val="0"/>
          <w:sz w:val="19"/>
        </w:rPr>
        <w:t>.</w:t>
      </w:r>
    </w:p>
    <w:p>
      <w:pPr>
        <w:spacing w:line="240" w:lineRule="auto" w:after="60"/>
        <w:ind w:left="403" w:hanging="403"/>
      </w:pPr>
      <w:r>
        <w:rPr>
          <w:b w:val="0"/>
        </w:rPr>
        <w:t xml:space="preserve">9. </w:t>
      </w:r>
      <w:r>
        <w:rPr>
          <w:rFonts w:ascii="Times New Roman" w:hAnsi="Times New Roman"/>
          <w:b w:val="0"/>
          <w:i w:val="0"/>
          <w:sz w:val="19"/>
        </w:rPr>
        <w:t>Berka M, Kopecká R, Berková V, Brzobohatý B, Černý M. Regulation of heat shock proteins 70 and their role in plant immunity. Journal of Experimental Botany. 2022;73:1894–1909.</w:t>
      </w:r>
    </w:p>
    <w:p>
      <w:pPr>
        <w:spacing w:line="240" w:lineRule="auto" w:after="60"/>
        <w:ind w:left="403" w:hanging="403"/>
      </w:pPr>
      <w:r>
        <w:rPr>
          <w:b w:val="0"/>
        </w:rPr>
        <w:t xml:space="preserve">10. </w:t>
      </w:r>
      <w:r>
        <w:rPr>
          <w:rFonts w:ascii="Times New Roman" w:hAnsi="Times New Roman"/>
          <w:b w:val="0"/>
          <w:i w:val="0"/>
          <w:sz w:val="19"/>
        </w:rPr>
        <w:t>Andrews S. FastQC: a quality control tool for high throughput sequence data. Babraham Bioinformatics; 2010.</w:t>
      </w:r>
    </w:p>
    <w:p>
      <w:pPr>
        <w:spacing w:line="240" w:lineRule="auto" w:after="60"/>
        <w:ind w:left="403" w:hanging="403"/>
      </w:pPr>
      <w:r>
        <w:rPr>
          <w:b w:val="0"/>
        </w:rPr>
        <w:t xml:space="preserve">11. </w:t>
      </w:r>
      <w:r>
        <w:rPr>
          <w:rFonts w:ascii="Times New Roman" w:hAnsi="Times New Roman"/>
          <w:b w:val="0"/>
          <w:i w:val="0"/>
          <w:sz w:val="19"/>
        </w:rPr>
        <w:t>Bolger AM, Lohse M, Usadel B. Trimmomatic: a flexible trimmer for Illumina sequence data. Bioinformatics. 2014;30:2114–2120.</w:t>
      </w:r>
    </w:p>
    <w:p>
      <w:pPr>
        <w:spacing w:line="240" w:lineRule="auto" w:after="60"/>
        <w:ind w:left="403" w:hanging="403"/>
      </w:pPr>
      <w:r>
        <w:rPr>
          <w:b w:val="0"/>
        </w:rPr>
        <w:t xml:space="preserve">12. </w:t>
      </w:r>
      <w:r>
        <w:rPr>
          <w:rFonts w:ascii="Times New Roman" w:hAnsi="Times New Roman"/>
          <w:b w:val="0"/>
          <w:i w:val="0"/>
          <w:sz w:val="19"/>
        </w:rPr>
        <w:t>Kim D, Pertea G, Trapnell C, Pimentel H, Kelley R, Salzberg SL. TopHat2: accurate alignment of transcriptomes in the presence of insertions, deletions and gene fusions. Genome Biology. 2013;14:R36.</w:t>
      </w:r>
    </w:p>
    <w:p>
      <w:pPr>
        <w:spacing w:line="240" w:lineRule="auto" w:after="60"/>
        <w:ind w:left="403" w:hanging="403"/>
      </w:pPr>
      <w:r>
        <w:rPr>
          <w:b w:val="0"/>
        </w:rPr>
        <w:t xml:space="preserve">13. </w:t>
      </w:r>
      <w:r>
        <w:rPr>
          <w:rFonts w:ascii="Times New Roman" w:hAnsi="Times New Roman"/>
          <w:b w:val="0"/>
          <w:i w:val="0"/>
          <w:sz w:val="19"/>
        </w:rPr>
        <w:t>Anders S, Pyl PT, Huber W. HTSeq–-a Python framework to work with high-throughput sequencing data. Bioinformatics. 2015;31:166–169.</w:t>
      </w:r>
    </w:p>
    <w:p>
      <w:pPr>
        <w:spacing w:line="240" w:lineRule="auto" w:after="60"/>
        <w:ind w:left="403" w:hanging="403"/>
      </w:pPr>
      <w:r>
        <w:rPr>
          <w:b w:val="0"/>
        </w:rPr>
        <w:t xml:space="preserve">14. </w:t>
      </w:r>
      <w:r>
        <w:rPr>
          <w:rFonts w:ascii="Times New Roman" w:hAnsi="Times New Roman"/>
          <w:b w:val="0"/>
          <w:i w:val="0"/>
          <w:sz w:val="19"/>
        </w:rPr>
        <w:t xml:space="preserve">Genome Warehouse. </w:t>
      </w:r>
      <w:r>
        <w:rPr>
          <w:rFonts w:ascii="Times New Roman" w:hAnsi="Times New Roman"/>
          <w:b w:val="0"/>
          <w:i/>
          <w:sz w:val="19"/>
        </w:rPr>
        <w:t>Litchi chinensis</w:t>
      </w:r>
      <w:r>
        <w:rPr>
          <w:rFonts w:ascii="Times New Roman" w:hAnsi="Times New Roman"/>
          <w:b w:val="0"/>
          <w:i w:val="0"/>
          <w:sz w:val="19"/>
        </w:rPr>
        <w:t xml:space="preserve"> SCAU_Lch_v2.0 assembly (GCA_019925255.1). National Genomics Data Center, China National Center for Bioinformation.</w:t>
      </w:r>
    </w:p>
    <w:p>
      <w:pPr>
        <w:spacing w:line="240" w:lineRule="auto" w:after="60"/>
        <w:ind w:left="403" w:hanging="403"/>
      </w:pPr>
      <w:r>
        <w:rPr>
          <w:b w:val="0"/>
        </w:rPr>
        <w:t xml:space="preserve">15. </w:t>
      </w:r>
      <w:r>
        <w:rPr>
          <w:rFonts w:ascii="Times New Roman" w:hAnsi="Times New Roman"/>
          <w:b w:val="0"/>
          <w:i w:val="0"/>
          <w:sz w:val="19"/>
        </w:rPr>
        <w:t>Love MI, Huber W, Anders S. Moderated estimation of fold change and dispersion for RNA-seq data with DESeq2. Genome Biology. 2014;15:550.</w:t>
      </w:r>
    </w:p>
    <w:p>
      <w:pPr>
        <w:spacing w:line="240" w:lineRule="auto" w:after="60"/>
        <w:ind w:left="403" w:hanging="403"/>
      </w:pPr>
      <w:r>
        <w:rPr>
          <w:b w:val="0"/>
        </w:rPr>
        <w:t xml:space="preserve">16. </w:t>
      </w:r>
      <w:r>
        <w:rPr>
          <w:rFonts w:ascii="Times New Roman" w:hAnsi="Times New Roman"/>
          <w:b w:val="0"/>
          <w:i w:val="0"/>
          <w:sz w:val="19"/>
        </w:rPr>
        <w:t>Chen C, Chen H, Zhang Y, Thomas HR, Frank MH, He Y, et al. TBtools: an integrative toolkit developed for interactive analyses of big biological data. Molecular Plant. 2020;13:1194–1202.</w:t>
      </w:r>
    </w:p>
    <w:p>
      <w:pPr>
        <w:spacing w:line="240" w:lineRule="auto" w:after="60"/>
        <w:ind w:left="403" w:hanging="403"/>
      </w:pPr>
      <w:r>
        <w:rPr>
          <w:b w:val="0"/>
        </w:rPr>
        <w:t xml:space="preserve">17. </w:t>
      </w:r>
      <w:r>
        <w:rPr>
          <w:rFonts w:ascii="Times New Roman" w:hAnsi="Times New Roman"/>
          <w:b w:val="0"/>
          <w:i w:val="0"/>
          <w:sz w:val="19"/>
        </w:rPr>
        <w:t>Bailey TL, Elkan C. Fitting a mixture model by expectation maximization to discover motifs in biopolymers. In: Proceedings of the Second International Conference on Intelligent Systems for Molecular Biology. Menlo Park: AAAI Press; 1994. p. 28–36.</w:t>
      </w:r>
    </w:p>
    <w:p>
      <w:pPr>
        <w:spacing w:line="240" w:lineRule="auto" w:after="60"/>
        <w:ind w:left="403" w:hanging="403"/>
      </w:pPr>
      <w:r>
        <w:rPr>
          <w:b w:val="0"/>
        </w:rPr>
        <w:t xml:space="preserve">18. </w:t>
      </w:r>
      <w:r>
        <w:rPr>
          <w:rFonts w:ascii="Times New Roman" w:hAnsi="Times New Roman"/>
          <w:b w:val="0"/>
          <w:i w:val="0"/>
          <w:sz w:val="19"/>
        </w:rPr>
        <w:t>Lescot M, Déhais P, Thijs G, Marchal K, Moreau Y, Van de Peer Y, et al. PlantCARE, a database of plant cis-acting regulatory elements and a portal to tools for in silico analysis of promoter sequences. Nucleic Acids Research. 2002;30:325–327.</w:t>
      </w:r>
    </w:p>
    <w:p>
      <w:pPr>
        <w:spacing w:line="240" w:lineRule="auto" w:after="60"/>
        <w:ind w:left="403" w:hanging="403"/>
      </w:pPr>
      <w:r>
        <w:rPr>
          <w:b w:val="0"/>
        </w:rPr>
        <w:t xml:space="preserve">19. </w:t>
      </w:r>
      <w:r>
        <w:rPr>
          <w:rFonts w:ascii="Times New Roman" w:hAnsi="Times New Roman"/>
          <w:b w:val="0"/>
          <w:i w:val="0"/>
          <w:sz w:val="19"/>
        </w:rPr>
        <w:t>Benjamini Y, Hochberg Y. Controlling the false discovery rate: a practical and powerful approach to multiple testing. Journal of the Royal Statistical Society, Series B. 1995;57:289–300.</w:t>
      </w:r>
    </w:p>
    <w:p>
      <w:pPr>
        <w:spacing w:line="240" w:lineRule="auto" w:after="60"/>
        <w:ind w:left="403" w:hanging="403"/>
      </w:pPr>
      <w:r>
        <w:rPr>
          <w:b w:val="0"/>
        </w:rPr>
        <w:t xml:space="preserve">20. </w:t>
      </w:r>
      <w:r>
        <w:rPr>
          <w:rFonts w:ascii="Times New Roman" w:hAnsi="Times New Roman"/>
          <w:b w:val="0"/>
          <w:i w:val="0"/>
          <w:sz w:val="19"/>
        </w:rPr>
        <w:t>Chen S, Zhou Y, Chen Y, Gu J. fastp: an ultra-fast all-in-one FASTQ preprocessor. Bioinformatics. 2018;34:i884–i890.</w:t>
      </w:r>
    </w:p>
    <w:p>
      <w:pPr>
        <w:spacing w:line="240" w:lineRule="auto" w:after="60"/>
        <w:ind w:left="403" w:hanging="403"/>
      </w:pPr>
      <w:r>
        <w:rPr>
          <w:b w:val="0"/>
        </w:rPr>
        <w:t xml:space="preserve">21. </w:t>
      </w:r>
      <w:r>
        <w:rPr>
          <w:rFonts w:ascii="Times New Roman" w:hAnsi="Times New Roman"/>
          <w:b w:val="0"/>
          <w:i w:val="0"/>
          <w:sz w:val="19"/>
        </w:rPr>
        <w:t>Dobin A, Davis CA, Schlesinger F, Drenkow J, Zaleski C, Jha S, et al. STAR: ultrafast universal RNA-seq aligner. Bioinformatics. 2013;29:15–21.</w:t>
      </w:r>
    </w:p>
    <w:p>
      <w:pPr>
        <w:spacing w:line="240" w:lineRule="auto" w:after="60"/>
        <w:ind w:left="403" w:hanging="403"/>
      </w:pPr>
      <w:r>
        <w:rPr>
          <w:b w:val="0"/>
        </w:rPr>
        <w:t xml:space="preserve">22. </w:t>
      </w:r>
      <w:r>
        <w:rPr>
          <w:rFonts w:ascii="Times New Roman" w:hAnsi="Times New Roman"/>
          <w:b w:val="0"/>
          <w:i w:val="0"/>
          <w:sz w:val="19"/>
        </w:rPr>
        <w:t>Liao Y, Smyth GK, Shi W. featureCounts: an efficient general purpose program for assigning sequence reads to genomic features. Bioinformatics. 2014;30:923–930.</w:t>
      </w:r>
    </w:p>
    <w:p>
      <w:pPr>
        <w:spacing w:line="240" w:lineRule="auto" w:after="60"/>
        <w:ind w:left="403" w:hanging="403"/>
      </w:pPr>
      <w:r>
        <w:rPr>
          <w:b w:val="0"/>
        </w:rPr>
        <w:t xml:space="preserve">23. </w:t>
      </w:r>
      <w:r>
        <w:rPr>
          <w:rFonts w:ascii="Times New Roman" w:hAnsi="Times New Roman"/>
          <w:b w:val="0"/>
          <w:i w:val="0"/>
          <w:sz w:val="19"/>
        </w:rPr>
        <w:t>Patro R, Duggal G, Love MI, Irizarry RA, Kingsford C. Salmon provides fast and bias-aware quantification of transcript expression. Nature Methods. 2017;14:417–419.</w:t>
      </w:r>
    </w:p>
    <w:p>
      <w:pPr>
        <w:spacing w:line="240" w:lineRule="auto" w:after="60"/>
        <w:ind w:left="403" w:hanging="403"/>
      </w:pPr>
      <w:r>
        <w:rPr>
          <w:b w:val="0"/>
        </w:rPr>
        <w:t xml:space="preserve">24. </w:t>
      </w:r>
      <w:r>
        <w:rPr>
          <w:rFonts w:ascii="Times New Roman" w:hAnsi="Times New Roman"/>
          <w:b w:val="0"/>
          <w:i w:val="0"/>
          <w:sz w:val="19"/>
        </w:rPr>
        <w:t>Pockrandt C, Alzamel M, Iliopoulos CS, Reinert K. GenMap: ultra-fast computation of genome mappability. Bioinformatics. 2020;36:3687–3692.</w:t>
      </w:r>
    </w:p>
    <w:p>
      <w:pPr>
        <w:spacing w:line="240" w:lineRule="auto" w:after="60"/>
        <w:ind w:left="403" w:hanging="403"/>
      </w:pPr>
      <w:r>
        <w:rPr>
          <w:b w:val="0"/>
        </w:rPr>
        <w:t xml:space="preserve">25. </w:t>
      </w:r>
      <w:r>
        <w:rPr>
          <w:rFonts w:ascii="Times New Roman" w:hAnsi="Times New Roman"/>
          <w:b w:val="0"/>
          <w:i w:val="0"/>
          <w:sz w:val="19"/>
        </w:rPr>
        <w:t>Zhu A, Ibrahim JG, Love MI. Heavy-tailed prior distributions for sequence count data: removing the noise and preserving large differences. Bioinformatics. 2019;35:2084–2092.</w:t>
      </w:r>
    </w:p>
    <w:p>
      <w:pPr>
        <w:spacing w:line="240" w:lineRule="auto" w:after="60"/>
        <w:ind w:left="403" w:hanging="403"/>
      </w:pPr>
      <w:r>
        <w:rPr>
          <w:b w:val="0"/>
        </w:rPr>
        <w:t xml:space="preserve">26. </w:t>
      </w:r>
      <w:r>
        <w:rPr>
          <w:rFonts w:ascii="Times New Roman" w:hAnsi="Times New Roman"/>
          <w:b w:val="0"/>
          <w:i w:val="0"/>
          <w:sz w:val="19"/>
        </w:rPr>
        <w:t>Naithani S, Gupta P, Preece J, D’Eustachio P, Elser J, Garg P, et al. Plant Reactome knowledgebase: empowering plant pathway exploration and OMICS data analysis. Nucleic Acids Research. 2024;52:D1538–D1547.</w:t>
      </w:r>
    </w:p>
    <w:p>
      <w:pPr>
        <w:spacing w:line="240" w:lineRule="auto" w:after="60"/>
        <w:ind w:left="403" w:hanging="403"/>
      </w:pPr>
      <w:r>
        <w:rPr>
          <w:b w:val="0"/>
        </w:rPr>
        <w:t xml:space="preserve">27. </w:t>
      </w:r>
      <w:r>
        <w:rPr>
          <w:rFonts w:ascii="Times New Roman" w:hAnsi="Times New Roman"/>
          <w:b w:val="0"/>
          <w:i w:val="0"/>
          <w:sz w:val="19"/>
        </w:rPr>
        <w:t>Buchfink B, Xie C, Huson DH. Fast and sensitive protein alignment using DIAMOND. Nature Methods. 2015;12:59–60.</w:t>
      </w:r>
    </w:p>
    <w:p>
      <w:pPr>
        <w:spacing w:line="240" w:lineRule="auto" w:after="60"/>
        <w:ind w:left="403" w:hanging="403"/>
      </w:pPr>
      <w:r>
        <w:rPr>
          <w:b w:val="0"/>
        </w:rPr>
        <w:t xml:space="preserve">28. </w:t>
      </w:r>
      <w:r>
        <w:rPr>
          <w:rFonts w:ascii="Times New Roman" w:hAnsi="Times New Roman"/>
          <w:b w:val="0"/>
          <w:i w:val="0"/>
          <w:sz w:val="19"/>
        </w:rPr>
        <w:t>Wu D, Smyth GK. Camera: a competitive gene set test accounting for inter-gene correlation. Nucleic Acids Research. 2012;40:e133.</w:t>
      </w:r>
    </w:p>
    <w:p>
      <w:pPr>
        <w:spacing w:line="240" w:lineRule="auto" w:after="60"/>
        <w:ind w:left="403" w:hanging="403"/>
      </w:pPr>
      <w:r>
        <w:rPr>
          <w:b w:val="0"/>
        </w:rPr>
        <w:t xml:space="preserve">29. </w:t>
      </w:r>
      <w:r>
        <w:rPr>
          <w:rFonts w:ascii="Times New Roman" w:hAnsi="Times New Roman"/>
          <w:b w:val="0"/>
          <w:i w:val="0"/>
          <w:sz w:val="19"/>
        </w:rPr>
        <w:t>Wu D, Lim E, Vaillant F, Asselin-Labat ML, Visvader JE, Smyth GK. ROAST: rotation gene set tests for complex microarray experiments. Bioinformatics. 2010;26:2176–2182.</w:t>
      </w:r>
    </w:p>
    <w:p>
      <w:pPr>
        <w:spacing w:line="240" w:lineRule="auto" w:after="60"/>
        <w:ind w:left="403" w:hanging="403"/>
      </w:pPr>
      <w:r>
        <w:rPr>
          <w:b w:val="0"/>
        </w:rPr>
        <w:t xml:space="preserve">30. </w:t>
      </w:r>
      <w:r>
        <w:rPr>
          <w:rFonts w:ascii="Times New Roman" w:hAnsi="Times New Roman"/>
          <w:b w:val="0"/>
          <w:i w:val="0"/>
          <w:sz w:val="19"/>
        </w:rPr>
        <w:t>Korotkevich G, Sukhov V, Budin N, Shpak B, Artyomov MN, Sergushichev A. Fast gene set enrichment analysis. bioRxiv. 2021:060012.</w:t>
      </w:r>
    </w:p>
    <w:p>
      <w:pPr>
        <w:spacing w:line="240" w:lineRule="auto" w:after="60"/>
        <w:ind w:left="403" w:hanging="403"/>
      </w:pPr>
      <w:r>
        <w:rPr>
          <w:b w:val="0"/>
        </w:rPr>
        <w:t xml:space="preserve">31. </w:t>
      </w:r>
      <w:r>
        <w:rPr>
          <w:rFonts w:ascii="Times New Roman" w:hAnsi="Times New Roman"/>
          <w:b w:val="0"/>
          <w:i w:val="0"/>
          <w:sz w:val="19"/>
        </w:rPr>
        <w:t>Nowicka M, Robinson MD. DRIMSeq: a Dirichlet-multinomial framework for multivariate count outcomes in genomics. F1000Research. 2016;5:1356.</w:t>
      </w:r>
    </w:p>
    <w:p>
      <w:pPr>
        <w:spacing w:line="240" w:lineRule="auto" w:after="60"/>
        <w:ind w:left="403" w:hanging="403"/>
      </w:pPr>
      <w:r>
        <w:rPr>
          <w:b w:val="0"/>
        </w:rPr>
        <w:t xml:space="preserve">32. </w:t>
      </w:r>
      <w:r>
        <w:rPr>
          <w:rFonts w:ascii="Times New Roman" w:hAnsi="Times New Roman"/>
          <w:b w:val="0"/>
          <w:i w:val="0"/>
          <w:sz w:val="19"/>
        </w:rPr>
        <w:t>Anders S, Reyes A, Huber W. Detecting differential usage of exons from RNA-seq data. Genome Research. 2012;22:2008–2017.</w:t>
      </w:r>
    </w:p>
    <w:p>
      <w:pPr>
        <w:spacing w:line="240" w:lineRule="auto" w:after="60"/>
        <w:ind w:left="403" w:hanging="403"/>
      </w:pPr>
      <w:r>
        <w:rPr>
          <w:b w:val="0"/>
        </w:rPr>
        <w:t xml:space="preserve">33. </w:t>
      </w:r>
      <w:r>
        <w:rPr>
          <w:rFonts w:ascii="Times New Roman" w:hAnsi="Times New Roman"/>
          <w:b w:val="0"/>
          <w:i w:val="0"/>
          <w:sz w:val="19"/>
        </w:rPr>
        <w:t>Van den Berge K, Soneson C, Robinson MD, Clement L. stageR: a general stage-wise method for controlling the gene-level false discovery rate in differential expression and differential transcript usage. Genome Biology. 2017;18:151.</w:t>
      </w:r>
    </w:p>
    <w:p>
      <w:pPr>
        <w:spacing w:line="240" w:lineRule="auto" w:after="60"/>
        <w:ind w:left="403" w:hanging="403"/>
      </w:pPr>
      <w:r>
        <w:rPr>
          <w:b w:val="0"/>
        </w:rPr>
        <w:t xml:space="preserve">34. </w:t>
      </w:r>
      <w:r>
        <w:rPr>
          <w:rFonts w:ascii="Times New Roman" w:hAnsi="Times New Roman"/>
          <w:b w:val="0"/>
          <w:i w:val="0"/>
          <w:sz w:val="19"/>
        </w:rPr>
        <w:t>Robinson MD, McCarthy DJ, Smyth GK. edgeR: a Bioconductor package for differential expression analysis of digital gene expression data. Bioinformatics. 2010;26:139–140.</w:t>
      </w:r>
    </w:p>
    <w:p>
      <w:pPr>
        <w:spacing w:line="240" w:lineRule="auto" w:after="60"/>
        <w:ind w:left="403" w:hanging="403"/>
      </w:pPr>
      <w:r>
        <w:rPr>
          <w:b w:val="0"/>
        </w:rPr>
        <w:t xml:space="preserve">35. </w:t>
      </w:r>
      <w:r>
        <w:rPr>
          <w:rFonts w:ascii="Times New Roman" w:hAnsi="Times New Roman"/>
          <w:b w:val="0"/>
          <w:i w:val="0"/>
          <w:sz w:val="19"/>
        </w:rPr>
        <w:t>The UniProt Consortium. UniProt: the Universal Protein Knowledgebase in 2023. Nucleic Acids Research. 2023;51:D523–D531.</w:t>
      </w:r>
    </w:p>
    <w:p>
      <w:pPr>
        <w:spacing w:line="240" w:lineRule="auto" w:after="60"/>
        <w:ind w:left="403" w:hanging="403"/>
      </w:pPr>
      <w:r>
        <w:rPr>
          <w:b w:val="0"/>
        </w:rPr>
        <w:t xml:space="preserve">36. </w:t>
      </w:r>
      <w:r>
        <w:rPr>
          <w:rFonts w:ascii="Times New Roman" w:hAnsi="Times New Roman"/>
          <w:b w:val="0"/>
          <w:i w:val="0"/>
          <w:sz w:val="19"/>
        </w:rPr>
        <w:t>Jones P, Binns D, Chang HY, Fraser M, Li W, McAnulla C, et al. InterProScan 5: genome-scale protein function classification. Bioinformatics. 2014;30:1236–1240.</w:t>
      </w:r>
    </w:p>
    <w:p>
      <w:pPr>
        <w:spacing w:line="240" w:lineRule="auto" w:after="60"/>
        <w:ind w:left="403" w:hanging="403"/>
      </w:pPr>
      <w:r>
        <w:rPr>
          <w:b w:val="0"/>
        </w:rPr>
        <w:t xml:space="preserve">37. </w:t>
      </w:r>
      <w:r>
        <w:rPr>
          <w:rFonts w:ascii="Times New Roman" w:hAnsi="Times New Roman"/>
          <w:b w:val="0"/>
          <w:i w:val="0"/>
          <w:sz w:val="19"/>
        </w:rPr>
        <w:t>Rauluseviciute I, Riudavets-Puig R, Blanc-Mathieu R, Castro-Mondragon JA, Ferenc K, Kumar V, et al. JASPAR 2024: 20th anniversary of the open-access database of transcription factor binding profiles. Nucleic Acids Research. 2024;52:D174–D182.</w:t>
      </w:r>
    </w:p>
    <w:p>
      <w:pPr>
        <w:spacing w:line="240" w:lineRule="auto" w:after="60"/>
        <w:ind w:left="403" w:hanging="403"/>
      </w:pPr>
      <w:r>
        <w:rPr>
          <w:b w:val="0"/>
        </w:rPr>
        <w:t xml:space="preserve">38. </w:t>
      </w:r>
      <w:r>
        <w:rPr>
          <w:rFonts w:ascii="Times New Roman" w:hAnsi="Times New Roman"/>
          <w:b w:val="0"/>
          <w:i w:val="0"/>
          <w:sz w:val="19"/>
        </w:rPr>
        <w:t>McLeay RC, Bailey TL. Motif enrichment analysis: a unified framework and an evaluation on ChIP data. BMC Bioinformatics. 2010;11:165.</w:t>
      </w:r>
    </w:p>
    <w:p>
      <w:pPr>
        <w:spacing w:line="240" w:lineRule="auto" w:after="60"/>
        <w:ind w:left="403" w:hanging="403"/>
      </w:pPr>
      <w:r>
        <w:rPr>
          <w:b w:val="0"/>
        </w:rPr>
        <w:t xml:space="preserve">39. </w:t>
      </w:r>
      <w:r>
        <w:rPr>
          <w:rFonts w:ascii="Times New Roman" w:hAnsi="Times New Roman"/>
          <w:b w:val="0"/>
          <w:i w:val="0"/>
          <w:sz w:val="19"/>
        </w:rPr>
        <w:t>Grant CE, Bailey TL, Noble WS. FIMO: scanning for occurrences of a given motif. Bioinformatics. 2011;27:1017–1018.</w:t>
      </w:r>
    </w:p>
    <w:p>
      <w:pPr>
        <w:spacing w:line="240" w:lineRule="auto" w:after="60"/>
        <w:ind w:left="403" w:hanging="403"/>
      </w:pPr>
      <w:r>
        <w:rPr>
          <w:b w:val="0"/>
        </w:rPr>
        <w:t xml:space="preserve">40. </w:t>
      </w:r>
      <w:r>
        <w:rPr>
          <w:rFonts w:ascii="Times New Roman" w:hAnsi="Times New Roman"/>
          <w:b w:val="0"/>
          <w:i w:val="0"/>
          <w:sz w:val="19"/>
        </w:rPr>
        <w:t>Guo Z, Kuang Z, Wang Y, Zhao Y, Tao Y, Cheng C, et al. PmiREN: a comprehensive encyclopedia of plant miRNAs. Nucleic Acids Research. 2020;48:D1114–D1121.</w:t>
      </w:r>
    </w:p>
    <w:p>
      <w:pPr>
        <w:spacing w:line="240" w:lineRule="auto" w:after="60"/>
        <w:ind w:left="403" w:hanging="403"/>
      </w:pPr>
      <w:r>
        <w:rPr>
          <w:b w:val="0"/>
        </w:rPr>
        <w:t xml:space="preserve">41. </w:t>
      </w:r>
      <w:r>
        <w:rPr>
          <w:rFonts w:ascii="Times New Roman" w:hAnsi="Times New Roman"/>
          <w:b w:val="0"/>
          <w:i w:val="0"/>
          <w:sz w:val="19"/>
        </w:rPr>
        <w:t>Mölder F, Jablonski KP, Letcher B, Hall MB, Tomkins-Tinch CH, Sochat V, et al. Sustainable data analysis with Snakemake. F1000Research. 2021;10:33.</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ind w:firstLin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40"/>
      <w:ind w:firstLine="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zenodo.org/records/22436625"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ncbi.nlm.nih.gov/geo/query/acc.cgi?acc=GSE201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Cultivar-dependent transcriptional responses of lychee to Peronophythora litchii: a registered genome-wide analysis</dc:title>
  <dc:subject>Editable Word version of manuscript.pdf</dc:subject>
  <dc:creator>Eric Zhuang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