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Supplementary Information 1</w:t>
      </w:r>
    </w:p>
    <w:p>
      <w:pPr>
        <w:jc w:val="center"/>
      </w:pPr>
      <w:r>
        <w:rPr>
          <w:b/>
          <w:i w:val="0"/>
        </w:rPr>
        <w:t xml:space="preserve">A registered genome-wide analysis identifies robust, context-dependent transcriptional responses of lychee to </w:t>
      </w:r>
      <w:r>
        <w:rPr>
          <w:b/>
          <w:i/>
        </w:rPr>
        <w:t>Peronophythora litchii</w:t>
      </w:r>
    </w:p>
    <w:p>
      <w:pPr>
        <w:spacing w:line="240" w:lineRule="auto"/>
        <w:jc w:val="center"/>
      </w:pPr>
      <w:r>
        <w:t>Eric Zhuang</w:t>
        <w:br/>
        <w:t>NYU Langone Health, New York, New York, USA</w:t>
      </w:r>
    </w:p>
    <w:p>
      <w:pPr>
        <w:pStyle w:val="Heading1"/>
      </w:pPr>
      <w:r>
        <w:t>Contents</w:t>
      </w:r>
    </w:p>
    <w:p>
      <w:pPr>
        <w:spacing w:line="276" w:lineRule="auto"/>
      </w:pPr>
      <w:r>
        <w:t xml:space="preserve">This file contains Figures S1–S3 and their captions. Supplementary Data 2, supplied as Discover_Plants_Data_and_Code.zip, contains machine-readable Tables S1–S18, all figure source data, the registered protocol and amendment log, analysis code, workflows, configurations, tests, metadata, and environment specifications. The complete archive is also permanently available at </w:t>
      </w:r>
      <w:hyperlink r:id="rId11">
        <w:r>
          <w:rPr>
            <w:color w:val="0563C1"/>
            <w:u w:val="single"/>
          </w:rPr>
          <w:t>https://doi.org/10.5281/zenodo.22436625</w:t>
        </w:r>
      </w:hyperlink>
      <w:r>
        <w:t>.</w:t>
      </w:r>
    </w:p>
    <w:p>
      <w:pPr>
        <w:pStyle w:val="ListBullet"/>
        <w:spacing w:line="240" w:lineRule="auto"/>
      </w:pPr>
      <w:r>
        <w:t>Figure S1: Replicate-level normalized counts for the two cross-context-supported genes, twelve Tier B genes, and two legacy highlights.</w:t>
      </w:r>
    </w:p>
    <w:p>
      <w:pPr>
        <w:pStyle w:val="ListBullet"/>
        <w:spacing w:line="240" w:lineRule="auto"/>
      </w:pPr>
      <w:r>
        <w:t>Figure S2: Parametric detection probability for cultivar-by-infection effects under genome-wide discovery and candidate-family external adjustment.</w:t>
      </w:r>
    </w:p>
    <w:p>
      <w:pPr>
        <w:pStyle w:val="ListBullet"/>
        <w:spacing w:line="240" w:lineRule="auto"/>
      </w:pPr>
      <w:r>
        <w:t>Figure S3: Exploratory PRJNA1090613 signed-signature estimate, shown separately because cohort metadata did not support its inclusion in the confirmatory evaluation.</w:t>
      </w:r>
    </w:p>
    <w:p>
      <w:pPr>
        <w:keepNext/>
        <w:pageBreakBefore/>
        <w:jc w:val="center"/>
      </w:pPr>
      <w:r>
        <w:drawing>
          <wp:inline xmlns:a="http://schemas.openxmlformats.org/drawingml/2006/main" xmlns:pic="http://schemas.openxmlformats.org/drawingml/2006/picture">
            <wp:extent cx="5989320" cy="5473317"/>
            <wp:docPr id="1" name="Picture 1" descr="Replicate-level normalized counts for the two cross-context-supported genes, twelve Tier B genes, and two legacy highlights. Points are individual deposited libraries; bars show cultivar-treatment media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5473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</w:rPr>
        <w:t xml:space="preserve">Figure S1. </w:t>
      </w:r>
      <w:r>
        <w:rPr>
          <w:b w:val="0"/>
          <w:i w:val="0"/>
        </w:rPr>
        <w:t>Replicate-level normalized counts for the two cross-context-supported genes, twelve Tier B genes, and two legacy highlights. Points are individual deposited libraries; bars show cultivar-treatment medians.</w:t>
      </w:r>
    </w:p>
    <w:p>
      <w:pPr>
        <w:keepNext/>
        <w:pageBreakBefore/>
        <w:jc w:val="center"/>
      </w:pPr>
      <w:r>
        <w:drawing>
          <wp:inline xmlns:a="http://schemas.openxmlformats.org/drawingml/2006/main" xmlns:pic="http://schemas.openxmlformats.org/drawingml/2006/picture">
            <wp:extent cx="5989320" cy="3137482"/>
            <wp:docPr id="2" name="Picture 2" descr="Parametric detection probability for cultivar-by-infection effects under genome-wide discovery and candidate-family external adjustment. Curves show the overall result and mean-expression quartiles; the dashed line marks 80% powe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137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</w:rPr>
        <w:t xml:space="preserve">Figure S2. </w:t>
      </w:r>
      <w:r>
        <w:rPr>
          <w:b w:val="0"/>
          <w:i w:val="0"/>
        </w:rPr>
        <w:t>Parametric detection probability for cultivar-by-infection effects under genome-wide discovery and candidate-family external adjustment. Curves show the overall result and mean-expression quartiles; the dashed line marks 80% power.</w:t>
      </w:r>
    </w:p>
    <w:p>
      <w:pPr>
        <w:keepNext/>
        <w:pageBreakBefore/>
        <w:jc w:val="center"/>
      </w:pPr>
      <w:r>
        <w:drawing>
          <wp:inline xmlns:a="http://schemas.openxmlformats.org/drawingml/2006/main" xmlns:pic="http://schemas.openxmlformats.org/drawingml/2006/picture">
            <wp:extent cx="5989320" cy="2386513"/>
            <wp:docPr id="3" name="Picture 3" descr="Exploratory PRJNA1090613 signed-signature estimate, shown separately because cohort metadata did not support its inclusion in the confirmatory evalu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_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386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</w:rPr>
        <w:t xml:space="preserve">Figure S3. </w:t>
      </w:r>
      <w:r>
        <w:rPr>
          <w:b w:val="0"/>
          <w:i w:val="0"/>
        </w:rPr>
        <w:t>Exploratory PRJNA1090613 signed-signature estimate, shown separately because cohort metadata did not support its inclusion in the confirmatory evaluation.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18"/>
      </w:rPr>
      <w:t>Discover Plants — Research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480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76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76" w:lineRule="auto" w:before="240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after="160"/>
    </w:pPr>
    <w:rPr>
      <w:rFonts w:ascii="Times New Roman" w:hAnsi="Times New Roman"/>
      <w:b/>
      <w:bCs/>
      <w:i w:val="0"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i.org/10.5281/zenodo.22436625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Information 1</dc:title>
  <dc:subject>A registered genome-wide analysis identifies robust, context-dependent transcriptional responses of lychee to Peronophythora litchii</dc:subject>
  <dc:creator>Eric Zhuang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