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160"/>
      </w:pPr>
      <w:r>
        <w:rPr>
          <w:b/>
        </w:rPr>
        <w:t>Table 1.</w:t>
      </w:r>
      <w:r>
        <w:t xml:space="preserve"> Locked dataset roles and eligibility.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0"/>
        <w:gridCol w:w="3240"/>
        <w:gridCol w:w="3240"/>
        <w:gridCol w:w="3240"/>
      </w:tblGrid>
      <w:tr>
        <w:trPr>
          <w:cantSplit/>
          <w:tblHeader w:val="true"/>
        </w:trPr>
        <w:tc>
          <w:tcPr>
            <w:tcW w:type="dxa" w:w="324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5"/>
              </w:rPr>
              <w:t>Accession</w:t>
            </w:r>
          </w:p>
        </w:tc>
        <w:tc>
          <w:tcPr>
            <w:tcW w:type="dxa" w:w="324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5"/>
              </w:rPr>
              <w:t>Design</w:t>
            </w:r>
          </w:p>
        </w:tc>
        <w:tc>
          <w:tcPr>
            <w:tcW w:type="dxa" w:w="324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5"/>
              </w:rPr>
              <w:t>Locked role</w:t>
            </w:r>
          </w:p>
        </w:tc>
        <w:tc>
          <w:tcPr>
            <w:tcW w:type="dxa" w:w="324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  <w:shd w:fill="D9EAF7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15"/>
              </w:rPr>
              <w:t>Evidence class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PRJNA830488 (GSE201243)</w:t>
            </w:r>
          </w:p>
        </w:tc>
        <w:tc>
          <w:tcPr>
            <w:tcW w:type="dxa" w:w="324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Guiwei/Yurong1 leaf; mock/infected; 24 h; 3 libraries per cell</w:t>
            </w:r>
          </w:p>
        </w:tc>
        <w:tc>
          <w:tcPr>
            <w:tcW w:type="dxa" w:w="324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Discovery</w:t>
            </w:r>
          </w:p>
        </w:tc>
        <w:tc>
          <w:tcPr>
            <w:tcW w:type="dxa" w:w="324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Conditional inferential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PRJNA450886</w:t>
            </w:r>
          </w:p>
        </w:tc>
        <w:tc>
          <w:tcPr>
            <w:tcW w:type="dxa" w:w="324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Guiwei/Heiye pericarp; mock/infected; 6, 24, 48 h; 3 libraries per cell</w:t>
            </w:r>
          </w:p>
        </w:tc>
        <w:tc>
          <w:tcPr>
            <w:tcW w:type="dxa" w:w="324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Primary external evaluation</w:t>
            </w:r>
          </w:p>
        </w:tc>
        <w:tc>
          <w:tcPr>
            <w:tcW w:type="dxa" w:w="324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Cross-context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PRJNA922966 (GSE222651)</w:t>
            </w:r>
          </w:p>
        </w:tc>
        <w:tc>
          <w:tcPr>
            <w:tcW w:type="dxa" w:w="324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Feizixiao leaf/fruit; mock/infected; 24 h; 3 libraries per cell</w:t>
            </w:r>
          </w:p>
        </w:tc>
        <w:tc>
          <w:tcPr>
            <w:tcW w:type="dxa" w:w="324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Generic infection transfer</w:t>
            </w:r>
          </w:p>
        </w:tc>
        <w:tc>
          <w:tcPr>
            <w:tcW w:type="dxa" w:w="324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Cross-context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PRJNA922965 (GSE222650)</w:t>
            </w:r>
          </w:p>
        </w:tc>
        <w:tc>
          <w:tcPr>
            <w:tcW w:type="dxa" w:w="324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Feizixiao leaf/fruit small RNA; mock/infected; 24 h; 3 libraries per cell</w:t>
            </w:r>
          </w:p>
        </w:tc>
        <w:tc>
          <w:tcPr>
            <w:tcW w:type="dxa" w:w="324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Orthogonal modality</w:t>
            </w:r>
          </w:p>
        </w:tc>
        <w:tc>
          <w:tcPr>
            <w:tcW w:type="dxa" w:w="324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Orthogonal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PRJNA1090613 (GSE262200)</w:t>
            </w:r>
          </w:p>
        </w:tc>
        <w:tc>
          <w:tcPr>
            <w:tcW w:type="dxa" w:w="324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Guiwei/SFZ leaf; mock/infected; 3 libraries per cell</w:t>
            </w:r>
          </w:p>
        </w:tc>
        <w:tc>
          <w:tcPr>
            <w:tcW w:type="dxa" w:w="324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Exploratory only</w:t>
            </w:r>
          </w:p>
        </w:tc>
        <w:tc>
          <w:tcPr>
            <w:tcW w:type="dxa" w:w="3240"/>
            <w:vAlign w:val="center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sz w:val="15"/>
              </w:rPr>
              <w:t>Exploratory</w:t>
            </w:r>
          </w:p>
        </w:tc>
      </w:tr>
    </w:tbl>
    <w:sectPr w:rsidR="00FC693F" w:rsidRPr="0006063C" w:rsidSect="00034616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jc w:val="left"/>
    </w:pPr>
    <w:rPr>
      <w:rFonts w:ascii="Times New Roman" w:hAnsi="Times New Roman" w:eastAsia="Times New Roman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1: Cultivar-dependent transcriptional responses of lychee to Peronophythora litchii: a registered genome-wide analysis</dc:title>
  <dc:subject/>
  <dc:creator>Eric Zhuang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