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</w:pPr>
      <w:r>
        <w:rPr>
          <w:b/>
        </w:rPr>
        <w:t>Table 3.</w:t>
      </w:r>
      <w:r>
        <w:t xml:space="preserve"> Cross-context supported and contradictory genes in the primary external evaluation (PRJNA450886, pericarp, 24 h). Discovery effects are Yurong1-minus-Guiwei interaction log2 fold changes in leaf; external effects are Heiye-minus-Guiwei interaction log2 fold changes in pericarp with 95% confidence intervals. All q-values are Benjamini–Hochberg adjusted (discovery: genome-wide; external: across the frozen candidate-by-contrast family).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rPr>
          <w:cantSplit/>
          <w:tblHeader w:val="true"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Gene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Annotation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Discovery log2FC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 xml:space="preserve">Discovery </w:t>
            </w:r>
            <w:r>
              <w:rPr>
                <w:rFonts w:ascii="Times New Roman" w:hAnsi="Times New Roman"/>
                <w:b/>
                <w:i/>
                <w:sz w:val="15"/>
              </w:rPr>
              <w:t>q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External log2FC (95% CI)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 xml:space="preserve">External </w:t>
            </w:r>
            <w:r>
              <w:rPr>
                <w:rFonts w:ascii="Times New Roman" w:hAnsi="Times New Roman"/>
                <w:b/>
                <w:i/>
                <w:sz w:val="15"/>
              </w:rPr>
              <w:t>q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Outcome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LITCHI005518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Alpha-xylosidase 1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+0.64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0.025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+0.67 (+0.32 to +1.02)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0.007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Supported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LITCHI001963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 xml:space="preserve">Uncharacterized; one-to-one </w:t>
            </w:r>
            <w:r>
              <w:rPr>
                <w:rFonts w:ascii="Times New Roman" w:hAnsi="Times New Roman"/>
                <w:i/>
                <w:sz w:val="15"/>
              </w:rPr>
              <w:t>Oryza</w:t>
            </w:r>
            <w:r>
              <w:rPr>
                <w:rFonts w:ascii="Times New Roman" w:hAnsi="Times New Roman"/>
                <w:sz w:val="15"/>
              </w:rPr>
              <w:t xml:space="preserve"> ortholog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−1.41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0.024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−0.94 (−1.43 to −0.46)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0.007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Supported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LITCHI030761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Caffeoylshikimate esterase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−0.92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0.040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+1.31 (+0.78 to +1.85)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0.0002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Contradictory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LITCHI029534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Thiamine thiazole synthase 2, chloroplastic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+1.48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0.002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−1.04 (−1.61 to −0.48)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0.010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Contradictory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LITCHI021860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Phosphatidylinositol 4-kinase gamma 2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−0.65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0.032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+0.97 (+0.39 to +1.54)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0.029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Contradictory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LITCHI008313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Beta-glucosidase 44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+0.90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0.045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−1.12 (−1.81 to −0.44)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0.034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Contradictory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LITCHI001700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Fe(II)/2-oxoglutarate-dependent dioxygenase 4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+3.70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0.033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−2.00 (−3.24 to −0.77)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type="dxa" w:w="185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Contradictory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left"/>
    </w:pPr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3: Cultivar-dependent transcriptional responses of lychee to Peronophythora litchii: a registered genome-wide analysis</dc:title>
  <dc:subject/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