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Carlito" w:hAnsi="Carlito" w:eastAsia="Carlito"/>
          <w:b/>
          <w:color w:val="17365D"/>
          <w:sz w:val="46"/>
        </w:rPr>
        <w:t>Publication Venue Recommendations</w:t>
      </w:r>
    </w:p>
    <w:p>
      <w:pPr>
        <w:spacing w:after="40"/>
      </w:pPr>
      <w:r>
        <w:rPr>
          <w:rFonts w:ascii="Carlito" w:hAnsi="Carlito" w:eastAsia="Carlito"/>
          <w:b/>
          <w:color w:val="5B6573"/>
          <w:sz w:val="21"/>
        </w:rPr>
        <w:t xml:space="preserve">For the manuscript: </w:t>
      </w:r>
      <w:r>
        <w:rPr>
          <w:rFonts w:ascii="Carlito" w:hAnsi="Carlito" w:eastAsia="Carlito"/>
          <w:i/>
          <w:color w:val="364152"/>
          <w:sz w:val="21"/>
        </w:rPr>
        <w:t>Cultivar-dependent transcriptional responses of lychee (Litchi chinensis) to Peronophythora litchii: from exploratory candidate discovery to a prospectively registered genome-wide analysis with cross-context external evaluation</w:t>
      </w:r>
    </w:p>
    <w:p>
      <w:pPr>
        <w:spacing w:after="180"/>
        <w:pBdr>
          <w:bottom w:val="single" w:sz="10" w:space="5" w:color="1F6D7A"/>
        </w:pBdr>
      </w:pPr>
      <w:r>
        <w:rPr>
          <w:rFonts w:ascii="Carlito" w:hAnsi="Carlito" w:eastAsia="Carlito"/>
          <w:color w:val="5B6573"/>
          <w:sz w:val="18"/>
        </w:rPr>
        <w:t>Prepared 2 September 2026</w:t>
      </w:r>
    </w:p>
    <w:p>
      <w:pPr>
        <w:pStyle w:val="Heading1"/>
        <w:keepNext/>
        <w:spacing w:before="200" w:after="80"/>
      </w:pPr>
      <w:r>
        <w:rPr>
          <w:rFonts w:ascii="Carlito" w:hAnsi="Carlito" w:eastAsia="Carlito"/>
          <w:b/>
          <w:color w:val="17365D"/>
          <w:sz w:val="32"/>
        </w:rPr>
        <w:t>Overall assessment</w:t>
      </w:r>
    </w:p>
    <w:p>
      <w:pPr>
        <w:keepNext w:val="0"/>
        <w:spacing w:after="120" w:line="259" w:lineRule="auto"/>
      </w:pPr>
      <w:r>
        <w:rPr>
          <w:rFonts w:ascii="Carlito" w:hAnsi="Carlito" w:eastAsia="Carlito"/>
          <w:b/>
          <w:i w:val="0"/>
          <w:color w:val="20252B"/>
          <w:sz w:val="21"/>
        </w:rPr>
        <w:t xml:space="preserve">The added external dataset substantially improves the manuscript, but I would be very careful about calling it "validation." </w:t>
      </w:r>
      <w:r>
        <w:rPr>
          <w:rFonts w:ascii="Carlito" w:hAnsi="Carlito" w:eastAsia="Carlito"/>
          <w:b w:val="0"/>
          <w:i w:val="0"/>
          <w:color w:val="20252B"/>
          <w:sz w:val="21"/>
        </w:rPr>
        <w:t xml:space="preserve">The discovery cohort is a leaf experiment comparing Guiwei and Yurong1 at 24 hours, whereas the primary external cohort is a pericarp time course comparing Guiwei and Heiye. Your manuscript correctly describes this as cross-context external evaluation, not direct replication. It produced two supported genes and five directionally contradictory genes, while the two externally supported genes did not overlap the 16 internally robust genes. </w:t>
      </w:r>
      <w:r>
        <w:rPr>
          <w:rFonts w:ascii="Carlito" w:hAnsi="Carlito" w:eastAsia="Carlito"/>
          <w:b w:val="0"/>
          <w:i/>
          <w:color w:val="5B6573"/>
          <w:sz w:val="21"/>
        </w:rPr>
        <w:t>(Manuscript, Abstract and Results section 2.7, pp. 1 and 8-10.)</w:t>
      </w:r>
    </w:p>
    <w:p>
      <w:pPr>
        <w:keepNext w:val="0"/>
        <w:spacing w:after="120" w:line="259" w:lineRule="auto"/>
      </w:pPr>
      <w:r>
        <w:rPr>
          <w:rFonts w:ascii="Carlito" w:hAnsi="Carlito" w:eastAsia="Carlito"/>
          <w:color w:val="20252B"/>
          <w:sz w:val="21"/>
        </w:rPr>
        <w:t xml:space="preserve">The paper also candidly states that no same-tissue, same-time independent replication cohort is publicly available and that none of the candidates has been experimentally perturbed. </w:t>
      </w:r>
      <w:r>
        <w:rPr>
          <w:rFonts w:ascii="Carlito" w:hAnsi="Carlito" w:eastAsia="Carlito"/>
          <w:i/>
          <w:color w:val="5B6573"/>
          <w:sz w:val="21"/>
        </w:rPr>
        <w:t>(Manuscript, Discussion, p. 18.)</w:t>
      </w:r>
    </w:p>
    <w:p>
      <w:pPr>
        <w:keepNext w:val="0"/>
        <w:spacing w:after="60" w:line="259" w:lineRule="auto"/>
      </w:pPr>
      <w:r>
        <w:rPr>
          <w:rFonts w:ascii="Carlito" w:hAnsi="Carlito" w:eastAsia="Carlito"/>
          <w:color w:val="20252B"/>
          <w:sz w:val="21"/>
        </w:rPr>
        <w:t>That means the strongest publication story is not:</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"We discovered and validated resistance genes."</w:t>
            </w:r>
          </w:p>
        </w:tc>
      </w:tr>
    </w:tbl>
    <w:p>
      <w:pPr>
        <w:spacing w:after="20" w:line="168" w:lineRule="auto"/>
      </w:pPr>
    </w:p>
    <w:p>
      <w:pPr>
        <w:keepNext w:val="0"/>
        <w:spacing w:after="60" w:line="259" w:lineRule="auto"/>
      </w:pPr>
      <w:r>
        <w:rPr>
          <w:rFonts w:ascii="Carlito" w:hAnsi="Carlito" w:eastAsia="Carlito"/>
          <w:color w:val="20252B"/>
          <w:sz w:val="21"/>
        </w:rPr>
        <w:t>It is closer to:</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"A preregistered, reproducible genome-wide reanalysis shows which cultivar-dependent transcriptional findings survive rigorous interaction testing, sensitivity analysis, and external cross-context evaluation - and which do not."</w:t>
            </w:r>
          </w:p>
        </w:tc>
      </w:tr>
    </w:tbl>
    <w:p>
      <w:pPr>
        <w:spacing w:after="20" w:line="168" w:lineRule="auto"/>
      </w:pPr>
    </w:p>
    <w:p>
      <w:pPr>
        <w:keepNext w:val="0"/>
        <w:spacing w:after="120" w:line="259" w:lineRule="auto"/>
      </w:pPr>
      <w:r>
        <w:rPr>
          <w:rFonts w:ascii="Carlito" w:hAnsi="Carlito" w:eastAsia="Carlito"/>
          <w:b/>
          <w:color w:val="20252B"/>
          <w:sz w:val="21"/>
        </w:rPr>
        <w:t xml:space="preserve">That is a legitimate and potentially publishable contribution. </w:t>
      </w:r>
      <w:r>
        <w:rPr>
          <w:rFonts w:ascii="Carlito" w:hAnsi="Carlito" w:eastAsia="Carlito"/>
          <w:color w:val="20252B"/>
          <w:sz w:val="21"/>
        </w:rPr>
        <w:t xml:space="preserve">The paper supports 206 quality-controlled statistical candidates, 19 significant under both frameworks, 16 internally robust genes, 12 Tier B genes, and two genes with cross-context support, while explicitly reporting null and contradictory results. </w:t>
      </w:r>
      <w:r>
        <w:rPr>
          <w:rFonts w:ascii="Carlito" w:hAnsi="Carlito" w:eastAsia="Carlito"/>
          <w:i/>
          <w:color w:val="5B6573"/>
          <w:sz w:val="21"/>
        </w:rPr>
        <w:t>(Manuscript, Conclusions, p. 18.)</w:t>
      </w:r>
    </w:p>
    <w:p>
      <w:pPr>
        <w:keepNext w:val="0"/>
        <w:spacing w:after="60" w:line="259" w:lineRule="auto"/>
      </w:pPr>
      <w:r>
        <w:rPr>
          <w:rFonts w:ascii="Carlito" w:hAnsi="Carlito" w:eastAsia="Carlito"/>
          <w:color w:val="20252B"/>
          <w:sz w:val="21"/>
        </w:rPr>
        <w:t>The main editorial challenges are therefore not just the lack of wet-lab work. They are:</w:t>
      </w:r>
    </w:p>
    <w:p>
      <w:pPr>
        <w:pStyle w:val="ListBullet"/>
        <w:spacing w:after="50" w:line="252" w:lineRule="auto"/>
        <w:ind w:left="360" w:hanging="173"/>
      </w:pPr>
      <w:r>
        <w:rPr>
          <w:rFonts w:ascii="Carlito" w:hAnsi="Carlito" w:eastAsia="Carlito"/>
          <w:color w:val="20252B"/>
          <w:sz w:val="20"/>
        </w:rPr>
        <w:t>all data are secondary and public;</w:t>
      </w:r>
    </w:p>
    <w:p>
      <w:pPr>
        <w:pStyle w:val="ListBullet"/>
        <w:spacing w:after="50" w:line="252" w:lineRule="auto"/>
        <w:ind w:left="360" w:hanging="173"/>
      </w:pPr>
      <w:r>
        <w:rPr>
          <w:rFonts w:ascii="Carlito" w:hAnsi="Carlito" w:eastAsia="Carlito"/>
          <w:color w:val="20252B"/>
          <w:sz w:val="20"/>
        </w:rPr>
        <w:t>there is no new computational algorithm;</w:t>
      </w:r>
    </w:p>
    <w:p>
      <w:pPr>
        <w:pStyle w:val="ListBullet"/>
        <w:spacing w:after="50" w:line="252" w:lineRule="auto"/>
        <w:ind w:left="360" w:hanging="173"/>
      </w:pPr>
      <w:r>
        <w:rPr>
          <w:rFonts w:ascii="Carlito" w:hAnsi="Carlito" w:eastAsia="Carlito"/>
          <w:color w:val="20252B"/>
          <w:sz w:val="20"/>
        </w:rPr>
        <w:t>many results are negative or context-dependent;</w:t>
      </w:r>
    </w:p>
    <w:p>
      <w:pPr>
        <w:pStyle w:val="ListBullet"/>
        <w:spacing w:after="50" w:line="252" w:lineRule="auto"/>
        <w:ind w:left="360" w:hanging="173"/>
      </w:pPr>
      <w:r>
        <w:rPr>
          <w:rFonts w:ascii="Carlito" w:hAnsi="Carlito" w:eastAsia="Carlito"/>
          <w:color w:val="20252B"/>
          <w:sz w:val="20"/>
        </w:rPr>
        <w:t>the external evaluation is not a direct replication; and</w:t>
      </w:r>
    </w:p>
    <w:p>
      <w:pPr>
        <w:pStyle w:val="ListBullet"/>
        <w:spacing w:after="50" w:line="252" w:lineRule="auto"/>
        <w:ind w:left="360" w:hanging="173"/>
      </w:pPr>
      <w:r>
        <w:rPr>
          <w:rFonts w:ascii="Carlito" w:hAnsi="Carlito" w:eastAsia="Carlito"/>
          <w:color w:val="20252B"/>
          <w:sz w:val="20"/>
        </w:rPr>
        <w:t>the biological claims are deliberately modest.</w:t>
      </w:r>
    </w:p>
    <w:p>
      <w:pPr>
        <w:keepNext w:val="0"/>
        <w:spacing w:after="120" w:line="259" w:lineRule="auto"/>
      </w:pPr>
      <w:r>
        <w:rPr>
          <w:rFonts w:ascii="Carlito" w:hAnsi="Carlito" w:eastAsia="Carlito"/>
          <w:color w:val="20252B"/>
          <w:sz w:val="21"/>
        </w:rPr>
        <w:t>You should target journals that emphasize scientific soundness, transparent reporting, computational genomics, and plant-pathogen biology, rather than journals that expect a complete molecular mechanism.</w:t>
      </w:r>
    </w:p>
    <w:p>
      <w:pPr>
        <w:pStyle w:val="Heading1"/>
        <w:keepNext/>
        <w:spacing w:before="200" w:after="80"/>
      </w:pPr>
      <w:r>
        <w:rPr>
          <w:rFonts w:ascii="Carlito" w:hAnsi="Carlito" w:eastAsia="Carlito"/>
          <w:b/>
          <w:color w:val="17365D"/>
          <w:sz w:val="32"/>
        </w:rPr>
        <w:t>Recommended journals</w:t>
      </w:r>
    </w:p>
    <w:p>
      <w:pPr>
        <w:keepNext w:val="0"/>
        <w:spacing w:after="140" w:line="259" w:lineRule="auto"/>
      </w:pPr>
      <w:r>
        <w:rPr>
          <w:rFonts w:ascii="Carlito" w:hAnsi="Carlito" w:eastAsia="Carlito"/>
          <w:b/>
          <w:color w:val="5B6573"/>
          <w:sz w:val="19"/>
        </w:rPr>
        <w:t xml:space="preserve">Note: </w:t>
      </w:r>
      <w:r>
        <w:rPr>
          <w:rFonts w:ascii="Carlito" w:hAnsi="Carlito" w:eastAsia="Carlito"/>
          <w:i/>
          <w:color w:val="5B6573"/>
          <w:sz w:val="19"/>
        </w:rPr>
        <w:t>The wet-lab-request ratings below are practical estimates of likely editorial and reviewer expectations, not formal guarantees or official policies.</w:t>
      </w:r>
    </w:p>
    <w:p>
      <w:pPr>
        <w:pStyle w:val="Heading2"/>
        <w:keepNext/>
        <w:spacing w:before="180" w:after="60"/>
      </w:pPr>
      <w:r>
        <w:rPr>
          <w:rFonts w:ascii="Carlito" w:hAnsi="Carlito" w:eastAsia="Carlito"/>
          <w:b/>
          <w:color w:val="1F6D7A"/>
          <w:sz w:val="26"/>
        </w:rPr>
        <w:t>1. Plant Direct</w:t>
      </w:r>
      <w:r>
        <w:rPr>
          <w:rFonts w:ascii="Carlito" w:hAnsi="Carlito" w:eastAsia="Carlito"/>
          <w:b/>
          <w:color w:val="1F6D7A"/>
          <w:sz w:val="26"/>
        </w:rPr>
        <w:t xml:space="preserve"> - best overall fit</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b/>
          <w:color w:val="20252B"/>
          <w:sz w:val="21"/>
        </w:rPr>
        <w:t xml:space="preserve">This is probably the safest and most natural first destination. </w:t>
      </w:r>
      <w:r>
        <w:rPr>
          <w:rFonts w:ascii="Carlito" w:hAnsi="Carlito" w:eastAsia="Carlito"/>
          <w:color w:val="20252B"/>
          <w:sz w:val="21"/>
        </w:rPr>
        <w:t>Plant Direct describes itself as a plant-science sound-science journal, and its stated topics specifically include biotic stress, genomics, and bioinformatics.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1">
        <w:r>
          <w:rPr>
            <w:rFonts w:ascii="Carlito" w:hAnsi="Carlito"/>
            <w:color w:val="0563C1"/>
            <w:u w:val="single"/>
            <w:i/>
          </w:rPr>
          <w:t>Plant Direct scope</w:t>
        </w:r>
      </w:hyperlink>
    </w:p>
    <w:p>
      <w:pPr>
        <w:keepNext w:val="0"/>
        <w:spacing w:after="60" w:line="259" w:lineRule="auto"/>
      </w:pPr>
      <w:r>
        <w:rPr>
          <w:rFonts w:ascii="Carlito" w:hAnsi="Carlito" w:eastAsia="Carlito"/>
          <w:color w:val="20252B"/>
          <w:sz w:val="21"/>
        </w:rPr>
        <w:t>Why it fits especially well:</w:t>
      </w:r>
    </w:p>
    <w:p>
      <w:pPr>
        <w:pStyle w:val="ListBullet"/>
        <w:spacing w:after="50" w:line="252" w:lineRule="auto"/>
        <w:ind w:left="360" w:hanging="173"/>
      </w:pPr>
      <w:r>
        <w:rPr>
          <w:rFonts w:ascii="Carlito" w:hAnsi="Carlito" w:eastAsia="Carlito"/>
          <w:color w:val="20252B"/>
          <w:sz w:val="20"/>
        </w:rPr>
        <w:t>plant-pathogen and biotic-stress subject matter;</w:t>
      </w:r>
    </w:p>
    <w:p>
      <w:pPr>
        <w:pStyle w:val="ListBullet"/>
        <w:spacing w:after="50" w:line="252" w:lineRule="auto"/>
        <w:ind w:left="360" w:hanging="173"/>
      </w:pPr>
      <w:r>
        <w:rPr>
          <w:rFonts w:ascii="Carlito" w:hAnsi="Carlito" w:eastAsia="Carlito"/>
          <w:color w:val="20252B"/>
          <w:sz w:val="20"/>
        </w:rPr>
        <w:t>transcriptomics and bioinformatics are explicitly within scope;</w:t>
      </w:r>
    </w:p>
    <w:p>
      <w:pPr>
        <w:pStyle w:val="ListBullet"/>
        <w:spacing w:after="50" w:line="252" w:lineRule="auto"/>
        <w:ind w:left="360" w:hanging="173"/>
      </w:pPr>
      <w:r>
        <w:rPr>
          <w:rFonts w:ascii="Carlito" w:hAnsi="Carlito" w:eastAsia="Carlito"/>
          <w:color w:val="20252B"/>
          <w:sz w:val="20"/>
        </w:rPr>
        <w:t>the manuscript is methodologically rigorous but does not claim a major mechanistic breakthrough;</w:t>
      </w:r>
    </w:p>
    <w:p>
      <w:pPr>
        <w:pStyle w:val="ListBullet"/>
        <w:spacing w:after="50" w:line="252" w:lineRule="auto"/>
        <w:ind w:left="360" w:hanging="173"/>
      </w:pPr>
      <w:r>
        <w:rPr>
          <w:rFonts w:ascii="Carlito" w:hAnsi="Carlito" w:eastAsia="Carlito"/>
          <w:color w:val="20252B"/>
          <w:sz w:val="20"/>
        </w:rPr>
        <w:t>negative and contradictory results can be framed as useful evidence rather than as a failure; and</w:t>
      </w:r>
    </w:p>
    <w:p>
      <w:pPr>
        <w:pStyle w:val="ListBullet"/>
        <w:spacing w:after="50" w:line="252" w:lineRule="auto"/>
        <w:ind w:left="360" w:hanging="173"/>
      </w:pPr>
      <w:r>
        <w:rPr>
          <w:rFonts w:ascii="Carlito" w:hAnsi="Carlito" w:eastAsia="Carlito"/>
          <w:color w:val="20252B"/>
          <w:sz w:val="20"/>
        </w:rPr>
        <w:t>the preregistration, frozen analyses, reproducibility package, and explicit evidence boundaries are unusually strong for a secondary transcriptomic analysis.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Editors will still expect a clear contribution beyond simply reanalyzing public data. The cover letter should emphasize the general lesson about candidate selection, genome-wide interaction testing, robustness, and transportability across biological contexts.</w:t>
      </w:r>
    </w:p>
    <w:p>
      <w:pPr>
        <w:keepNext w:val="0"/>
        <w:spacing w:after="100" w:line="259" w:lineRule="auto"/>
      </w:pPr>
      <w:r>
        <w:rPr>
          <w:rFonts w:ascii="Carlito" w:hAnsi="Carlito" w:eastAsia="Carlito"/>
          <w:b/>
          <w:color w:val="17365D"/>
          <w:sz w:val="21"/>
        </w:rPr>
        <w:t xml:space="preserve">Recommended article type: </w:t>
      </w:r>
      <w:r>
        <w:rPr>
          <w:rFonts w:ascii="Carlito" w:hAnsi="Carlito" w:eastAsia="Carlito"/>
          <w:color w:val="20252B"/>
          <w:sz w:val="21"/>
        </w:rPr>
        <w:t>Regular Research Article, not Registered Report. Your confirmatory analysis was preregistered, but the protocol was not peer-reviewed and provisionally accepted by the journal before the work was performed, which is normally required for a formal Registered Report.</w:t>
      </w:r>
    </w:p>
    <w:p>
      <w:pPr>
        <w:pStyle w:val="Heading2"/>
        <w:keepNext/>
        <w:spacing w:before="180" w:after="60"/>
      </w:pPr>
      <w:r>
        <w:rPr>
          <w:rFonts w:ascii="Carlito" w:hAnsi="Carlito" w:eastAsia="Carlito"/>
          <w:b/>
          <w:color w:val="1F6D7A"/>
          <w:sz w:val="26"/>
        </w:rPr>
        <w:t>2. BMC Genomics</w:t>
      </w:r>
      <w:r>
        <w:rPr>
          <w:rFonts w:ascii="Carlito" w:hAnsi="Carlito" w:eastAsia="Carlito"/>
          <w:b/>
          <w:color w:val="1F6D7A"/>
          <w:sz w:val="26"/>
        </w:rPr>
        <w:t xml:space="preserve"> - "Genomics of plant pathogens" collection</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Low to medium</w:t>
            </w:r>
          </w:p>
        </w:tc>
      </w:tr>
    </w:tbl>
    <w:p>
      <w:pPr>
        <w:spacing w:after="20" w:line="168" w:lineRule="auto"/>
      </w:pPr>
    </w:p>
    <w:p>
      <w:pPr>
        <w:keepNext w:val="0"/>
        <w:spacing w:after="100" w:line="259" w:lineRule="auto"/>
      </w:pPr>
      <w:r>
        <w:rPr>
          <w:rFonts w:ascii="Carlito" w:hAnsi="Carlito" w:eastAsia="Carlito"/>
          <w:b/>
          <w:color w:val="20252B"/>
          <w:sz w:val="21"/>
        </w:rPr>
        <w:t xml:space="preserve">This is the strongest more ambitious and time-sensitive opportunity. </w:t>
      </w:r>
      <w:r>
        <w:rPr>
          <w:rFonts w:ascii="Carlito" w:hAnsi="Carlito" w:eastAsia="Carlito"/>
          <w:color w:val="20252B"/>
          <w:sz w:val="21"/>
        </w:rPr>
        <w:t>BMC Genomics currently has an open collection called Genomics of plant pathogens, with a submission deadline of December 14, 2026. The call explicitly includes host transcriptomic and epigenomic responses to pathogen infection.</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s</w:t>
      </w:r>
      <w:r>
        <w:rPr>
          <w:rFonts w:ascii="Carlito" w:hAnsi="Carlito" w:eastAsia="Carlito"/>
          <w:i/>
          <w:color w:val="5B6573"/>
          <w:sz w:val="17"/>
        </w:rPr>
        <w:t xml:space="preserve">: </w:t>
      </w:r>
      <w:hyperlink r:id="rId12">
        <w:r>
          <w:rPr>
            <w:rFonts w:ascii="Carlito" w:hAnsi="Carlito"/>
            <w:color w:val="0563C1"/>
            <w:u w:val="single"/>
            <w:i/>
          </w:rPr>
          <w:t>Collection page</w:t>
        </w:r>
      </w:hyperlink>
      <w:r>
        <w:rPr>
          <w:rFonts w:ascii="Carlito" w:hAnsi="Carlito" w:eastAsia="Carlito"/>
          <w:color w:val="5B6573"/>
          <w:sz w:val="17"/>
        </w:rPr>
        <w:t xml:space="preserve"> | </w:t>
      </w:r>
      <w:hyperlink r:id="rId13">
        <w:r>
          <w:rPr>
            <w:rFonts w:ascii="Carlito" w:hAnsi="Carlito"/>
            <w:color w:val="0563C1"/>
            <w:u w:val="single"/>
            <w:i/>
          </w:rPr>
          <w:t>BMC Genomics information</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exact match to the collection's host-transcriptomic-response topic;</w:t>
      </w:r>
    </w:p>
    <w:p>
      <w:pPr>
        <w:pStyle w:val="ListBullet"/>
        <w:spacing w:after="50" w:line="252" w:lineRule="auto"/>
        <w:ind w:left="360" w:hanging="173"/>
      </w:pPr>
      <w:r>
        <w:rPr>
          <w:rFonts w:ascii="Carlito" w:hAnsi="Carlito" w:eastAsia="Carlito"/>
          <w:color w:val="20252B"/>
          <w:sz w:val="20"/>
        </w:rPr>
        <w:t>genome-wide cultivar-by-infection interaction analysis;</w:t>
      </w:r>
    </w:p>
    <w:p>
      <w:pPr>
        <w:pStyle w:val="ListBullet"/>
        <w:spacing w:after="50" w:line="252" w:lineRule="auto"/>
        <w:ind w:left="360" w:hanging="173"/>
      </w:pPr>
      <w:r>
        <w:rPr>
          <w:rFonts w:ascii="Carlito" w:hAnsi="Carlito" w:eastAsia="Carlito"/>
          <w:color w:val="20252B"/>
          <w:sz w:val="20"/>
        </w:rPr>
        <w:t>multiple independent public cohorts;</w:t>
      </w:r>
    </w:p>
    <w:p>
      <w:pPr>
        <w:pStyle w:val="ListBullet"/>
        <w:spacing w:after="50" w:line="252" w:lineRule="auto"/>
        <w:ind w:left="360" w:hanging="173"/>
      </w:pPr>
      <w:r>
        <w:rPr>
          <w:rFonts w:ascii="Carlito" w:hAnsi="Carlito" w:eastAsia="Carlito"/>
          <w:color w:val="20252B"/>
          <w:sz w:val="20"/>
        </w:rPr>
        <w:t>differential transcript usage, pathways, promoter analysis, power simulations, and a reproducible workflow; and</w:t>
      </w:r>
    </w:p>
    <w:p>
      <w:pPr>
        <w:pStyle w:val="ListBullet"/>
        <w:spacing w:after="50" w:line="252" w:lineRule="auto"/>
        <w:ind w:left="360" w:hanging="173"/>
      </w:pPr>
      <w:r>
        <w:rPr>
          <w:rFonts w:ascii="Carlito" w:hAnsi="Carlito" w:eastAsia="Carlito"/>
          <w:color w:val="20252B"/>
          <w:sz w:val="20"/>
        </w:rPr>
        <w:t>strong statistical and data-provenance focus.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BMC Genomics may ask what broadly new genomic insight is gained beyond this particular lychee disease system. Frame the paper as a general demonstration of how apparently plausible candidate genes change when exploratory selection is separated from genome-wide confirmation and frozen external evaluation.</w:t>
      </w:r>
    </w:p>
    <w:p>
      <w:pPr>
        <w:keepNext w:val="0"/>
        <w:spacing w:after="100" w:line="259" w:lineRule="auto"/>
      </w:pPr>
      <w:r>
        <w:rPr>
          <w:rFonts w:ascii="Carlito" w:hAnsi="Carlito" w:eastAsia="Carlito"/>
          <w:b/>
          <w:color w:val="17365D"/>
          <w:sz w:val="21"/>
        </w:rPr>
        <w:t xml:space="preserve">Verdict: </w:t>
      </w:r>
      <w:r>
        <w:rPr>
          <w:rFonts w:ascii="Carlito" w:hAnsi="Carlito" w:eastAsia="Carlito"/>
          <w:color w:val="20252B"/>
          <w:sz w:val="21"/>
        </w:rPr>
        <w:t>A worthwhile first attempt before Plant Direct when you are comfortable accepting a somewhat greater desk-rejection risk.</w:t>
      </w:r>
    </w:p>
    <w:p>
      <w:pPr>
        <w:pStyle w:val="Heading2"/>
        <w:keepNext/>
        <w:spacing w:before="180" w:after="60"/>
      </w:pPr>
      <w:r>
        <w:rPr>
          <w:rFonts w:ascii="Carlito" w:hAnsi="Carlito" w:eastAsia="Carlito"/>
          <w:b/>
          <w:color w:val="1F6D7A"/>
          <w:sz w:val="26"/>
        </w:rPr>
        <w:t>3. PhytoFrontiers</w:t>
      </w:r>
      <w:r>
        <w:rPr>
          <w:rFonts w:ascii="Carlito" w:hAnsi="Carlito" w:eastAsia="Carlito"/>
          <w:b/>
          <w:color w:val="1F6D7A"/>
          <w:sz w:val="26"/>
        </w:rPr>
        <w:t xml:space="preserve"> - best specialist plant-pathology audience</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PhytoFrontiers is published by the American Phytopathological Society. APS describes it as a broad, interdisciplinary plant-health journal that aims to publish rigorous research regardless of perceived impact and explicitly welcomes negative results and nontraditional areas of plant-pathology research.</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4">
        <w:r>
          <w:rPr>
            <w:rFonts w:ascii="Carlito" w:hAnsi="Carlito"/>
            <w:color w:val="0563C1"/>
            <w:u w:val="single"/>
            <w:i/>
          </w:rPr>
          <w:t>APS description of PhytoFrontiers</w:t>
        </w:r>
      </w:hyperlink>
    </w:p>
    <w:p>
      <w:pPr>
        <w:keepNext w:val="0"/>
        <w:spacing w:after="60" w:line="259" w:lineRule="auto"/>
      </w:pPr>
      <w:r>
        <w:rPr>
          <w:rFonts w:ascii="Carlito" w:hAnsi="Carlito" w:eastAsia="Carlito"/>
          <w:color w:val="20252B"/>
          <w:sz w:val="21"/>
        </w:rPr>
        <w:t>This may be the venue whose editorial philosophy most closely matches the paper:</w:t>
      </w:r>
    </w:p>
    <w:p>
      <w:pPr>
        <w:pStyle w:val="ListBullet"/>
        <w:spacing w:after="50" w:line="252" w:lineRule="auto"/>
        <w:ind w:left="360" w:hanging="173"/>
      </w:pPr>
      <w:r>
        <w:rPr>
          <w:rFonts w:ascii="Carlito" w:hAnsi="Carlito" w:eastAsia="Carlito"/>
          <w:color w:val="20252B"/>
          <w:sz w:val="20"/>
        </w:rPr>
        <w:t>directly relevant plant disease;</w:t>
      </w:r>
    </w:p>
    <w:p>
      <w:pPr>
        <w:pStyle w:val="ListBullet"/>
        <w:spacing w:after="50" w:line="252" w:lineRule="auto"/>
        <w:ind w:left="360" w:hanging="173"/>
      </w:pPr>
      <w:r>
        <w:rPr>
          <w:rFonts w:ascii="Carlito" w:hAnsi="Carlito" w:eastAsia="Carlito"/>
          <w:color w:val="20252B"/>
          <w:sz w:val="20"/>
        </w:rPr>
        <w:t>an oomycete pathogen;</w:t>
      </w:r>
    </w:p>
    <w:p>
      <w:pPr>
        <w:pStyle w:val="ListBullet"/>
        <w:spacing w:after="50" w:line="252" w:lineRule="auto"/>
        <w:ind w:left="360" w:hanging="173"/>
      </w:pPr>
      <w:r>
        <w:rPr>
          <w:rFonts w:ascii="Carlito" w:hAnsi="Carlito" w:eastAsia="Carlito"/>
          <w:color w:val="20252B"/>
          <w:sz w:val="20"/>
        </w:rPr>
        <w:t>cultivar-dependent host response;</w:t>
      </w:r>
    </w:p>
    <w:p>
      <w:pPr>
        <w:pStyle w:val="ListBullet"/>
        <w:spacing w:after="50" w:line="252" w:lineRule="auto"/>
        <w:ind w:left="360" w:hanging="173"/>
      </w:pPr>
      <w:r>
        <w:rPr>
          <w:rFonts w:ascii="Carlito" w:hAnsi="Carlito" w:eastAsia="Carlito"/>
          <w:color w:val="20252B"/>
          <w:sz w:val="20"/>
        </w:rPr>
        <w:t>substantial negative and contradictory evidence;</w:t>
      </w:r>
    </w:p>
    <w:p>
      <w:pPr>
        <w:pStyle w:val="ListBullet"/>
        <w:spacing w:after="50" w:line="252" w:lineRule="auto"/>
        <w:ind w:left="360" w:hanging="173"/>
      </w:pPr>
      <w:r>
        <w:rPr>
          <w:rFonts w:ascii="Carlito" w:hAnsi="Carlito" w:eastAsia="Carlito"/>
          <w:color w:val="20252B"/>
          <w:sz w:val="20"/>
        </w:rPr>
        <w:t>computational analysis without a mechanistic experiment; and</w:t>
      </w:r>
    </w:p>
    <w:p>
      <w:pPr>
        <w:pStyle w:val="ListBullet"/>
        <w:spacing w:after="50" w:line="252" w:lineRule="auto"/>
        <w:ind w:left="360" w:hanging="173"/>
      </w:pPr>
      <w:r>
        <w:rPr>
          <w:rFonts w:ascii="Carlito" w:hAnsi="Carlito" w:eastAsia="Carlito"/>
          <w:color w:val="20252B"/>
          <w:sz w:val="20"/>
        </w:rPr>
        <w:t>an explicit resource for subsequent experimental work.</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The manuscript is currently very statistics- and workflow-heavy. For this audience, strengthen the plant-pathology message: context dependence of cultivar responses, cell-wall and carbohydrate-remodeling hypotheses, limitations of using expression markers across tissues, and implications for disease-resistance research.</w:t>
      </w:r>
    </w:p>
    <w:p>
      <w:pPr>
        <w:keepNext w:val="0"/>
        <w:spacing w:after="100" w:line="259" w:lineRule="auto"/>
      </w:pPr>
      <w:r>
        <w:rPr>
          <w:rFonts w:ascii="Carlito" w:hAnsi="Carlito" w:eastAsia="Carlito"/>
          <w:b/>
          <w:color w:val="17365D"/>
          <w:sz w:val="21"/>
        </w:rPr>
        <w:t xml:space="preserve">Verdict: </w:t>
      </w:r>
      <w:r>
        <w:rPr>
          <w:rFonts w:ascii="Carlito" w:hAnsi="Carlito" w:eastAsia="Carlito"/>
          <w:color w:val="20252B"/>
          <w:sz w:val="21"/>
        </w:rPr>
        <w:t>Approximately equal to Plant Direct in conceptual fit, but with a more specialized plant-pathology readership.</w:t>
      </w:r>
    </w:p>
    <w:p>
      <w:pPr>
        <w:pStyle w:val="Heading2"/>
        <w:keepNext/>
        <w:spacing w:before="180" w:after="60"/>
      </w:pPr>
      <w:r>
        <w:rPr>
          <w:rFonts w:ascii="Carlito" w:hAnsi="Carlito" w:eastAsia="Carlito"/>
          <w:b/>
          <w:color w:val="1F6D7A"/>
          <w:sz w:val="26"/>
        </w:rPr>
        <w:t>4. BMC Plant Biology</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Medium</w:t>
            </w:r>
          </w:p>
        </w:tc>
      </w:tr>
    </w:tbl>
    <w:p>
      <w:pPr>
        <w:spacing w:after="20" w:line="168" w:lineRule="auto"/>
      </w:pPr>
    </w:p>
    <w:p>
      <w:pPr>
        <w:keepNext w:val="0"/>
        <w:spacing w:after="100" w:line="259" w:lineRule="auto"/>
      </w:pPr>
      <w:r>
        <w:rPr>
          <w:rFonts w:ascii="Carlito" w:hAnsi="Carlito" w:eastAsia="Carlito"/>
          <w:color w:val="20252B"/>
          <w:sz w:val="21"/>
        </w:rPr>
        <w:t>BMC Plant Biology explicitly includes genomics, plant-biotic interactions, and scientifically valid studies without evaluating submissions primarily on perceived impact. It also has an open collection, Plant disease resistance - Part II, with a deadline of May 18, 2027. The collection mentions high-throughput sequencing, omics approaches, plant-pathogen interactions, and disease resistance.</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s</w:t>
      </w:r>
      <w:r>
        <w:rPr>
          <w:rFonts w:ascii="Carlito" w:hAnsi="Carlito" w:eastAsia="Carlito"/>
          <w:i/>
          <w:color w:val="5B6573"/>
          <w:sz w:val="17"/>
        </w:rPr>
        <w:t xml:space="preserve">: </w:t>
      </w:r>
      <w:hyperlink r:id="rId15">
        <w:r>
          <w:rPr>
            <w:rFonts w:ascii="Carlito" w:hAnsi="Carlito"/>
            <w:color w:val="0563C1"/>
            <w:u w:val="single"/>
            <w:i/>
          </w:rPr>
          <w:t>Journal scope</w:t>
        </w:r>
      </w:hyperlink>
      <w:r>
        <w:rPr>
          <w:rFonts w:ascii="Carlito" w:hAnsi="Carlito" w:eastAsia="Carlito"/>
          <w:color w:val="5B6573"/>
          <w:sz w:val="17"/>
        </w:rPr>
        <w:t xml:space="preserve"> | </w:t>
      </w:r>
      <w:hyperlink r:id="rId16">
        <w:r>
          <w:rPr>
            <w:rFonts w:ascii="Carlito" w:hAnsi="Carlito"/>
            <w:color w:val="0563C1"/>
            <w:u w:val="single"/>
            <w:i/>
          </w:rPr>
          <w:t>Plant disease resistance collection</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clear plant-biotic interaction;</w:t>
      </w:r>
    </w:p>
    <w:p>
      <w:pPr>
        <w:pStyle w:val="ListBullet"/>
        <w:spacing w:after="50" w:line="252" w:lineRule="auto"/>
        <w:ind w:left="360" w:hanging="173"/>
      </w:pPr>
      <w:r>
        <w:rPr>
          <w:rFonts w:ascii="Carlito" w:hAnsi="Carlito" w:eastAsia="Carlito"/>
          <w:color w:val="20252B"/>
          <w:sz w:val="20"/>
        </w:rPr>
        <w:t>cultivar-dependent infection responses;</w:t>
      </w:r>
    </w:p>
    <w:p>
      <w:pPr>
        <w:pStyle w:val="ListBullet"/>
        <w:spacing w:after="50" w:line="252" w:lineRule="auto"/>
        <w:ind w:left="360" w:hanging="173"/>
      </w:pPr>
      <w:r>
        <w:rPr>
          <w:rFonts w:ascii="Carlito" w:hAnsi="Carlito" w:eastAsia="Carlito"/>
          <w:color w:val="20252B"/>
          <w:sz w:val="20"/>
        </w:rPr>
        <w:t>genome-wide transcriptomics;</w:t>
      </w:r>
    </w:p>
    <w:p>
      <w:pPr>
        <w:pStyle w:val="ListBullet"/>
        <w:spacing w:after="50" w:line="252" w:lineRule="auto"/>
        <w:ind w:left="360" w:hanging="173"/>
      </w:pPr>
      <w:r>
        <w:rPr>
          <w:rFonts w:ascii="Carlito" w:hAnsi="Carlito" w:eastAsia="Carlito"/>
          <w:color w:val="20252B"/>
          <w:sz w:val="20"/>
        </w:rPr>
        <w:t>independent cross-context evaluation; and</w:t>
      </w:r>
    </w:p>
    <w:p>
      <w:pPr>
        <w:pStyle w:val="ListBullet"/>
        <w:spacing w:after="50" w:line="252" w:lineRule="auto"/>
        <w:ind w:left="360" w:hanging="173"/>
      </w:pPr>
      <w:r>
        <w:rPr>
          <w:rFonts w:ascii="Carlito" w:hAnsi="Carlito" w:eastAsia="Carlito"/>
          <w:color w:val="20252B"/>
          <w:sz w:val="20"/>
        </w:rPr>
        <w:t>hypotheses related to cell-wall, sugar metabolism, lipid signaling, and defense.</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This collection leans more strongly toward mechanisms of resistance. Your manuscript itself notes that Yurong1 and Heiye cannot be placed on a common resistance scale relative to Guiwei. Therefore, do not call the two externally supported genes "resistance genes." A general BMC Plant Biology submission may be marginally safer than overemphasizing the resistance collection.</w:t>
      </w:r>
    </w:p>
    <w:p>
      <w:pPr>
        <w:pStyle w:val="Heading2"/>
        <w:keepNext/>
        <w:spacing w:before="180" w:after="60"/>
      </w:pPr>
      <w:r>
        <w:rPr>
          <w:rFonts w:ascii="Carlito" w:hAnsi="Carlito" w:eastAsia="Carlito"/>
          <w:b/>
          <w:color w:val="1F6D7A"/>
          <w:sz w:val="26"/>
        </w:rPr>
        <w:t>5. Royal Society Open Science</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Royal Society Open Science uses objective peer review and states that it publishes scientifically sound work without ordinary restrictions on scope or impact. It specifically welcomes studies containing negative findings and replication-related work and emphasizes open data and transparent review.</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7">
        <w:r>
          <w:rPr>
            <w:rFonts w:ascii="Carlito" w:hAnsi="Carlito"/>
            <w:color w:val="0563C1"/>
            <w:u w:val="single"/>
            <w:i/>
          </w:rPr>
          <w:t>About Royal Society Open Science</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preregistration and open-science emphasis;</w:t>
      </w:r>
    </w:p>
    <w:p>
      <w:pPr>
        <w:pStyle w:val="ListBullet"/>
        <w:spacing w:after="50" w:line="252" w:lineRule="auto"/>
        <w:ind w:left="360" w:hanging="173"/>
      </w:pPr>
      <w:r>
        <w:rPr>
          <w:rFonts w:ascii="Carlito" w:hAnsi="Carlito" w:eastAsia="Carlito"/>
          <w:color w:val="20252B"/>
          <w:sz w:val="20"/>
        </w:rPr>
        <w:t>complete release of null, unsupported, contradictory, and retired results;</w:t>
      </w:r>
    </w:p>
    <w:p>
      <w:pPr>
        <w:pStyle w:val="ListBullet"/>
        <w:spacing w:after="50" w:line="252" w:lineRule="auto"/>
        <w:ind w:left="360" w:hanging="173"/>
      </w:pPr>
      <w:r>
        <w:rPr>
          <w:rFonts w:ascii="Carlito" w:hAnsi="Carlito" w:eastAsia="Carlito"/>
          <w:color w:val="20252B"/>
          <w:sz w:val="20"/>
        </w:rPr>
        <w:t>extensive reproducibility documentation;</w:t>
      </w:r>
    </w:p>
    <w:p>
      <w:pPr>
        <w:pStyle w:val="ListBullet"/>
        <w:spacing w:after="50" w:line="252" w:lineRule="auto"/>
        <w:ind w:left="360" w:hanging="173"/>
      </w:pPr>
      <w:r>
        <w:rPr>
          <w:rFonts w:ascii="Carlito" w:hAnsi="Carlito" w:eastAsia="Carlito"/>
          <w:color w:val="20252B"/>
          <w:sz w:val="20"/>
        </w:rPr>
        <w:t>methodologically interesting distinction between exploration, confirmation, robustness, and external transport; and</w:t>
      </w:r>
    </w:p>
    <w:p>
      <w:pPr>
        <w:pStyle w:val="ListBullet"/>
        <w:spacing w:after="50" w:line="252" w:lineRule="auto"/>
        <w:ind w:left="360" w:hanging="173"/>
      </w:pPr>
      <w:r>
        <w:rPr>
          <w:rFonts w:ascii="Carlito" w:hAnsi="Carlito" w:eastAsia="Carlito"/>
          <w:color w:val="20252B"/>
          <w:sz w:val="20"/>
        </w:rPr>
        <w:t>no dependence on a spectacular biological claim.</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It has a broad scientific readership rather than a concentrated plant-pathology audience. The introduction and discussion would need to explain why the study is a general lesson for small-sample transcriptomic candidate discovery, not merely a niche lychee analysis.</w:t>
      </w:r>
    </w:p>
    <w:p>
      <w:pPr>
        <w:pStyle w:val="Heading2"/>
        <w:keepNext/>
        <w:spacing w:before="180" w:after="60"/>
      </w:pPr>
      <w:r>
        <w:rPr>
          <w:rFonts w:ascii="Carlito" w:hAnsi="Carlito" w:eastAsia="Carlito"/>
          <w:b/>
          <w:color w:val="1F6D7A"/>
          <w:sz w:val="26"/>
        </w:rPr>
        <w:t>6. PLOS ONE</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PLOS ONE explicitly welcomes replication studies and negative or null results. Its publication criteria center on technical quality, appropriate analysis, and conclusions supported by the data.</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8">
        <w:r>
          <w:rPr>
            <w:rFonts w:ascii="Carlito" w:hAnsi="Carlito"/>
            <w:color w:val="0563C1"/>
            <w:u w:val="single"/>
            <w:i/>
          </w:rPr>
          <w:t>PLOS ONE journal information</w:t>
        </w:r>
      </w:hyperlink>
    </w:p>
    <w:p>
      <w:pPr>
        <w:keepNext w:val="0"/>
        <w:spacing w:after="60" w:line="259" w:lineRule="auto"/>
      </w:pPr>
      <w:r>
        <w:rPr>
          <w:rFonts w:ascii="Carlito" w:hAnsi="Carlito" w:eastAsia="Carlito"/>
          <w:color w:val="20252B"/>
          <w:sz w:val="21"/>
        </w:rPr>
        <w:t>This is a strong fallback because your paper already does many of the things PLOS ONE reviewers typically seek:</w:t>
      </w:r>
    </w:p>
    <w:p>
      <w:pPr>
        <w:pStyle w:val="ListBullet"/>
        <w:spacing w:after="50" w:line="252" w:lineRule="auto"/>
        <w:ind w:left="360" w:hanging="173"/>
      </w:pPr>
      <w:r>
        <w:rPr>
          <w:rFonts w:ascii="Carlito" w:hAnsi="Carlito" w:eastAsia="Carlito"/>
          <w:color w:val="20252B"/>
          <w:sz w:val="20"/>
        </w:rPr>
        <w:t>clearly stated limitations;</w:t>
      </w:r>
    </w:p>
    <w:p>
      <w:pPr>
        <w:pStyle w:val="ListBullet"/>
        <w:spacing w:after="50" w:line="252" w:lineRule="auto"/>
        <w:ind w:left="360" w:hanging="173"/>
      </w:pPr>
      <w:r>
        <w:rPr>
          <w:rFonts w:ascii="Carlito" w:hAnsi="Carlito" w:eastAsia="Carlito"/>
          <w:color w:val="20252B"/>
          <w:sz w:val="20"/>
        </w:rPr>
        <w:t>public raw data;</w:t>
      </w:r>
    </w:p>
    <w:p>
      <w:pPr>
        <w:pStyle w:val="ListBullet"/>
        <w:spacing w:after="50" w:line="252" w:lineRule="auto"/>
        <w:ind w:left="360" w:hanging="173"/>
      </w:pPr>
      <w:r>
        <w:rPr>
          <w:rFonts w:ascii="Carlito" w:hAnsi="Carlito" w:eastAsia="Carlito"/>
          <w:color w:val="20252B"/>
          <w:sz w:val="20"/>
        </w:rPr>
        <w:t>reproducible code;</w:t>
      </w:r>
    </w:p>
    <w:p>
      <w:pPr>
        <w:pStyle w:val="ListBullet"/>
        <w:spacing w:after="50" w:line="252" w:lineRule="auto"/>
        <w:ind w:left="360" w:hanging="173"/>
      </w:pPr>
      <w:r>
        <w:rPr>
          <w:rFonts w:ascii="Carlito" w:hAnsi="Carlito" w:eastAsia="Carlito"/>
          <w:color w:val="20252B"/>
          <w:sz w:val="20"/>
        </w:rPr>
        <w:t>genome-wide multiple-testing control;</w:t>
      </w:r>
    </w:p>
    <w:p>
      <w:pPr>
        <w:pStyle w:val="ListBullet"/>
        <w:spacing w:after="50" w:line="252" w:lineRule="auto"/>
        <w:ind w:left="360" w:hanging="173"/>
      </w:pPr>
      <w:r>
        <w:rPr>
          <w:rFonts w:ascii="Carlito" w:hAnsi="Carlito" w:eastAsia="Carlito"/>
          <w:color w:val="20252B"/>
          <w:sz w:val="20"/>
        </w:rPr>
        <w:t>sensitivity analyses;</w:t>
      </w:r>
    </w:p>
    <w:p>
      <w:pPr>
        <w:pStyle w:val="ListBullet"/>
        <w:spacing w:after="50" w:line="252" w:lineRule="auto"/>
        <w:ind w:left="360" w:hanging="173"/>
      </w:pPr>
      <w:r>
        <w:rPr>
          <w:rFonts w:ascii="Carlito" w:hAnsi="Carlito" w:eastAsia="Carlito"/>
          <w:color w:val="20252B"/>
          <w:sz w:val="20"/>
        </w:rPr>
        <w:t>external evaluation; and</w:t>
      </w:r>
    </w:p>
    <w:p>
      <w:pPr>
        <w:pStyle w:val="ListBullet"/>
        <w:spacing w:after="50" w:line="252" w:lineRule="auto"/>
        <w:ind w:left="360" w:hanging="173"/>
      </w:pPr>
      <w:r>
        <w:rPr>
          <w:rFonts w:ascii="Carlito" w:hAnsi="Carlito" w:eastAsia="Carlito"/>
          <w:color w:val="20252B"/>
          <w:sz w:val="20"/>
        </w:rPr>
        <w:t>restrained conclusions.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The editor may ask whether the reanalysis provides enough original scientific contribution. Your answer should be that the original contribution is the prospectively specified genome-wide interaction framework, evidence audit, robustness hierarchy, and external evaluation - not the production of another differential-expression list.</w:t>
      </w:r>
    </w:p>
    <w:p>
      <w:pPr>
        <w:pStyle w:val="Heading2"/>
        <w:keepNext/>
        <w:spacing w:before="180" w:after="60"/>
      </w:pPr>
      <w:r>
        <w:rPr>
          <w:rFonts w:ascii="Carlito" w:hAnsi="Carlito" w:eastAsia="Carlito"/>
          <w:b/>
          <w:color w:val="1F6D7A"/>
          <w:sz w:val="26"/>
        </w:rPr>
        <w:t>7. G3: Genes|Genomes|Genetics</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Medium</w:t>
            </w:r>
          </w:p>
        </w:tc>
      </w:tr>
    </w:tbl>
    <w:p>
      <w:pPr>
        <w:spacing w:after="20" w:line="168" w:lineRule="auto"/>
      </w:pPr>
    </w:p>
    <w:p>
      <w:pPr>
        <w:keepNext w:val="0"/>
        <w:spacing w:after="100" w:line="259" w:lineRule="auto"/>
      </w:pPr>
      <w:r>
        <w:rPr>
          <w:rFonts w:ascii="Carlito" w:hAnsi="Carlito" w:eastAsia="Carlito"/>
          <w:color w:val="20252B"/>
          <w:sz w:val="21"/>
        </w:rPr>
        <w:t>G3 states that it does not base publication decisions on novelty or impact and welcomes preliminary, unexpected, and negative results. Its scope includes transcriptomes, gene-environment interactions, agricultural genomics, functional omics, and computational or statistical research.</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9">
        <w:r>
          <w:rPr>
            <w:rFonts w:ascii="Carlito" w:hAnsi="Carlito"/>
            <w:color w:val="0563C1"/>
            <w:u w:val="single"/>
            <w:i/>
          </w:rPr>
          <w:t>About G3</w:t>
        </w:r>
      </w:hyperlink>
    </w:p>
    <w:p>
      <w:pPr>
        <w:keepNext w:val="0"/>
        <w:spacing w:after="60" w:line="259" w:lineRule="auto"/>
      </w:pPr>
      <w:r>
        <w:rPr>
          <w:rFonts w:ascii="Carlito" w:hAnsi="Carlito" w:eastAsia="Carlito"/>
          <w:color w:val="20252B"/>
          <w:sz w:val="21"/>
        </w:rPr>
        <w:t>Why it could work:</w:t>
      </w:r>
    </w:p>
    <w:p>
      <w:pPr>
        <w:pStyle w:val="ListBullet"/>
        <w:spacing w:after="50" w:line="252" w:lineRule="auto"/>
        <w:ind w:left="360" w:hanging="173"/>
      </w:pPr>
      <w:r>
        <w:rPr>
          <w:rFonts w:ascii="Carlito" w:hAnsi="Carlito" w:eastAsia="Carlito"/>
          <w:color w:val="20252B"/>
          <w:sz w:val="20"/>
        </w:rPr>
        <w:t>genome-wide cultivar-by-environment interaction;</w:t>
      </w:r>
    </w:p>
    <w:p>
      <w:pPr>
        <w:pStyle w:val="ListBullet"/>
        <w:spacing w:after="50" w:line="252" w:lineRule="auto"/>
        <w:ind w:left="360" w:hanging="173"/>
      </w:pPr>
      <w:r>
        <w:rPr>
          <w:rFonts w:ascii="Carlito" w:hAnsi="Carlito" w:eastAsia="Carlito"/>
          <w:color w:val="20252B"/>
          <w:sz w:val="20"/>
        </w:rPr>
        <w:t>agricultural crop and disease context;</w:t>
      </w:r>
    </w:p>
    <w:p>
      <w:pPr>
        <w:pStyle w:val="ListBullet"/>
        <w:spacing w:after="50" w:line="252" w:lineRule="auto"/>
        <w:ind w:left="360" w:hanging="173"/>
      </w:pPr>
      <w:r>
        <w:rPr>
          <w:rFonts w:ascii="Carlito" w:hAnsi="Carlito" w:eastAsia="Carlito"/>
          <w:color w:val="20252B"/>
          <w:sz w:val="20"/>
        </w:rPr>
        <w:t>transcriptomic and transcript-usage analyses;</w:t>
      </w:r>
    </w:p>
    <w:p>
      <w:pPr>
        <w:pStyle w:val="ListBullet"/>
        <w:spacing w:after="50" w:line="252" w:lineRule="auto"/>
        <w:ind w:left="360" w:hanging="173"/>
      </w:pPr>
      <w:r>
        <w:rPr>
          <w:rFonts w:ascii="Carlito" w:hAnsi="Carlito" w:eastAsia="Carlito"/>
          <w:color w:val="20252B"/>
          <w:sz w:val="20"/>
        </w:rPr>
        <w:t>strong statistical quality control; and</w:t>
      </w:r>
    </w:p>
    <w:p>
      <w:pPr>
        <w:pStyle w:val="ListBullet"/>
        <w:spacing w:after="50" w:line="252" w:lineRule="auto"/>
        <w:ind w:left="360" w:hanging="173"/>
      </w:pPr>
      <w:r>
        <w:rPr>
          <w:rFonts w:ascii="Carlito" w:hAnsi="Carlito" w:eastAsia="Carlito"/>
          <w:color w:val="20252B"/>
          <w:sz w:val="20"/>
        </w:rPr>
        <w:t>a reproducible workflow and candidate resource.</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G3 has a stronger genetics/genomics identity than a pure plant-pathology identity. Because the paper does not map genetic variants, identify loci through crosses, or introduce a new method, the fit is good but not perfect. A regular Investigation or possibly an Omics Report would be more appropriate than presenting it as a software or method paper.</w:t>
      </w:r>
    </w:p>
    <w:p>
      <w:pPr>
        <w:pStyle w:val="Heading2"/>
        <w:keepNext/>
        <w:spacing w:before="180" w:after="60"/>
      </w:pPr>
      <w:r>
        <w:rPr>
          <w:rFonts w:ascii="Carlito" w:hAnsi="Carlito" w:eastAsia="Carlito"/>
          <w:b/>
          <w:color w:val="1F6D7A"/>
          <w:sz w:val="26"/>
        </w:rPr>
        <w:t>8. PeerJ</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PeerJ covers biology and life sciences and explicitly evaluates articles according to scientific and methodological soundness rather than perceived impact, novelty, or general interest. It also considers null findings and replication studies.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0">
        <w:r>
          <w:rPr>
            <w:rFonts w:ascii="Carlito" w:hAnsi="Carlito"/>
            <w:color w:val="0563C1"/>
            <w:u w:val="single"/>
            <w:i/>
          </w:rPr>
          <w:t>PeerJ aims and scope</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a soundness-oriented review model;</w:t>
      </w:r>
    </w:p>
    <w:p>
      <w:pPr>
        <w:pStyle w:val="ListBullet"/>
        <w:spacing w:after="50" w:line="252" w:lineRule="auto"/>
        <w:ind w:left="360" w:hanging="173"/>
      </w:pPr>
      <w:r>
        <w:rPr>
          <w:rFonts w:ascii="Carlito" w:hAnsi="Carlito" w:eastAsia="Carlito"/>
          <w:color w:val="20252B"/>
          <w:sz w:val="20"/>
        </w:rPr>
        <w:t>conclusions are carefully limited to what the data support;</w:t>
      </w:r>
    </w:p>
    <w:p>
      <w:pPr>
        <w:pStyle w:val="ListBullet"/>
        <w:spacing w:after="50" w:line="252" w:lineRule="auto"/>
        <w:ind w:left="360" w:hanging="173"/>
      </w:pPr>
      <w:r>
        <w:rPr>
          <w:rFonts w:ascii="Carlito" w:hAnsi="Carlito" w:eastAsia="Carlito"/>
          <w:color w:val="20252B"/>
          <w:sz w:val="20"/>
        </w:rPr>
        <w:t>no causal claim is made without experimental intervention; and</w:t>
      </w:r>
    </w:p>
    <w:p>
      <w:pPr>
        <w:pStyle w:val="ListBullet"/>
        <w:spacing w:after="50" w:line="252" w:lineRule="auto"/>
        <w:ind w:left="360" w:hanging="173"/>
      </w:pPr>
      <w:r>
        <w:rPr>
          <w:rFonts w:ascii="Carlito" w:hAnsi="Carlito" w:eastAsia="Carlito"/>
          <w:color w:val="20252B"/>
          <w:sz w:val="20"/>
        </w:rPr>
        <w:t>open data, code, and detailed methods are important strengths.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Like PLOS ONE and Royal Society Open Science, it is broad and may provide less direct exposure among plant pathologists.</w:t>
      </w:r>
    </w:p>
    <w:p>
      <w:pPr>
        <w:pStyle w:val="Heading2"/>
        <w:keepNext/>
        <w:spacing w:before="180" w:after="60"/>
      </w:pPr>
      <w:r>
        <w:rPr>
          <w:rFonts w:ascii="Carlito" w:hAnsi="Carlito" w:eastAsia="Carlito"/>
          <w:b/>
          <w:color w:val="1F6D7A"/>
          <w:sz w:val="26"/>
        </w:rPr>
        <w:t>9. Scientific Reports</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Medium</w:t>
            </w:r>
          </w:p>
        </w:tc>
      </w:tr>
    </w:tbl>
    <w:p>
      <w:pPr>
        <w:spacing w:after="20" w:line="168" w:lineRule="auto"/>
      </w:pPr>
    </w:p>
    <w:p>
      <w:pPr>
        <w:keepNext w:val="0"/>
        <w:spacing w:after="100" w:line="259" w:lineRule="auto"/>
      </w:pPr>
      <w:r>
        <w:rPr>
          <w:rFonts w:ascii="Carlito" w:hAnsi="Carlito" w:eastAsia="Carlito"/>
          <w:color w:val="20252B"/>
          <w:sz w:val="21"/>
        </w:rPr>
        <w:t>Scientific Reports sends manuscripts for review when they appear technically sound, scientifically valid, and within scope. It also formally supports preregistration and replication principles.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s</w:t>
      </w:r>
      <w:r>
        <w:rPr>
          <w:rFonts w:ascii="Carlito" w:hAnsi="Carlito" w:eastAsia="Carlito"/>
          <w:i/>
          <w:color w:val="5B6573"/>
          <w:sz w:val="17"/>
        </w:rPr>
        <w:t xml:space="preserve">: </w:t>
      </w:r>
      <w:hyperlink r:id="rId21">
        <w:r>
          <w:rPr>
            <w:rFonts w:ascii="Carlito" w:hAnsi="Carlito"/>
            <w:color w:val="0563C1"/>
            <w:u w:val="single"/>
            <w:i/>
          </w:rPr>
          <w:t>Peer-review policy</w:t>
        </w:r>
      </w:hyperlink>
      <w:r>
        <w:rPr>
          <w:rFonts w:ascii="Carlito" w:hAnsi="Carlito" w:eastAsia="Carlito"/>
          <w:color w:val="5B6573"/>
          <w:sz w:val="17"/>
        </w:rPr>
        <w:t xml:space="preserve"> | </w:t>
      </w:r>
      <w:hyperlink r:id="rId22">
        <w:r>
          <w:rPr>
            <w:rFonts w:ascii="Carlito" w:hAnsi="Carlito"/>
            <w:color w:val="0563C1"/>
            <w:u w:val="single"/>
            <w:i/>
          </w:rPr>
          <w:t>Registered Reports policy</w:t>
        </w:r>
      </w:hyperlink>
    </w:p>
    <w:p>
      <w:pPr>
        <w:keepNext w:val="0"/>
        <w:spacing w:after="60" w:line="259" w:lineRule="auto"/>
      </w:pPr>
      <w:r>
        <w:rPr>
          <w:rFonts w:ascii="Carlito" w:hAnsi="Carlito" w:eastAsia="Carlito"/>
          <w:color w:val="20252B"/>
          <w:sz w:val="21"/>
        </w:rPr>
        <w:t>Why it is plausible:</w:t>
      </w:r>
    </w:p>
    <w:p>
      <w:pPr>
        <w:pStyle w:val="ListBullet"/>
        <w:spacing w:after="50" w:line="252" w:lineRule="auto"/>
        <w:ind w:left="360" w:hanging="173"/>
      </w:pPr>
      <w:r>
        <w:rPr>
          <w:rFonts w:ascii="Carlito" w:hAnsi="Carlito" w:eastAsia="Carlito"/>
          <w:color w:val="20252B"/>
          <w:sz w:val="20"/>
        </w:rPr>
        <w:t>technically extensive study;</w:t>
      </w:r>
    </w:p>
    <w:p>
      <w:pPr>
        <w:pStyle w:val="ListBullet"/>
        <w:spacing w:after="50" w:line="252" w:lineRule="auto"/>
        <w:ind w:left="360" w:hanging="173"/>
      </w:pPr>
      <w:r>
        <w:rPr>
          <w:rFonts w:ascii="Carlito" w:hAnsi="Carlito" w:eastAsia="Carlito"/>
          <w:color w:val="20252B"/>
          <w:sz w:val="20"/>
        </w:rPr>
        <w:t>multiple cohorts;</w:t>
      </w:r>
    </w:p>
    <w:p>
      <w:pPr>
        <w:pStyle w:val="ListBullet"/>
        <w:spacing w:after="50" w:line="252" w:lineRule="auto"/>
        <w:ind w:left="360" w:hanging="173"/>
      </w:pPr>
      <w:r>
        <w:rPr>
          <w:rFonts w:ascii="Carlito" w:hAnsi="Carlito" w:eastAsia="Carlito"/>
          <w:color w:val="20252B"/>
          <w:sz w:val="20"/>
        </w:rPr>
        <w:t>registered analysis plan;</w:t>
      </w:r>
    </w:p>
    <w:p>
      <w:pPr>
        <w:pStyle w:val="ListBullet"/>
        <w:spacing w:after="50" w:line="252" w:lineRule="auto"/>
        <w:ind w:left="360" w:hanging="173"/>
      </w:pPr>
      <w:r>
        <w:rPr>
          <w:rFonts w:ascii="Carlito" w:hAnsi="Carlito" w:eastAsia="Carlito"/>
          <w:color w:val="20252B"/>
          <w:sz w:val="20"/>
        </w:rPr>
        <w:t>external evaluation;</w:t>
      </w:r>
    </w:p>
    <w:p>
      <w:pPr>
        <w:pStyle w:val="ListBullet"/>
        <w:spacing w:after="50" w:line="252" w:lineRule="auto"/>
        <w:ind w:left="360" w:hanging="173"/>
      </w:pPr>
      <w:r>
        <w:rPr>
          <w:rFonts w:ascii="Carlito" w:hAnsi="Carlito" w:eastAsia="Carlito"/>
          <w:color w:val="20252B"/>
          <w:sz w:val="20"/>
        </w:rPr>
        <w:t>clear data and code availability; and</w:t>
      </w:r>
    </w:p>
    <w:p>
      <w:pPr>
        <w:pStyle w:val="ListBullet"/>
        <w:spacing w:after="50" w:line="252" w:lineRule="auto"/>
        <w:ind w:left="360" w:hanging="173"/>
      </w:pPr>
      <w:r>
        <w:rPr>
          <w:rFonts w:ascii="Carlito" w:hAnsi="Carlito" w:eastAsia="Carlito"/>
          <w:color w:val="20252B"/>
          <w:sz w:val="20"/>
        </w:rPr>
        <w:t>broad interest in problems of reproducibility and candidate instability.</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In practice, the editor and reviewers may expect a stronger general biological conclusion or more decisive external support. I would place it below Plant Direct, PhytoFrontiers, BMC Genomics, and BMC Plant Biology.</w:t>
      </w:r>
    </w:p>
    <w:p>
      <w:pPr>
        <w:pStyle w:val="Heading2"/>
        <w:keepNext/>
        <w:spacing w:before="180" w:after="60"/>
      </w:pPr>
      <w:r>
        <w:rPr>
          <w:rFonts w:ascii="Carlito" w:hAnsi="Carlito" w:eastAsia="Carlito"/>
          <w:b/>
          <w:color w:val="1F6D7A"/>
          <w:sz w:val="26"/>
        </w:rPr>
        <w:t>10. Frontiers in Plant Science</w:t>
      </w:r>
      <w:r>
        <w:rPr>
          <w:rFonts w:ascii="Carlito" w:hAnsi="Carlito" w:eastAsia="Carlito"/>
          <w:b/>
          <w:color w:val="1F6D7A"/>
          <w:sz w:val="26"/>
        </w:rPr>
        <w:t xml:space="preserve"> - Plant Bioinformatics section</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A33A2B"/>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A33A2B"/>
                <w:sz w:val="20"/>
              </w:rPr>
              <w:t>Medium to high</w:t>
            </w:r>
          </w:p>
        </w:tc>
      </w:tr>
    </w:tbl>
    <w:p>
      <w:pPr>
        <w:spacing w:after="20" w:line="168" w:lineRule="auto"/>
      </w:pPr>
    </w:p>
    <w:p>
      <w:pPr>
        <w:keepNext w:val="0"/>
        <w:spacing w:after="100" w:line="259" w:lineRule="auto"/>
      </w:pPr>
      <w:r>
        <w:rPr>
          <w:rFonts w:ascii="Carlito" w:hAnsi="Carlito" w:eastAsia="Carlito"/>
          <w:color w:val="20252B"/>
          <w:sz w:val="21"/>
        </w:rPr>
        <w:t>The Plant Bioinformatics section explicitly welcomes computational analysis of plant omics and statistical modeling. It requires at least three biological replicates for quantitative analysis, which your datasets meet at the deposited-library level. However, it also says that purely descriptive gene-family or comparative transcriptomic studies without sufficiently deep biological insight will not be considered.</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3">
        <w:r>
          <w:rPr>
            <w:rFonts w:ascii="Carlito" w:hAnsi="Carlito"/>
            <w:color w:val="0563C1"/>
            <w:u w:val="single"/>
            <w:i/>
          </w:rPr>
          <w:t>Plant Bioinformatics section scope</w:t>
        </w:r>
      </w:hyperlink>
    </w:p>
    <w:p>
      <w:pPr>
        <w:keepNext w:val="0"/>
        <w:spacing w:after="60" w:line="259" w:lineRule="auto"/>
      </w:pPr>
      <w:r>
        <w:rPr>
          <w:rFonts w:ascii="Carlito" w:hAnsi="Carlito" w:eastAsia="Carlito"/>
          <w:color w:val="20252B"/>
          <w:sz w:val="21"/>
        </w:rPr>
        <w:t>Your paper is substantially more rigorous than a routine descriptive transcriptomic paper because it includes:</w:t>
      </w:r>
    </w:p>
    <w:p>
      <w:pPr>
        <w:pStyle w:val="ListBullet"/>
        <w:spacing w:after="50" w:line="252" w:lineRule="auto"/>
        <w:ind w:left="360" w:hanging="173"/>
      </w:pPr>
      <w:r>
        <w:rPr>
          <w:rFonts w:ascii="Carlito" w:hAnsi="Carlito" w:eastAsia="Carlito"/>
          <w:color w:val="20252B"/>
          <w:sz w:val="20"/>
        </w:rPr>
        <w:t>a true interaction model;</w:t>
      </w:r>
    </w:p>
    <w:p>
      <w:pPr>
        <w:pStyle w:val="ListBullet"/>
        <w:spacing w:after="50" w:line="252" w:lineRule="auto"/>
        <w:ind w:left="360" w:hanging="173"/>
      </w:pPr>
      <w:r>
        <w:rPr>
          <w:rFonts w:ascii="Carlito" w:hAnsi="Carlito" w:eastAsia="Carlito"/>
          <w:color w:val="20252B"/>
          <w:sz w:val="20"/>
        </w:rPr>
        <w:t>genome-wide multiple-testing control;</w:t>
      </w:r>
    </w:p>
    <w:p>
      <w:pPr>
        <w:pStyle w:val="ListBullet"/>
        <w:spacing w:after="50" w:line="252" w:lineRule="auto"/>
        <w:ind w:left="360" w:hanging="173"/>
      </w:pPr>
      <w:r>
        <w:rPr>
          <w:rFonts w:ascii="Carlito" w:hAnsi="Carlito" w:eastAsia="Carlito"/>
          <w:color w:val="20252B"/>
          <w:sz w:val="20"/>
        </w:rPr>
        <w:t>alternative quantification and statistical frameworks;</w:t>
      </w:r>
    </w:p>
    <w:p>
      <w:pPr>
        <w:pStyle w:val="ListBullet"/>
        <w:spacing w:after="50" w:line="252" w:lineRule="auto"/>
        <w:ind w:left="360" w:hanging="173"/>
      </w:pPr>
      <w:r>
        <w:rPr>
          <w:rFonts w:ascii="Carlito" w:hAnsi="Carlito" w:eastAsia="Carlito"/>
          <w:color w:val="20252B"/>
          <w:sz w:val="20"/>
        </w:rPr>
        <w:t>leave-one-library-out analysis;</w:t>
      </w:r>
    </w:p>
    <w:p>
      <w:pPr>
        <w:pStyle w:val="ListBullet"/>
        <w:spacing w:after="50" w:line="252" w:lineRule="auto"/>
        <w:ind w:left="360" w:hanging="173"/>
      </w:pPr>
      <w:r>
        <w:rPr>
          <w:rFonts w:ascii="Carlito" w:hAnsi="Carlito" w:eastAsia="Carlito"/>
          <w:color w:val="20252B"/>
          <w:sz w:val="20"/>
        </w:rPr>
        <w:t>a frozen external evaluation;</w:t>
      </w:r>
    </w:p>
    <w:p>
      <w:pPr>
        <w:pStyle w:val="ListBullet"/>
        <w:spacing w:after="50" w:line="252" w:lineRule="auto"/>
        <w:ind w:left="360" w:hanging="173"/>
      </w:pPr>
      <w:r>
        <w:rPr>
          <w:rFonts w:ascii="Carlito" w:hAnsi="Carlito" w:eastAsia="Carlito"/>
          <w:color w:val="20252B"/>
          <w:sz w:val="20"/>
        </w:rPr>
        <w:t>power simulations; and</w:t>
      </w:r>
    </w:p>
    <w:p>
      <w:pPr>
        <w:pStyle w:val="ListBullet"/>
        <w:spacing w:after="50" w:line="252" w:lineRule="auto"/>
        <w:ind w:left="360" w:hanging="173"/>
      </w:pPr>
      <w:r>
        <w:rPr>
          <w:rFonts w:ascii="Carlito" w:hAnsi="Carlito" w:eastAsia="Carlito"/>
          <w:color w:val="20252B"/>
          <w:sz w:val="20"/>
        </w:rPr>
        <w:t>explicit contradictory and null outcomes.</w:t>
      </w:r>
    </w:p>
    <w:p>
      <w:pPr>
        <w:keepNext w:val="0"/>
        <w:spacing w:after="120" w:line="259" w:lineRule="auto"/>
      </w:pPr>
      <w:r>
        <w:rPr>
          <w:rFonts w:ascii="Carlito" w:hAnsi="Carlito" w:eastAsia="Carlito"/>
          <w:color w:val="20252B"/>
          <w:sz w:val="21"/>
        </w:rPr>
        <w:t>Nevertheless, Frontiers reviewers may still request qPCR or functional support. It is a reasonable later option, but not my first choice.</w:t>
      </w:r>
    </w:p>
    <w:p>
      <w:pPr>
        <w:pStyle w:val="Heading1"/>
        <w:keepNext/>
        <w:spacing w:before="200" w:after="80"/>
      </w:pPr>
      <w:r>
        <w:rPr>
          <w:rFonts w:ascii="Carlito" w:hAnsi="Carlito" w:eastAsia="Carlito"/>
          <w:b/>
          <w:color w:val="17365D"/>
          <w:sz w:val="32"/>
        </w:rPr>
        <w:t>Journals I would not prioritize</w:t>
      </w:r>
    </w:p>
    <w:p>
      <w:pPr>
        <w:pStyle w:val="Heading2"/>
        <w:keepNext/>
        <w:spacing w:before="160" w:after="60"/>
      </w:pPr>
      <w:r>
        <w:rPr>
          <w:rFonts w:ascii="Carlito" w:hAnsi="Carlito" w:eastAsia="Carlito"/>
          <w:b/>
          <w:color w:val="1F6D7A"/>
          <w:sz w:val="25"/>
        </w:rPr>
        <w:t>Functional &amp; Integrative Genomics</w:t>
      </w:r>
    </w:p>
    <w:p>
      <w:pPr>
        <w:keepNext w:val="0"/>
        <w:spacing w:after="80" w:line="259" w:lineRule="auto"/>
      </w:pPr>
      <w:r>
        <w:rPr>
          <w:rFonts w:ascii="Carlito" w:hAnsi="Carlito" w:eastAsia="Carlito"/>
          <w:color w:val="20252B"/>
          <w:sz w:val="21"/>
        </w:rPr>
        <w:t>This journal's current instructions explicitly state that a research article's major new finding must be "experimentally supported." That makes it a poor match for the present manuscript.</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4">
        <w:r>
          <w:rPr>
            <w:rFonts w:ascii="Carlito" w:hAnsi="Carlito"/>
            <w:color w:val="0563C1"/>
            <w:u w:val="single"/>
            <w:i/>
          </w:rPr>
          <w:t>Submission guidelines</w:t>
        </w:r>
      </w:hyperlink>
    </w:p>
    <w:p>
      <w:pPr>
        <w:pStyle w:val="Heading2"/>
        <w:keepNext/>
        <w:spacing w:before="160" w:after="60"/>
      </w:pPr>
      <w:r>
        <w:rPr>
          <w:rFonts w:ascii="Carlito" w:hAnsi="Carlito" w:eastAsia="Carlito"/>
          <w:b/>
          <w:color w:val="1F6D7A"/>
          <w:sz w:val="25"/>
        </w:rPr>
        <w:t>Mechanism-focused plant journals</w:t>
      </w:r>
    </w:p>
    <w:p>
      <w:pPr>
        <w:keepNext w:val="0"/>
        <w:spacing w:after="120" w:line="259" w:lineRule="auto"/>
      </w:pPr>
      <w:r>
        <w:rPr>
          <w:rFonts w:ascii="Carlito" w:hAnsi="Carlito" w:eastAsia="Carlito"/>
          <w:color w:val="20252B"/>
          <w:sz w:val="21"/>
        </w:rPr>
        <w:t>I would not initially target Plant Physiology, The Plant Journal, Molecular Plant Pathology, Molecular Plant-Microbe Interactions, or Horticulture Research. Submission is not formally impossible, but the probability of requests for qPCR, inoculation experiments, gene perturbation, resistant/susceptible phenotype confirmation, or promoter assays is high.</w:t>
      </w:r>
    </w:p>
    <w:p>
      <w:pPr>
        <w:pStyle w:val="Heading2"/>
        <w:keepNext/>
        <w:spacing w:before="160" w:after="60"/>
      </w:pPr>
      <w:r>
        <w:rPr>
          <w:rFonts w:ascii="Carlito" w:hAnsi="Carlito" w:eastAsia="Carlito"/>
          <w:b/>
          <w:color w:val="1F6D7A"/>
          <w:sz w:val="25"/>
        </w:rPr>
        <w:t>Method-development journals and archival bioinformatics proceedings</w:t>
      </w:r>
    </w:p>
    <w:p>
      <w:pPr>
        <w:keepNext w:val="0"/>
        <w:spacing w:after="120" w:line="259" w:lineRule="auto"/>
      </w:pPr>
      <w:r>
        <w:rPr>
          <w:rFonts w:ascii="Carlito" w:hAnsi="Carlito" w:eastAsia="Carlito"/>
          <w:color w:val="20252B"/>
          <w:sz w:val="21"/>
        </w:rPr>
        <w:t>Plant Methods, BMC Bioinformatics, Bioinformatics, and computational conference proceedings are poor primary targets because the manuscript applies and integrates established methods rather than introducing a new algorithm or software platform.</w:t>
      </w:r>
    </w:p>
    <w:p>
      <w:pPr>
        <w:pStyle w:val="Heading1"/>
        <w:keepNext/>
        <w:spacing w:before="200" w:after="80"/>
      </w:pPr>
      <w:r>
        <w:rPr>
          <w:rFonts w:ascii="Carlito" w:hAnsi="Carlito" w:eastAsia="Carlito"/>
          <w:b/>
          <w:color w:val="17365D"/>
          <w:sz w:val="32"/>
        </w:rPr>
        <w:t>Conference options</w:t>
      </w:r>
    </w:p>
    <w:p>
      <w:pPr>
        <w:keepNext w:val="0"/>
        <w:spacing w:after="120" w:line="259" w:lineRule="auto"/>
      </w:pPr>
      <w:r>
        <w:rPr>
          <w:rFonts w:ascii="Carlito" w:hAnsi="Carlito" w:eastAsia="Carlito"/>
          <w:color w:val="20252B"/>
          <w:sz w:val="21"/>
        </w:rPr>
        <w:t>A conference presentation could increase visibility and obtain expert feedback, but it should be considered in addition to a journal submission, not a replacement for the archival paper.</w:t>
      </w:r>
    </w:p>
    <w:p>
      <w:pPr>
        <w:pStyle w:val="Heading2"/>
        <w:keepNext/>
        <w:spacing w:before="180" w:after="60"/>
      </w:pPr>
      <w:r>
        <w:rPr>
          <w:rFonts w:ascii="Carlito" w:hAnsi="Carlito" w:eastAsia="Carlito"/>
          <w:b/>
          <w:color w:val="1F6D7A"/>
          <w:sz w:val="26"/>
        </w:rPr>
        <w:t>1. Plant and Animal Genome Conference 34</w:t>
      </w:r>
      <w:r>
        <w:rPr>
          <w:rFonts w:ascii="Carlito" w:hAnsi="Carlito" w:eastAsia="Carlito"/>
          <w:b/>
          <w:color w:val="1F6D7A"/>
          <w:sz w:val="26"/>
        </w:rPr>
        <w:t xml:space="preserve"> - best immediate conference option</w:t>
      </w:r>
    </w:p>
    <w:p>
      <w:pPr>
        <w:keepNext w:val="0"/>
        <w:spacing w:after="100" w:line="259" w:lineRule="auto"/>
      </w:pPr>
      <w:r>
        <w:rPr>
          <w:rFonts w:ascii="Carlito" w:hAnsi="Carlito" w:eastAsia="Carlito"/>
          <w:color w:val="20252B"/>
          <w:sz w:val="21"/>
        </w:rPr>
        <w:t>PAG 34 will be held January 8-12, 2027, in San Diego and describes itself as a major agricultural-genomics meeting.</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5">
        <w:r>
          <w:rPr>
            <w:rFonts w:ascii="Carlito" w:hAnsi="Carlito"/>
            <w:color w:val="0563C1"/>
            <w:u w:val="single"/>
            <w:i/>
          </w:rPr>
          <w:t>PAG 34</w:t>
        </w:r>
      </w:hyperlink>
    </w:p>
    <w:p>
      <w:pPr>
        <w:keepNext w:val="0"/>
        <w:spacing w:after="60" w:line="259" w:lineRule="auto"/>
      </w:pPr>
      <w:r>
        <w:rPr>
          <w:rFonts w:ascii="Carlito" w:hAnsi="Carlito" w:eastAsia="Carlito"/>
          <w:color w:val="20252B"/>
          <w:sz w:val="21"/>
        </w:rPr>
        <w:t>Poster abstracts:</w:t>
      </w:r>
    </w:p>
    <w:p>
      <w:pPr>
        <w:pStyle w:val="ListBullet"/>
        <w:spacing w:after="50" w:line="252" w:lineRule="auto"/>
        <w:ind w:left="360" w:hanging="173"/>
      </w:pPr>
      <w:r>
        <w:rPr>
          <w:rFonts w:ascii="Carlito" w:hAnsi="Carlito" w:eastAsia="Carlito"/>
          <w:color w:val="20252B"/>
          <w:sz w:val="20"/>
        </w:rPr>
        <w:t>are limited to 500 words;</w:t>
      </w:r>
    </w:p>
    <w:p>
      <w:pPr>
        <w:pStyle w:val="ListBullet"/>
        <w:spacing w:after="50" w:line="252" w:lineRule="auto"/>
        <w:ind w:left="360" w:hanging="173"/>
      </w:pPr>
      <w:r>
        <w:rPr>
          <w:rFonts w:ascii="Carlito" w:hAnsi="Carlito" w:eastAsia="Carlito"/>
          <w:color w:val="20252B"/>
          <w:sz w:val="20"/>
        </w:rPr>
        <w:t>are due November 6, 2026;</w:t>
      </w:r>
    </w:p>
    <w:p>
      <w:pPr>
        <w:pStyle w:val="ListBullet"/>
        <w:spacing w:after="50" w:line="252" w:lineRule="auto"/>
        <w:ind w:left="360" w:hanging="173"/>
      </w:pPr>
      <w:r>
        <w:rPr>
          <w:rFonts w:ascii="Carlito" w:hAnsi="Carlito" w:eastAsia="Carlito"/>
          <w:color w:val="20252B"/>
          <w:sz w:val="20"/>
        </w:rPr>
        <w:t>are reviewed and placed in the online program and later archive; and</w:t>
      </w:r>
    </w:p>
    <w:p>
      <w:pPr>
        <w:pStyle w:val="ListBullet"/>
        <w:spacing w:after="50" w:line="252" w:lineRule="auto"/>
        <w:ind w:left="360" w:hanging="173"/>
      </w:pPr>
      <w:r>
        <w:rPr>
          <w:rFonts w:ascii="Carlito" w:hAnsi="Carlito" w:eastAsia="Carlito"/>
          <w:color w:val="20252B"/>
          <w:sz w:val="20"/>
        </w:rPr>
        <w:t>require the presenting author to have full conference registration.</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6">
        <w:r>
          <w:rPr>
            <w:rFonts w:ascii="Carlito" w:hAnsi="Carlito"/>
            <w:color w:val="0563C1"/>
            <w:u w:val="single"/>
            <w:i/>
          </w:rPr>
          <w:t>Poster abstract instructions</w:t>
        </w:r>
      </w:hyperlink>
    </w:p>
    <w:p>
      <w:pPr>
        <w:keepNext w:val="0"/>
        <w:spacing w:after="120" w:line="259" w:lineRule="auto"/>
      </w:pPr>
      <w:r>
        <w:rPr>
          <w:rFonts w:ascii="Carlito" w:hAnsi="Carlito" w:eastAsia="Carlito"/>
          <w:color w:val="20252B"/>
          <w:sz w:val="21"/>
        </w:rPr>
        <w:t>This is probably the best conference audience for the genome-scale and crop components of the study. A poster should emphasize the evidence-attrition figure, external evaluation, context dependence, and the 12 Tier B candidates.</w:t>
      </w:r>
    </w:p>
    <w:p>
      <w:pPr>
        <w:pStyle w:val="Heading2"/>
        <w:keepNext/>
        <w:spacing w:before="180" w:after="60"/>
      </w:pPr>
      <w:r>
        <w:rPr>
          <w:rFonts w:ascii="Carlito" w:hAnsi="Carlito" w:eastAsia="Carlito"/>
          <w:b/>
          <w:color w:val="1F6D7A"/>
          <w:sz w:val="26"/>
        </w:rPr>
        <w:t>2. Plant Biology 2027</w:t>
      </w:r>
    </w:p>
    <w:p>
      <w:pPr>
        <w:keepNext w:val="0"/>
        <w:spacing w:after="80" w:line="259" w:lineRule="auto"/>
      </w:pPr>
      <w:r>
        <w:rPr>
          <w:rFonts w:ascii="Carlito" w:hAnsi="Carlito" w:eastAsia="Carlito"/>
          <w:color w:val="20252B"/>
          <w:sz w:val="21"/>
        </w:rPr>
        <w:t>The ASPB Plant Biology meeting will accept independent abstracts from September 11, 2026 through January 8, 2027. Selected abstracts receive a concurrent-session talk; others may be offered poster presentation. The meeting is in Albuquerque, New Mexico.</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7">
        <w:r>
          <w:rPr>
            <w:rFonts w:ascii="Carlito" w:hAnsi="Carlito"/>
            <w:color w:val="0563C1"/>
            <w:u w:val="single"/>
            <w:i/>
          </w:rPr>
          <w:t>Abstract submission information</w:t>
        </w:r>
      </w:hyperlink>
    </w:p>
    <w:p>
      <w:pPr>
        <w:keepNext w:val="0"/>
        <w:spacing w:after="120" w:line="259" w:lineRule="auto"/>
      </w:pPr>
      <w:r>
        <w:rPr>
          <w:rFonts w:ascii="Carlito" w:hAnsi="Carlito" w:eastAsia="Carlito"/>
          <w:color w:val="20252B"/>
          <w:sz w:val="21"/>
        </w:rPr>
        <w:t>This is a strong venue for presenting the work under topics such as computational biology, genes and genomes, transcriptional networks, or plant-microbe pathogenesis.</w:t>
      </w:r>
    </w:p>
    <w:p>
      <w:pPr>
        <w:pStyle w:val="Heading2"/>
        <w:keepNext/>
        <w:spacing w:before="180" w:after="60"/>
      </w:pPr>
      <w:r>
        <w:rPr>
          <w:rFonts w:ascii="Carlito" w:hAnsi="Carlito" w:eastAsia="Carlito"/>
          <w:b/>
          <w:color w:val="1F6D7A"/>
          <w:sz w:val="26"/>
        </w:rPr>
        <w:t>3. APS Plant Health 2027</w:t>
      </w:r>
    </w:p>
    <w:p>
      <w:pPr>
        <w:keepNext w:val="0"/>
        <w:spacing w:after="80" w:line="259" w:lineRule="auto"/>
      </w:pPr>
      <w:r>
        <w:rPr>
          <w:rFonts w:ascii="Carlito" w:hAnsi="Carlito" w:eastAsia="Carlito"/>
          <w:color w:val="20252B"/>
          <w:sz w:val="21"/>
        </w:rPr>
        <w:t>Plant Health 2027, the annual meeting of the American Phytopathological Society, will take place July 31-August 3, 2027, in Minneapolis and will include scientific sessions, posters, and workshops across plant pathology.</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8">
        <w:r>
          <w:rPr>
            <w:rFonts w:ascii="Carlito" w:hAnsi="Carlito"/>
            <w:color w:val="0563C1"/>
            <w:u w:val="single"/>
            <w:i/>
          </w:rPr>
          <w:t>Plant Health 2027</w:t>
        </w:r>
      </w:hyperlink>
    </w:p>
    <w:p>
      <w:pPr>
        <w:keepNext w:val="0"/>
        <w:spacing w:after="120" w:line="259" w:lineRule="auto"/>
      </w:pPr>
      <w:r>
        <w:rPr>
          <w:rFonts w:ascii="Carlito" w:hAnsi="Carlito" w:eastAsia="Carlito"/>
          <w:color w:val="20252B"/>
          <w:sz w:val="21"/>
        </w:rPr>
        <w:t>This is the most directly relevant conference audience for the Peronophythora litchii disease story. The 2027 abstract call does not yet appear to be posted, so it is worth monitoring.</w:t>
      </w:r>
    </w:p>
    <w:p>
      <w:pPr>
        <w:pStyle w:val="Heading2"/>
        <w:keepNext/>
        <w:spacing w:before="180" w:after="60"/>
      </w:pPr>
      <w:r>
        <w:rPr>
          <w:rFonts w:ascii="Carlito" w:hAnsi="Carlito" w:eastAsia="Carlito"/>
          <w:b/>
          <w:color w:val="1F6D7A"/>
          <w:sz w:val="26"/>
        </w:rPr>
        <w:t>4. ISMB/ECCB 2027</w:t>
      </w:r>
      <w:r>
        <w:rPr>
          <w:rFonts w:ascii="Carlito" w:hAnsi="Carlito" w:eastAsia="Carlito"/>
          <w:b/>
          <w:color w:val="1F6D7A"/>
          <w:sz w:val="26"/>
        </w:rPr>
        <w:t xml:space="preserve"> - poster rather than proceedings paper</w:t>
      </w:r>
    </w:p>
    <w:p>
      <w:pPr>
        <w:keepNext w:val="0"/>
        <w:spacing w:after="80" w:line="259" w:lineRule="auto"/>
      </w:pPr>
      <w:r>
        <w:rPr>
          <w:rFonts w:ascii="Carlito" w:hAnsi="Carlito" w:eastAsia="Carlito"/>
          <w:color w:val="20252B"/>
          <w:sz w:val="21"/>
        </w:rPr>
        <w:t>ISMB/ECCB 2027 will be held July 18-22 in Copenhagen and is a major computational biology meeting. A poster could be framed around preregistration, analysis robustness, genome-wide interaction testing, and external transportability. It is less attractive than PAG or Plant Health for reaching lychee and plant-pathology researchers, and I would not target its full-paper proceedings route without a genuinely new computational method.</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9">
        <w:r>
          <w:rPr>
            <w:rFonts w:ascii="Carlito" w:hAnsi="Carlito"/>
            <w:color w:val="0563C1"/>
            <w:u w:val="single"/>
            <w:i/>
          </w:rPr>
          <w:t>ISMB/ECCB 2027</w:t>
        </w:r>
      </w:hyperlink>
    </w:p>
    <w:p>
      <w:pPr>
        <w:pStyle w:val="Heading1"/>
        <w:keepNext/>
        <w:spacing w:before="200" w:after="80"/>
      </w:pPr>
      <w:r>
        <w:rPr>
          <w:rFonts w:ascii="Carlito" w:hAnsi="Carlito" w:eastAsia="Carlito"/>
          <w:b/>
          <w:color w:val="17365D"/>
          <w:sz w:val="32"/>
        </w:rPr>
        <w:t>How I would submit it</w:t>
      </w:r>
    </w:p>
    <w:p>
      <w:pPr>
        <w:keepNext w:val="0"/>
        <w:spacing w:after="60" w:line="259" w:lineRule="auto"/>
      </w:pPr>
      <w:r>
        <w:rPr>
          <w:rFonts w:ascii="Carlito" w:hAnsi="Carlito" w:eastAsia="Carlito"/>
          <w:color w:val="20252B"/>
          <w:sz w:val="21"/>
        </w:rPr>
        <w:t>My preferred sequence would be:</w:t>
      </w:r>
    </w:p>
    <w:p>
      <w:pPr>
        <w:spacing w:after="60" w:line="252" w:lineRule="auto"/>
        <w:ind w:left="490" w:hanging="317"/>
      </w:pPr>
      <w:r>
        <w:rPr>
          <w:rFonts w:ascii="Carlito" w:hAnsi="Carlito" w:eastAsia="Carlito"/>
          <w:b/>
          <w:color w:val="17365D"/>
          <w:sz w:val="21"/>
        </w:rPr>
        <w:t xml:space="preserve">1.  </w:t>
      </w:r>
      <w:r>
        <w:rPr>
          <w:rFonts w:ascii="Carlito" w:hAnsi="Carlito" w:eastAsia="Carlito"/>
          <w:color w:val="20252B"/>
          <w:sz w:val="21"/>
        </w:rPr>
        <w:t>Plant Direct for the best overall balance of fit and acceptance realism.</w:t>
      </w:r>
    </w:p>
    <w:p>
      <w:pPr>
        <w:spacing w:after="60" w:line="252" w:lineRule="auto"/>
        <w:ind w:left="490" w:hanging="317"/>
      </w:pPr>
      <w:r>
        <w:rPr>
          <w:rFonts w:ascii="Carlito" w:hAnsi="Carlito" w:eastAsia="Carlito"/>
          <w:b/>
          <w:color w:val="17365D"/>
          <w:sz w:val="21"/>
        </w:rPr>
        <w:t xml:space="preserve">2.  </w:t>
      </w:r>
      <w:r>
        <w:rPr>
          <w:rFonts w:ascii="Carlito" w:hAnsi="Carlito" w:eastAsia="Carlito"/>
          <w:color w:val="20252B"/>
          <w:sz w:val="21"/>
        </w:rPr>
        <w:t>PhytoFrontiers if Plant Direct declines it.</w:t>
      </w:r>
    </w:p>
    <w:p>
      <w:pPr>
        <w:spacing w:after="60" w:line="252" w:lineRule="auto"/>
        <w:ind w:left="490" w:hanging="317"/>
      </w:pPr>
      <w:r>
        <w:rPr>
          <w:rFonts w:ascii="Carlito" w:hAnsi="Carlito" w:eastAsia="Carlito"/>
          <w:b/>
          <w:color w:val="17365D"/>
          <w:sz w:val="21"/>
        </w:rPr>
        <w:t xml:space="preserve">3.  </w:t>
      </w:r>
      <w:r>
        <w:rPr>
          <w:rFonts w:ascii="Carlito" w:hAnsi="Carlito" w:eastAsia="Carlito"/>
          <w:color w:val="20252B"/>
          <w:sz w:val="21"/>
        </w:rPr>
        <w:t>BMC Plant Biology.</w:t>
      </w:r>
    </w:p>
    <w:p>
      <w:pPr>
        <w:spacing w:after="60" w:line="252" w:lineRule="auto"/>
        <w:ind w:left="490" w:hanging="317"/>
      </w:pPr>
      <w:r>
        <w:rPr>
          <w:rFonts w:ascii="Carlito" w:hAnsi="Carlito" w:eastAsia="Carlito"/>
          <w:b/>
          <w:color w:val="17365D"/>
          <w:sz w:val="21"/>
        </w:rPr>
        <w:t xml:space="preserve">4.  </w:t>
      </w:r>
      <w:r>
        <w:rPr>
          <w:rFonts w:ascii="Carlito" w:hAnsi="Carlito" w:eastAsia="Carlito"/>
          <w:color w:val="20252B"/>
          <w:sz w:val="21"/>
        </w:rPr>
        <w:t>Royal Society Open Science or PLOS ONE.</w:t>
      </w:r>
    </w:p>
    <w:p>
      <w:pPr>
        <w:spacing w:after="60" w:line="252" w:lineRule="auto"/>
        <w:ind w:left="490" w:hanging="317"/>
      </w:pPr>
      <w:r>
        <w:rPr>
          <w:rFonts w:ascii="Carlito" w:hAnsi="Carlito" w:eastAsia="Carlito"/>
          <w:b/>
          <w:color w:val="17365D"/>
          <w:sz w:val="21"/>
        </w:rPr>
        <w:t xml:space="preserve">5.  </w:t>
      </w:r>
      <w:r>
        <w:rPr>
          <w:rFonts w:ascii="Carlito" w:hAnsi="Carlito" w:eastAsia="Carlito"/>
          <w:color w:val="20252B"/>
          <w:sz w:val="21"/>
        </w:rPr>
        <w:t>PeerJ as another soundness-oriented fallback.</w:t>
      </w:r>
    </w:p>
    <w:p>
      <w:pPr>
        <w:keepNext w:val="0"/>
        <w:spacing w:after="140" w:line="259" w:lineRule="auto"/>
      </w:pPr>
      <w:r>
        <w:rPr>
          <w:rFonts w:ascii="Carlito" w:hAnsi="Carlito" w:eastAsia="Carlito"/>
          <w:color w:val="20252B"/>
          <w:sz w:val="21"/>
        </w:rPr>
        <w:t>A more ambitious sequence would place the BMC Genomics "Genomics of plant pathogens" collection first, followed by Plant Direct. Because that collection closes December 14, 2026 and explicitly solicits host transcriptomic responses, it is worth one attempt before moving to the safer options.</w:t>
      </w:r>
    </w:p>
    <w:p>
      <w:pPr>
        <w:pStyle w:val="Heading1"/>
        <w:keepNext/>
        <w:spacing w:before="200" w:after="80"/>
      </w:pPr>
      <w:r>
        <w:rPr>
          <w:rFonts w:ascii="Carlito" w:hAnsi="Carlito" w:eastAsia="Carlito"/>
          <w:b/>
          <w:color w:val="17365D"/>
          <w:sz w:val="32"/>
        </w:rPr>
        <w:t>Important positioning changes before submission</w:t>
      </w:r>
    </w:p>
    <w:p>
      <w:pPr>
        <w:pStyle w:val="Heading2"/>
        <w:keepNext/>
        <w:spacing w:before="160" w:after="60"/>
      </w:pPr>
      <w:r>
        <w:rPr>
          <w:rFonts w:ascii="Carlito" w:hAnsi="Carlito" w:eastAsia="Carlito"/>
          <w:b/>
          <w:color w:val="1F6D7A"/>
          <w:sz w:val="25"/>
        </w:rPr>
        <w:t>Use "external evaluation," not unqualified "validation"</w:t>
      </w:r>
    </w:p>
    <w:p>
      <w:pPr>
        <w:keepNext w:val="0"/>
        <w:spacing w:after="60" w:line="259" w:lineRule="auto"/>
      </w:pPr>
      <w:r>
        <w:rPr>
          <w:rFonts w:ascii="Carlito" w:hAnsi="Carlito" w:eastAsia="Carlito"/>
          <w:color w:val="20252B"/>
          <w:sz w:val="21"/>
        </w:rPr>
        <w:t>A strong cover-letter sentence would be:</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"This study reports a prospectively registered computational analysis of public lychee-P. litchii transcriptomes, including genome-wide interaction testing, predeclared robustness analyses, and frozen cross-context external evaluation."</w:t>
            </w:r>
          </w:p>
        </w:tc>
      </w:tr>
    </w:tbl>
    <w:p>
      <w:pPr>
        <w:spacing w:after="20" w:line="168" w:lineRule="auto"/>
      </w:pPr>
    </w:p>
    <w:p>
      <w:pPr>
        <w:keepNext w:val="0"/>
        <w:spacing w:after="60" w:line="259" w:lineRule="auto"/>
      </w:pPr>
      <w:r>
        <w:rPr>
          <w:rFonts w:ascii="Carlito" w:hAnsi="Carlito" w:eastAsia="Carlito"/>
          <w:color w:val="20252B"/>
          <w:sz w:val="21"/>
        </w:rPr>
        <w:t>Do not say that the candidates were "independently validated." A more accurate formulation is:</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"Two genes received prespecified cross-context support in an independent cohort, while five showed significant opposite-direction effects."</w:t>
            </w:r>
          </w:p>
        </w:tc>
      </w:tr>
    </w:tbl>
    <w:p>
      <w:pPr>
        <w:spacing w:after="20" w:line="168" w:lineRule="auto"/>
      </w:pPr>
    </w:p>
    <w:p>
      <w:pPr>
        <w:pStyle w:val="Heading2"/>
        <w:keepNext/>
        <w:spacing w:before="160" w:after="60"/>
      </w:pPr>
      <w:r>
        <w:rPr>
          <w:rFonts w:ascii="Carlito" w:hAnsi="Carlito" w:eastAsia="Carlito"/>
          <w:b/>
          <w:color w:val="1F6D7A"/>
          <w:sz w:val="25"/>
        </w:rPr>
        <w:t>Present the negative findings as the central result</w:t>
      </w:r>
    </w:p>
    <w:p>
      <w:pPr>
        <w:keepNext w:val="0"/>
        <w:spacing w:after="120" w:line="259" w:lineRule="auto"/>
      </w:pPr>
      <w:r>
        <w:rPr>
          <w:rFonts w:ascii="Carlito" w:hAnsi="Carlito" w:eastAsia="Carlito"/>
          <w:color w:val="20252B"/>
          <w:sz w:val="21"/>
        </w:rPr>
        <w:t>The zero overlap and weak transport are not embarrassing side findings. They demonstrate why candidate lists obtained from three-replicate transcriptomic experiments should not automatically be treated as portable resistance markers. That is arguably the most general lesson in the paper.</w:t>
      </w:r>
    </w:p>
    <w:p>
      <w:pPr>
        <w:pStyle w:val="Heading2"/>
        <w:keepNext/>
        <w:spacing w:before="160" w:after="60"/>
      </w:pPr>
      <w:r>
        <w:rPr>
          <w:rFonts w:ascii="Carlito" w:hAnsi="Carlito" w:eastAsia="Carlito"/>
          <w:b/>
          <w:color w:val="1F6D7A"/>
          <w:sz w:val="25"/>
        </w:rPr>
        <w:t>Make the repository permanent before submission</w:t>
      </w:r>
    </w:p>
    <w:p>
      <w:pPr>
        <w:keepNext w:val="0"/>
        <w:spacing w:after="120" w:line="259" w:lineRule="auto"/>
      </w:pPr>
      <w:r>
        <w:rPr>
          <w:rFonts w:ascii="Carlito" w:hAnsi="Carlito" w:eastAsia="Carlito"/>
          <w:color w:val="20252B"/>
          <w:sz w:val="21"/>
        </w:rPr>
        <w:t xml:space="preserve">The manuscript says that a DOI-matched archived release will accompany the revised submission. Make that archive publicly accessible at initial submission, rather than promising that it will appear later. Your frozen tables, Snakemake workflow, checksums, amendment log, and figure-source data are major selling points. </w:t>
      </w:r>
      <w:r>
        <w:rPr>
          <w:rFonts w:ascii="Carlito" w:hAnsi="Carlito" w:eastAsia="Carlito"/>
          <w:i/>
          <w:color w:val="5B6573"/>
          <w:sz w:val="21"/>
        </w:rPr>
        <w:t>(Manuscript, Data and code availability, p. 22.)</w:t>
      </w:r>
    </w:p>
    <w:p>
      <w:pPr>
        <w:pStyle w:val="Heading2"/>
        <w:keepNext/>
        <w:spacing w:before="160" w:after="60"/>
      </w:pPr>
      <w:r>
        <w:rPr>
          <w:rFonts w:ascii="Carlito" w:hAnsi="Carlito" w:eastAsia="Carlito"/>
          <w:b/>
          <w:color w:val="1F6D7A"/>
          <w:sz w:val="25"/>
        </w:rPr>
        <w:t>Shorten the title</w:t>
      </w:r>
    </w:p>
    <w:p>
      <w:pPr>
        <w:keepNext w:val="0"/>
        <w:spacing w:after="60" w:line="259" w:lineRule="auto"/>
      </w:pPr>
      <w:r>
        <w:rPr>
          <w:rFonts w:ascii="Carlito" w:hAnsi="Carlito" w:eastAsia="Carlito"/>
          <w:color w:val="20252B"/>
          <w:sz w:val="21"/>
        </w:rPr>
        <w:t>A more direct title would be:</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"Preregistered genome-wide analysis of cultivar-dependent lychee responses to Peronophythora litchii with cross-context external evaluation"</w:t>
            </w:r>
          </w:p>
        </w:tc>
      </w:tr>
    </w:tbl>
    <w:p>
      <w:pPr>
        <w:spacing w:after="20" w:line="168" w:lineRule="auto"/>
      </w:pPr>
    </w:p>
    <w:p>
      <w:pPr>
        <w:pStyle w:val="Heading2"/>
        <w:keepNext/>
        <w:spacing w:before="160" w:after="60"/>
      </w:pPr>
      <w:r>
        <w:rPr>
          <w:rFonts w:ascii="Carlito" w:hAnsi="Carlito" w:eastAsia="Carlito"/>
          <w:b/>
          <w:color w:val="1F6D7A"/>
          <w:sz w:val="25"/>
        </w:rPr>
        <w:t>Check publication costs before committing</w:t>
      </w:r>
    </w:p>
    <w:p>
      <w:pPr>
        <w:keepNext w:val="0"/>
        <w:spacing w:after="100" w:line="259" w:lineRule="auto"/>
      </w:pPr>
      <w:r>
        <w:rPr>
          <w:rFonts w:ascii="Carlito" w:hAnsi="Carlito" w:eastAsia="Carlito"/>
          <w:color w:val="20252B"/>
          <w:sz w:val="21"/>
        </w:rPr>
        <w:t xml:space="preserve">Most of the strongest matches above are fully open-access journals and may charge article-processing fees. Because the manuscript reports no external funding, check waiver, discount, and institutional-agreement eligibility before choosing the final destination. </w:t>
      </w:r>
      <w:r>
        <w:rPr>
          <w:rFonts w:ascii="Carlito" w:hAnsi="Carlito" w:eastAsia="Carlito"/>
          <w:i/>
          <w:color w:val="5B6573"/>
          <w:sz w:val="21"/>
        </w:rPr>
        <w:t>(Manuscript, Declarations, p. 22.)</w:t>
      </w:r>
    </w:p>
    <w:p>
      <w:pPr>
        <w:keepNext w:val="0"/>
        <w:spacing w:after="80" w:line="259" w:lineRule="auto"/>
      </w:pPr>
      <w:r>
        <w:rPr>
          <w:rFonts w:ascii="Carlito" w:hAnsi="Carlito" w:eastAsia="Carlito"/>
          <w:color w:val="20252B"/>
          <w:sz w:val="21"/>
        </w:rPr>
        <w:t>Hybrid, potentially no-mandatory-APC backups include the European Journal of Plant Pathology, whose scope covers fundamental and applied plant pathology, and the Journal of Plant Biochemistry and Biotechnology, which explicitly includes genomics and bioinformatics.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30">
        <w:r>
          <w:rPr>
            <w:rFonts w:ascii="Carlito" w:hAnsi="Carlito"/>
            <w:color w:val="0563C1"/>
            <w:u w:val="single"/>
            <w:i/>
          </w:rPr>
          <w:t>European Journal of Plant Pathology scope</w:t>
        </w:r>
      </w:hyperlink>
    </w:p>
    <w:tbl>
      <w:tblPr>
        <w:tblW w:type="auto" w:w="0"/>
        <w:jc w:val="center"/>
        <w:tblLook w:firstColumn="1" w:firstRow="1" w:lastColumn="0" w:lastRow="0" w:noHBand="0" w:noVBand="1" w:val="04A0"/>
      </w:tblPr>
      <w:tblGrid>
        <w:gridCol w:w="9994"/>
      </w:tblGrid>
      <w:tr>
        <w:trPr>
          <w:cantSplit/>
        </w:trPr>
        <w:tc>
          <w:tcPr>
            <w:tcW w:type="dxa" w:w="9994"/>
            <w:shd w:fill="EAF2F8"/>
            <w:tcMar>
              <w:top w:w="180" w:type="dxa"/>
              <w:start w:w="220" w:type="dxa"/>
              <w:bottom w:w="180" w:type="dxa"/>
              <w:end w:w="220" w:type="dxa"/>
            </w:tcMar>
            <w:tcBorders>
              <w:top w:val="single" w:sz="6" w:color="B8CCE4"/>
              <w:left w:val="single" w:sz="22" w:color="17365D"/>
              <w:bottom w:val="single" w:sz="6" w:color="B8CCE4"/>
              <w:right w:val="single" w:sz="6" w:color="B8CCE4"/>
            </w:tcBorders>
            <w:vAlign w:val="center"/>
          </w:tcPr>
          <w:p>
            <w:pPr>
              <w:spacing w:after="60"/>
            </w:pPr>
            <w:r>
              <w:rPr>
                <w:rFonts w:ascii="Carlito" w:hAnsi="Carlito" w:eastAsia="Carlito"/>
                <w:b/>
                <w:color w:val="17365D"/>
                <w:sz w:val="24"/>
              </w:rPr>
              <w:t>Final recommendation</w:t>
            </w:r>
          </w:p>
          <w:p>
            <w:pPr>
              <w:spacing w:after="0" w:line="259" w:lineRule="auto"/>
            </w:pPr>
            <w:r>
              <w:rPr>
                <w:rFonts w:ascii="Carlito" w:hAnsi="Carlito" w:eastAsia="Carlito"/>
                <w:b/>
                <w:color w:val="20252B"/>
                <w:sz w:val="21"/>
              </w:rPr>
              <w:t>Submit to Plant Direct, or make one higher-risk attempt at the current BMC Genomics plant-pathogen collection first. In parallel, submit a PAG 34 poster abstract by November 6, 2026.</w:t>
            </w:r>
          </w:p>
        </w:tc>
      </w:tr>
    </w:tbl>
    <w:p>
      <w:pPr>
        <w:spacing w:after="0"/>
      </w:pPr>
    </w:p>
    <w:sectPr w:rsidR="00FC693F" w:rsidRPr="0006063C" w:rsidSect="00034616">
      <w:headerReference w:type="default" r:id="rId9"/>
      <w:footerReference w:type="default" r:id="rId10"/>
      <w:pgSz w:w="12240" w:h="15840"/>
      <w:pgMar w:top="979" w:right="1123" w:bottom="979"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056"/>
      <w:gridCol w:w="2736"/>
    </w:tblGrid>
    <w:tr>
      <w:tc>
        <w:tcPr>
          <w:tcW w:type="dxa" w:w="4896"/>
          <w:tcMar>
            <w:top w:w="0" w:type="dxa"/>
            <w:start w:w="0" w:type="dxa"/>
            <w:bottom w:w="0" w:type="dxa"/>
            <w:end w:w="0" w:type="dxa"/>
          </w:tcMar>
          <w:tcBorders>
            <w:top w:val="nil"/>
            <w:left w:val="nil"/>
            <w:bottom w:val="nil"/>
            <w:right w:val="nil"/>
          </w:tcBorders>
        </w:tcPr>
        <w:p>
          <w:pPr>
            <w:spacing w:after="0"/>
          </w:pPr>
          <w:r>
            <w:rPr>
              <w:rFonts w:ascii="Carlito" w:hAnsi="Carlito" w:eastAsia="Carlito"/>
              <w:color w:val="5B6573"/>
              <w:sz w:val="17"/>
            </w:rPr>
            <w:t>Lychee transcriptomics manuscript</w:t>
          </w:r>
        </w:p>
      </w:tc>
      <w:tc>
        <w:tcPr>
          <w:tcW w:type="dxa" w:w="4896"/>
          <w:tcMar>
            <w:top w:w="0" w:type="dxa"/>
            <w:start w:w="0" w:type="dxa"/>
            <w:bottom w:w="0" w:type="dxa"/>
            <w:end w:w="0" w:type="dxa"/>
          </w:tcMar>
          <w:tcBorders>
            <w:top w:val="nil"/>
            <w:left w:val="nil"/>
            <w:bottom w:val="nil"/>
            <w:right w:val="nil"/>
          </w:tcBorders>
        </w:tcPr>
        <w:p>
          <w:pPr>
            <w:spacing w:after="0"/>
            <w:jc w:val="right"/>
          </w:pPr>
          <w:r>
            <w:rPr>
              <w:rFonts w:ascii="Carlito" w:hAnsi="Carlito" w:eastAsia="Carlito"/>
              <w:color w:val="5B6573"/>
              <w:sz w:val="17"/>
            </w:rPr>
            <w:t xml:space="preserve">Page </w:t>
          </w:r>
          <w:r>
            <w:rPr>
              <w:rFonts w:ascii="Carlito" w:hAnsi="Carlito" w:eastAsia="Carlito"/>
              <w:color w:val="5B6573"/>
              <w:sz w:val="18"/>
            </w:rPr>
            <w:fldChar w:fldCharType="begin"/>
            <w:instrText xml:space="preserve">PAGE</w:instrText>
            <w:fldChar w:fldCharType="separate"/>
            <w:t>1</w:t>
            <w:fldChar w:fldCharType="end"/>
          </w:r>
          <w:r>
            <w:rPr>
              <w:rFonts w:ascii="Carlito" w:hAnsi="Carlito" w:eastAsia="Carlito"/>
              <w:color w:val="5B6573"/>
              <w:sz w:val="17"/>
            </w:rPr>
            <w:t xml:space="preserve"> of </w:t>
          </w:r>
          <w:r>
            <w:rPr>
              <w:rFonts w:ascii="Carlito" w:hAnsi="Carlito" w:eastAsia="Carlito"/>
              <w:color w:val="5B6573"/>
              <w:sz w:val="18"/>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3" w:color="D9E1E8"/>
      </w:pBdr>
    </w:pPr>
    <w:r>
      <w:rPr>
        <w:rFonts w:ascii="Carlito" w:hAnsi="Carlito" w:eastAsia="Carlito"/>
        <w:b/>
        <w:color w:val="5B6573"/>
        <w:sz w:val="17"/>
      </w:rPr>
      <w:t>PUBLICATION VENUE RECOMMENDATIONS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rlito" w:hAnsi="Carlito"/>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rlito" w:hAnsi="Carlito"/>
      <w:b/>
      <w:bCs/>
      <w:color w:val="1F6D7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rlito" w:hAnsi="Carlito"/>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rlito" w:hAnsi="Carlito"/>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rlito" w:hAnsi="Carlito"/>
      <w:i/>
      <w:iCs/>
      <w:color w:val="5B6573"/>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rlito" w:hAnsi="Carlito"/>
      <w:sz w:val="20"/>
    </w:rPr>
  </w:style>
  <w:style w:type="paragraph" w:styleId="ListBullet2">
    <w:name w:val="List Bullet 2"/>
    <w:basedOn w:val="Normal"/>
    <w:uiPriority w:val="99"/>
    <w:unhideWhenUsed/>
    <w:rsid w:val="00326F90"/>
    <w:pPr>
      <w:numPr>
        <w:numId w:val="2"/>
      </w:numPr>
      <w:contextualSpacing/>
    </w:pPr>
    <w:rPr>
      <w:rFonts w:ascii="Carlito" w:hAnsi="Carlito"/>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rlito" w:hAnsi="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ebiology.org/journals/plant-direct.html" TargetMode="External"/><Relationship Id="rId12" Type="http://schemas.openxmlformats.org/officeDocument/2006/relationships/hyperlink" Target="https://link.springer.com/collections/ejjhjhbgfe" TargetMode="External"/><Relationship Id="rId13" Type="http://schemas.openxmlformats.org/officeDocument/2006/relationships/hyperlink" Target="https://bmcgenomics.biomedcentral.com/join-our-editorial-board/submit-your-application" TargetMode="External"/><Relationship Id="rId14" Type="http://schemas.openxmlformats.org/officeDocument/2006/relationships/hyperlink" Target="https://www.apsnet.org/members/community/newsroom/releases/Pages/Phytofrontierslaunch.aspx" TargetMode="External"/><Relationship Id="rId15" Type="http://schemas.openxmlformats.org/officeDocument/2006/relationships/hyperlink" Target="https://bmcplantbiol.biomedcentral.com/about" TargetMode="External"/><Relationship Id="rId16" Type="http://schemas.openxmlformats.org/officeDocument/2006/relationships/hyperlink" Target="https://link.springer.com/collections/jifbjhghfg" TargetMode="External"/><Relationship Id="rId17" Type="http://schemas.openxmlformats.org/officeDocument/2006/relationships/hyperlink" Target="https://royalsocietypublishing.org/rsos/pages/About" TargetMode="External"/><Relationship Id="rId18" Type="http://schemas.openxmlformats.org/officeDocument/2006/relationships/hyperlink" Target="https://journals.plos.org/plosone/s/journal-information" TargetMode="External"/><Relationship Id="rId19" Type="http://schemas.openxmlformats.org/officeDocument/2006/relationships/hyperlink" Target="https://academic.oup.com/g3journal/pages/About" TargetMode="External"/><Relationship Id="rId20" Type="http://schemas.openxmlformats.org/officeDocument/2006/relationships/hyperlink" Target="https://peerj.com/about/aims-and-scope/" TargetMode="External"/><Relationship Id="rId21" Type="http://schemas.openxmlformats.org/officeDocument/2006/relationships/hyperlink" Target="https://preview-www.nature.com/srep/journal-policies/peer-review" TargetMode="External"/><Relationship Id="rId22" Type="http://schemas.openxmlformats.org/officeDocument/2006/relationships/hyperlink" Target="https://www.nature.com/srep/journal-policies/registered-reports" TargetMode="External"/><Relationship Id="rId23" Type="http://schemas.openxmlformats.org/officeDocument/2006/relationships/hyperlink" Target="https://www.frontiersin.org/journals/plant-science/sections/plant-bioinformatics/about" TargetMode="External"/><Relationship Id="rId24" Type="http://schemas.openxmlformats.org/officeDocument/2006/relationships/hyperlink" Target="https://link.springer.com/journal/10142/submission-guidelines" TargetMode="External"/><Relationship Id="rId25" Type="http://schemas.openxmlformats.org/officeDocument/2006/relationships/hyperlink" Target="https://intlpag.org/PAG/" TargetMode="External"/><Relationship Id="rId26" Type="http://schemas.openxmlformats.org/officeDocument/2006/relationships/hyperlink" Target="https://intlpag.org/PAG/abstracts/poster-abstracts" TargetMode="External"/><Relationship Id="rId27" Type="http://schemas.openxmlformats.org/officeDocument/2006/relationships/hyperlink" Target="https://plantbiology.aspb.org/submit-a-proposal-or-abstract/" TargetMode="External"/><Relationship Id="rId28" Type="http://schemas.openxmlformats.org/officeDocument/2006/relationships/hyperlink" Target="https://www.apsnet.org/meetings/annual/PH2027/About/Pages/default.aspx" TargetMode="External"/><Relationship Id="rId29" Type="http://schemas.openxmlformats.org/officeDocument/2006/relationships/hyperlink" Target="https://www.iscb.org/ismbeccb2027/home" TargetMode="External"/><Relationship Id="rId30" Type="http://schemas.openxmlformats.org/officeDocument/2006/relationships/hyperlink" Target="https://link.springer.com/journal/10658/aims-and-sco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Venue Recommendations for a Lychee Transcriptomics Manuscript</dc:title>
  <dc:subject>Journal and conference recommendations, with attention to the absence of wet-lab validation</dc:subject>
  <dc:creator>OpenAI</dc:creator>
  <cp:keywords>lychee, transcriptomics, plant pathology, journal recommendations, conference recommendations</cp:keywords>
  <dc:description>generated by python-docx</dc:description>
  <cp:lastModifiedBy/>
  <cp:revision>1</cp:revision>
  <dcterms:created xsi:type="dcterms:W3CDTF">2013-12-23T23:15:00Z</dcterms:created>
  <dcterms:modified xsi:type="dcterms:W3CDTF">2013-12-23T23:15:00Z</dcterms:modified>
  <cp:category/>
</cp:coreProperties>
</file>