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 xml:space="preserve">Registered genome-wide transcriptomic analysis of cultivar-dependent lychee responses to </w:t>
      </w:r>
      <w:r>
        <w:rPr>
          <w:rFonts w:ascii="Times New Roman" w:hAnsi="Times New Roman" w:eastAsia="Times New Roman"/>
          <w:b/>
          <w:i/>
          <w:sz w:val="28"/>
        </w:rPr>
        <w:t>Peronophythora litchii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Eric Zhuang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NYU Langone Health, New York, NY, USA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Email: eric.zhuang@nyulangone.org | ORCID: 0009-0001-9050-0214</w:t>
      </w:r>
    </w:p>
    <w:p>
      <w:pPr>
        <w:spacing w:after="80"/>
      </w:pPr>
      <w:r>
        <w:rPr>
          <w:rFonts w:ascii="Times New Roman" w:hAnsi="Times New Roman" w:eastAsia="Times New Roman"/>
          <w:b/>
          <w:i w:val="0"/>
          <w:sz w:val="24"/>
        </w:rPr>
        <w:t>Abstract</w:t>
      </w:r>
    </w:p>
    <w:p>
      <w:pPr>
        <w:spacing w:line="276" w:lineRule="auto" w:after="16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Objective: To identify cultivar-dependent transcriptional responses of lychee to </w:t>
      </w:r>
      <w:r>
        <w:rPr>
          <w:rFonts w:ascii="Times New Roman" w:hAnsi="Times New Roman" w:eastAsia="Times New Roman"/>
          <w:b w:val="0"/>
          <w:i/>
          <w:sz w:val="24"/>
        </w:rPr>
        <w:t>Peronophythora litchii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that survive genome-wide testing, robustness analysis, and external evaluation. Methodology: We combined reanalysis of public leaf RNA-seq data with a registered workflow fixing datasets, models, thresholds, and evidence terms. A negative-binomial cultivar-by-infection analysis tested 19,445 expressed genes, followed by quality control, independent edgeR analysis, sensitivity tests, and frozen evaluation in public external cohorts. Key Results: The interaction analysis yielded 262 statistical candidates; 206 passed quality control, 19 remained significant under edgeR, and 16 passed all registered robustness checks. In an independent pericarp time course, two genes received cross-context support and five showed significant opposite-direction effects; internally robust and externally supported sets did not overlap beyond chance expectation. None of 18 exploratory candidates met the later genome-wide criterion. Evidence integration retained 12 internally robust genes in a middle tier and none in the highest tier. Conclusion: Prominent candidates from small single-cohort transcriptomic studies may fail formal interaction testing and transport poorly across biological contexts. The reproducible workflow and explicit null and contradictory results provide a rigorous resource for experimental follow-up.</w:t>
      </w:r>
    </w:p>
    <w:p>
      <w:pPr>
        <w:jc w:val="right"/>
      </w:pPr>
      <w:r>
        <w:rPr>
          <w:rFonts w:ascii="Times New Roman" w:hAnsi="Times New Roman" w:eastAsia="Times New Roman"/>
          <w:b w:val="0"/>
          <w:i/>
          <w:sz w:val="20"/>
        </w:rPr>
        <w:t>Abstract word count: 180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Registered genome-wide transcriptomic analysis of cultivar-dependent lychee responses to Peronophythora litchii</dc:title>
  <dc:subject>AgriGenomics India 2026 conference abstract</dc:subject>
  <dc:creator>Eric Zhuang</dc:creator>
  <cp:keywords>lychee; Peronophythora litchii; transcriptomics; plant-pathogen interaction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