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/>
        </w:rPr>
        <w:t xml:space="preserve">تقرير الاشتراكات والخدمات الخارجية</w:t>
      </w:r>
    </w:p>
    <w:p>
      <w:pPr>
        <w:pBdr>
          <w:bottom w:val="single" w:color="2E74B5" w:sz="12" w:space="6"/>
        </w:pBdr>
        <w:bidi/>
        <w:spacing w:after="40"/>
        <w:jc w:val="right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المرتبطة بالبريد: erihdev@gmail.com</w:t>
      </w:r>
    </w:p>
    <w:p>
      <w:pPr>
        <w:bidi/>
        <w:spacing w:after="200" w:before="120"/>
        <w:jc w:val="right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تاريخ التقرير: 14 يوليو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يجمع هذا التقرير الاشتراكات والخدمات الخارجية المرتبطة بالبريد الإلكتروني من مصدرين: التطبيقات المصرّح لها بالوصول إلى حساب Google، والخدمات المدمجة في مشروع Zyiarah. مع ملاحظة حول فواتير الاشتراكات المدفوعة.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١. التطبيقات المرتبطة بحساب Google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عدد التطبيقات: 31 تطبيقًا — منها 25 عبر «تسجيل الدخول بحساب Google» و11 لها صلاحيات وصول مباشرة. المصدر: صفحة «التطبيقات المرتبطة» في حساب Google.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الفئة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الخدمات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ذكاء اصطناعي ووسائط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Claude (Gmail + Calendar)، Gemini، Gemini Code Assist/CLI، Perplexity AI، xAI، ElevenLabs، HeyGen، Higgsfield AI، Google Antigravity، Wispr Flow، Chatbot App، Now brief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تطوير واستضافة</w:t>
            </w:r>
          </w:p>
        </w:tc>
        <w:tc>
          <w:tcPr>
            <w:tcW w:type="dxa" w:w="656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GitHub، GitHub for Google Chat، Firebase CLI، Cloudflare Dashboard، Vercel، Netlify، Android Studio، CNTXT Cloud، Figma، Sentry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تسويق وأتمتة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Manychat، EmailJS، Tally، Slack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أخرى</w:t>
            </w:r>
          </w:p>
        </w:tc>
        <w:tc>
          <w:tcPr>
            <w:tcW w:type="dxa" w:w="656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Samsung account، Andalusi أندلسي، Raha راحة</w:t>
            </w:r>
          </w:p>
        </w:tc>
      </w:tr>
    </w:tbl>
    <w:p>
      <w:pPr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للمراجعة أو إلغاء صلاحية أي تطبيق: myaccount.google.com/connections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٢. الخدمات الخارجية في مشروع Zyiarah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مستخرجة من ملفات المشروع (‎.env، pubspec.yaml، functions/‎).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الفئة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الخدمات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بوابات الدفع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Moyasar (رئيسية)، Tabby، Tamara (التقسيط)، Samsung Pay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Firebase</w:t>
            </w:r>
          </w:p>
        </w:tc>
        <w:tc>
          <w:tcPr>
            <w:tcW w:type="dxa" w:w="656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Auth، Messaging (FCM)، Storage، Crashlytics، Analytics، Cloud Functions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البريد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Resend، Nodemailer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الخرائط</w:t>
            </w:r>
          </w:p>
        </w:tc>
        <w:tc>
          <w:tcPr>
            <w:tcW w:type="dxa" w:w="656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Mapbox، OpenStreetMap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النشر والمتاجر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App Store Connect (Apple)، Google Play</w:t>
            </w:r>
          </w:p>
        </w:tc>
      </w:tr>
      <w:tr>
        <w:tc>
          <w:tcPr>
            <w:tcW w:type="dxa" w:w="2800"/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أخرى</w:t>
            </w:r>
          </w:p>
        </w:tc>
        <w:tc>
          <w:tcPr>
            <w:tcW w:type="dxa" w:w="6560"/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  <w:rtl/>
              </w:rPr>
              <w:t xml:space="preserve">n8n (أتمتة — مستضاف على n8n.zyiarah.com)، Lottie، Salla CDN، ui-avatars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٣. ملاحظة حول فواتير الاشتراكات المدفوعة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لم يتم فحص بريد Gmail بحثًا عن فواتير الاشتراكات المدفوعة، لأن الوصول إلى Gmail محجوب في هذه الجلسة ولا يوجد موصّل Gmail مُفعّل. لإكمال هذا الجزء يمكن: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تفعيل موصّل Gmail من إعدادات الموصّلات في claude.ai ثم طلب إعادة البحث.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أو البحث يدويًا في Gmail بالصيغة: subscription OR اشتراك OR "payment received" OR invoice OR renew newer_than:1y</w:t>
      </w:r>
    </w:p>
    <w:p>
      <w:pPr>
        <w:bidi/>
        <w:spacing w:before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ملاحظة: كثير من الاشتراكات المدفوعة (ElevenLabs، HeyGen، Higgsfield، Perplexity، Claude، Vercel، Netlify...) ظهرت أصلًا ضمن القسم الأول.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2026-07-14T14:28:35.088Z</dcterms:created>
  <dcterms:modified xsi:type="dcterms:W3CDTF">2026-07-14T14:28:35.107Z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