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0" w:after="480" w:line="324" w:lineRule="auto"/>
        <w:jc w:val="center"/>
      </w:pPr>
      <w:r>
        <w:rPr>
          <w:rFonts w:ascii="微软雅黑" w:hAnsi="微软雅黑" w:eastAsia="微软雅黑"/>
          <w:b/>
          <w:sz w:val="40"/>
        </w:rPr>
        <w:t>桩基土层预测系统</w:t>
        <w:br/>
        <w:t>网页版重构与产品化改造建议报告</w:t>
      </w:r>
    </w:p>
    <w:p>
      <w:pPr>
        <w:spacing w:before="0" w:after="360" w:line="300" w:lineRule="auto"/>
        <w:jc w:val="center"/>
      </w:pPr>
      <w:r>
        <w:rPr>
          <w:rFonts w:ascii="微软雅黑" w:hAnsi="微软雅黑" w:eastAsia="微软雅黑"/>
          <w:sz w:val="23"/>
        </w:rPr>
        <w:t>基于现有桌面程序的架构升级、3D交互增强与全栈化落地方案</w:t>
      </w:r>
    </w:p>
    <w:p>
      <w:pPr>
        <w:spacing w:before="0" w:after="600" w:line="300" w:lineRule="auto"/>
        <w:jc w:val="center"/>
      </w:pPr>
      <w:r>
        <w:rPr>
          <w:rFonts w:ascii="宋体" w:hAnsi="宋体" w:eastAsia="宋体"/>
          <w:sz w:val="22"/>
        </w:rPr>
        <w:t>适用场景：工程设计、施工记录、土层预测与三维可视化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  <w:vAlign w:val="center"/>
          </w:tcPr>
          <w:p>
            <w:pPr>
              <w:spacing w:before="0" w:after="0" w:line="264" w:lineRule="auto"/>
            </w:pPr>
            <w:r>
              <w:rPr>
                <w:rFonts w:ascii="宋体" w:hAnsi="宋体" w:eastAsia="宋体"/>
                <w:sz w:val="21"/>
              </w:rPr>
              <w:t>文档目的</w:t>
            </w:r>
          </w:p>
        </w:tc>
        <w:tc>
          <w:tcPr>
            <w:tcW w:type="dxa" w:w="4759"/>
            <w:vAlign w:val="center"/>
          </w:tcPr>
          <w:p>
            <w:pPr>
              <w:spacing w:before="0" w:after="0" w:line="264" w:lineRule="auto"/>
            </w:pPr>
            <w:r>
              <w:rPr>
                <w:rFonts w:ascii="宋体" w:hAnsi="宋体" w:eastAsia="宋体"/>
                <w:sz w:val="21"/>
              </w:rPr>
              <w:t>在保持现有底层功能不变的前提下，提出网页版重构与产品化落地方案。</w:t>
            </w:r>
          </w:p>
        </w:tc>
      </w:tr>
      <w:tr>
        <w:tc>
          <w:tcPr>
            <w:tcW w:type="dxa" w:w="4759"/>
            <w:vAlign w:val="center"/>
          </w:tcPr>
          <w:p>
            <w:pPr>
              <w:spacing w:before="0" w:after="0" w:line="264" w:lineRule="auto"/>
            </w:pPr>
            <w:r>
              <w:rPr>
                <w:rFonts w:ascii="宋体" w:hAnsi="宋体" w:eastAsia="宋体"/>
                <w:sz w:val="21"/>
              </w:rPr>
              <w:t>核心方向</w:t>
            </w:r>
          </w:p>
        </w:tc>
        <w:tc>
          <w:tcPr>
            <w:tcW w:type="dxa" w:w="4759"/>
            <w:vAlign w:val="center"/>
          </w:tcPr>
          <w:p>
            <w:pPr>
              <w:spacing w:before="0" w:after="0" w:line="264" w:lineRule="auto"/>
            </w:pPr>
            <w:r>
              <w:rPr>
                <w:rFonts w:ascii="宋体" w:hAnsi="宋体" w:eastAsia="宋体"/>
                <w:sz w:val="21"/>
              </w:rPr>
              <w:t>前后端分离、计算服务化、3D Web 化、交互现代化、工程级部署。</w:t>
            </w:r>
          </w:p>
        </w:tc>
      </w:tr>
      <w:tr>
        <w:tc>
          <w:tcPr>
            <w:tcW w:type="dxa" w:w="4759"/>
            <w:vAlign w:val="center"/>
          </w:tcPr>
          <w:p>
            <w:pPr>
              <w:spacing w:before="0" w:after="0" w:line="264" w:lineRule="auto"/>
            </w:pPr>
            <w:r>
              <w:rPr>
                <w:rFonts w:ascii="宋体" w:hAnsi="宋体" w:eastAsia="宋体"/>
                <w:sz w:val="21"/>
              </w:rPr>
              <w:t>目标形态</w:t>
            </w:r>
          </w:p>
        </w:tc>
        <w:tc>
          <w:tcPr>
            <w:tcW w:type="dxa" w:w="4759"/>
            <w:vAlign w:val="center"/>
          </w:tcPr>
          <w:p>
            <w:pPr>
              <w:spacing w:before="0" w:after="0" w:line="264" w:lineRule="auto"/>
            </w:pPr>
            <w:r>
              <w:rPr>
                <w:rFonts w:ascii="宋体" w:hAnsi="宋体" w:eastAsia="宋体"/>
                <w:sz w:val="21"/>
              </w:rPr>
              <w:t>类似 Abaqus / Flac3D 风格的专业工程网页软件。</w:t>
            </w:r>
          </w:p>
        </w:tc>
      </w:tr>
    </w:tbl>
    <w:p/>
    <w:p>
      <w:pPr>
        <w:pStyle w:val="Heading1"/>
        <w:spacing w:before="0" w:after="120" w:line="300" w:lineRule="auto"/>
      </w:pPr>
      <w:r>
        <w:t>一、对现有程序的理解与定位</w:t>
      </w:r>
    </w:p>
    <w:p>
      <w:pPr>
        <w:spacing w:before="0" w:after="80" w:line="300" w:lineRule="auto"/>
      </w:pPr>
      <w:r>
        <w:rPr>
          <w:b/>
        </w:rPr>
        <w:t>从代码结构看，现有程序已经具备较完整的业务闭环：</w:t>
      </w:r>
    </w:p>
    <w:p>
      <w:pPr>
        <w:pStyle w:val="ListBullet"/>
        <w:spacing w:before="0" w:after="60" w:line="300" w:lineRule="auto"/>
      </w:pPr>
      <w:r>
        <w:rPr>
          <w:rFonts w:ascii="宋体" w:hAnsi="宋体" w:eastAsia="宋体"/>
        </w:rPr>
        <w:t>数据管理：地勘数据、桩基数据、持久化保存、导出 Excel。</w:t>
      </w:r>
    </w:p>
    <w:p>
      <w:pPr>
        <w:pStyle w:val="ListBullet"/>
        <w:spacing w:before="0" w:after="60" w:line="300" w:lineRule="auto"/>
      </w:pPr>
      <w:r>
        <w:rPr>
          <w:rFonts w:ascii="宋体" w:hAnsi="宋体" w:eastAsia="宋体"/>
        </w:rPr>
        <w:t>预测计算：基于克里金法 / IDW 对土层顶标高进行插值预测。</w:t>
      </w:r>
    </w:p>
    <w:p>
      <w:pPr>
        <w:pStyle w:val="ListBullet"/>
        <w:spacing w:before="0" w:after="60" w:line="300" w:lineRule="auto"/>
      </w:pPr>
      <w:r>
        <w:rPr>
          <w:rFonts w:ascii="宋体" w:hAnsi="宋体" w:eastAsia="宋体"/>
        </w:rPr>
        <w:t>结果表达：单桩预测、实测录入、误差计算、打桩记录自动生成。</w:t>
      </w:r>
    </w:p>
    <w:p>
      <w:pPr>
        <w:pStyle w:val="ListBullet"/>
        <w:spacing w:before="0" w:after="60" w:line="300" w:lineRule="auto"/>
      </w:pPr>
      <w:r>
        <w:rPr>
          <w:rFonts w:ascii="宋体" w:hAnsi="宋体" w:eastAsia="宋体"/>
        </w:rPr>
        <w:t>空间表达：2D 断面示意图与 3D 桩基土层视图。</w:t>
      </w:r>
    </w:p>
    <w:p>
      <w:pPr>
        <w:pStyle w:val="ListBullet"/>
        <w:spacing w:before="0" w:after="60" w:line="300" w:lineRule="auto"/>
      </w:pPr>
      <w:r>
        <w:rPr>
          <w:rFonts w:ascii="宋体" w:hAnsi="宋体" w:eastAsia="宋体"/>
        </w:rPr>
        <w:t>施工管理：施工日志与记录导出。</w:t>
      </w:r>
    </w:p>
    <w:p>
      <w:pPr>
        <w:spacing w:before="0" w:after="120" w:line="300" w:lineRule="auto"/>
      </w:pPr>
      <w:r>
        <w:rPr>
          <w:b/>
        </w:rPr>
        <w:t>这意味着它已经不是“单一算法脚本”，而是一个具有工程软件雏形的业务系统。</w:t>
      </w:r>
    </w:p>
    <w:p>
      <w:pPr>
        <w:spacing w:before="0" w:after="120" w:line="300" w:lineRule="auto"/>
      </w:pPr>
      <w:r>
        <w:t>但当前实现方式仍是典型的桌面端单体程序：界面、计算、绘图、数据持久化全部耦合在一个文件中，因而不适合直接演化为可下载、可扩展、可协作的网页版工程软件。</w:t>
      </w:r>
    </w:p>
    <w:p>
      <w:pPr>
        <w:pStyle w:val="Heading1"/>
        <w:spacing w:before="0" w:after="120" w:line="300" w:lineRule="auto"/>
      </w:pPr>
      <w:r>
        <w:t>二、当前架构的主要瓶颈</w:t>
      </w:r>
    </w:p>
    <w:p>
      <w:pPr>
        <w:pStyle w:val="ListBullet"/>
        <w:spacing w:before="0" w:after="60" w:line="300" w:lineRule="auto"/>
      </w:pPr>
      <w:r>
        <w:rPr>
          <w:rFonts w:ascii="宋体" w:hAnsi="宋体" w:eastAsia="宋体"/>
        </w:rPr>
        <w:t>Tkinter + Matplotlib 的桌面交互方式，天然不适合浏览器端的高频交互、协同共享和在线部署。</w:t>
      </w:r>
    </w:p>
    <w:p>
      <w:pPr>
        <w:pStyle w:val="ListBullet"/>
        <w:spacing w:before="0" w:after="60" w:line="300" w:lineRule="auto"/>
      </w:pPr>
      <w:r>
        <w:rPr>
          <w:rFonts w:ascii="宋体" w:hAnsi="宋体" w:eastAsia="宋体"/>
        </w:rPr>
        <w:t>核心计算与 UI 强耦合，后续只要改一个交互逻辑，就容易影响预测、导出和可视化。</w:t>
      </w:r>
    </w:p>
    <w:p>
      <w:pPr>
        <w:pStyle w:val="ListBullet"/>
        <w:spacing w:before="0" w:after="60" w:line="300" w:lineRule="auto"/>
      </w:pPr>
      <w:r>
        <w:rPr>
          <w:rFonts w:ascii="宋体" w:hAnsi="宋体" w:eastAsia="宋体"/>
        </w:rPr>
        <w:t>3D 视图目前偏“静态展示”，不具备工程软件所需的对象选中、高亮、悬停提示、属性面板联动等能力。</w:t>
      </w:r>
    </w:p>
    <w:p>
      <w:pPr>
        <w:pStyle w:val="ListBullet"/>
        <w:spacing w:before="0" w:after="60" w:line="300" w:lineRule="auto"/>
      </w:pPr>
      <w:r>
        <w:rPr>
          <w:rFonts w:ascii="宋体" w:hAnsi="宋体" w:eastAsia="宋体"/>
        </w:rPr>
        <w:t>数据持久化使用本地 JSON，无法支持多用户、多项目、权限控制、版本管理和云端存储。</w:t>
      </w:r>
    </w:p>
    <w:p>
      <w:pPr>
        <w:pStyle w:val="ListBullet"/>
        <w:spacing w:before="0" w:after="60" w:line="300" w:lineRule="auto"/>
      </w:pPr>
      <w:r>
        <w:rPr>
          <w:rFonts w:ascii="宋体" w:hAnsi="宋体" w:eastAsia="宋体"/>
        </w:rPr>
        <w:t>预测逻辑目前以插值为主，缺少模型管理、参数配置、误差评估、批量训练和版本化能力。</w:t>
      </w:r>
    </w:p>
    <w:p>
      <w:pPr>
        <w:pStyle w:val="ListBullet"/>
        <w:spacing w:before="0" w:after="60" w:line="300" w:lineRule="auto"/>
      </w:pPr>
      <w:r>
        <w:rPr>
          <w:rFonts w:ascii="宋体" w:hAnsi="宋体" w:eastAsia="宋体"/>
        </w:rPr>
        <w:t>代码中存在一些工程稳定性问题，例如 IDW 插值里有潜在变量错误、异常处理较粗、重复逻辑较多。</w:t>
      </w:r>
    </w:p>
    <w:p>
      <w:pPr>
        <w:pStyle w:val="Heading1"/>
        <w:spacing w:before="0" w:after="120" w:line="300" w:lineRule="auto"/>
      </w:pPr>
      <w:r>
        <w:t>三、在保持底层功能不变前提下，建议保留的核心能力</w:t>
      </w:r>
    </w:p>
    <w:p>
      <w:pPr>
        <w:pStyle w:val="ListBullet"/>
        <w:spacing w:before="0" w:after="60" w:line="300" w:lineRule="auto"/>
      </w:pPr>
      <w:r>
        <w:rPr>
          <w:rFonts w:ascii="宋体" w:hAnsi="宋体" w:eastAsia="宋体"/>
        </w:rPr>
        <w:t>地勘数据导入、桩基数据导入、土层标高预测、实测录入、误差分析。</w:t>
      </w:r>
    </w:p>
    <w:p>
      <w:pPr>
        <w:pStyle w:val="ListBullet"/>
        <w:spacing w:before="0" w:after="60" w:line="300" w:lineRule="auto"/>
      </w:pPr>
      <w:r>
        <w:rPr>
          <w:rFonts w:ascii="宋体" w:hAnsi="宋体" w:eastAsia="宋体"/>
        </w:rPr>
        <w:t>持力层设置、预警阈值设置、单桩打桩记录生成、施工日志生成。</w:t>
      </w:r>
    </w:p>
    <w:p>
      <w:pPr>
        <w:pStyle w:val="ListBullet"/>
        <w:spacing w:before="0" w:after="60" w:line="300" w:lineRule="auto"/>
      </w:pPr>
      <w:r>
        <w:rPr>
          <w:rFonts w:ascii="宋体" w:hAnsi="宋体" w:eastAsia="宋体"/>
        </w:rPr>
        <w:t>导出 Excel、导出记录文件、导出项目数据。</w:t>
      </w:r>
    </w:p>
    <w:p>
      <w:pPr>
        <w:pStyle w:val="ListBullet"/>
        <w:spacing w:before="0" w:after="60" w:line="300" w:lineRule="auto"/>
      </w:pPr>
      <w:r>
        <w:rPr>
          <w:rFonts w:ascii="宋体" w:hAnsi="宋体" w:eastAsia="宋体"/>
        </w:rPr>
        <w:t>2D/3D 结果展示与桩号级别的查询能力。</w:t>
      </w:r>
    </w:p>
    <w:p>
      <w:pPr>
        <w:spacing w:before="0" w:after="120" w:line="300" w:lineRule="auto"/>
      </w:pPr>
      <w:r>
        <w:t>重构的目标不是推翻功能，而是把这些功能升级成“浏览器可用、后端可扩展、前端可交互、部署可交付”的现代软件形态。</w:t>
      </w:r>
    </w:p>
    <w:p>
      <w:pPr>
        <w:pStyle w:val="Heading1"/>
        <w:spacing w:before="0" w:after="120" w:line="300" w:lineRule="auto"/>
      </w:pPr>
      <w:r>
        <w:t>四、推荐的总体重构方案</w:t>
      </w:r>
    </w:p>
    <w:p>
      <w:pPr>
        <w:spacing w:before="0" w:after="80" w:line="300" w:lineRule="auto"/>
      </w:pPr>
      <w:r>
        <w:rPr>
          <w:b/>
        </w:rPr>
        <w:t>建议采用“前端 + API 服务 + 计算引擎 + 存储系统”的四层架构。</w:t>
      </w:r>
    </w:p>
    <w:p>
      <w:pPr>
        <w:pStyle w:val="ListBullet"/>
        <w:spacing w:before="0" w:after="60" w:line="300" w:lineRule="auto"/>
      </w:pPr>
      <w:r>
        <w:rPr>
          <w:rFonts w:ascii="宋体" w:hAnsi="宋体" w:eastAsia="宋体"/>
        </w:rPr>
        <w:t>前端层：负责项目管理、表格录入、图表展示、3D 交互、消息提示、权限与布局。</w:t>
      </w:r>
    </w:p>
    <w:p>
      <w:pPr>
        <w:pStyle w:val="ListBullet"/>
        <w:spacing w:before="0" w:after="60" w:line="300" w:lineRule="auto"/>
      </w:pPr>
      <w:r>
        <w:rPr>
          <w:rFonts w:ascii="宋体" w:hAnsi="宋体" w:eastAsia="宋体"/>
        </w:rPr>
        <w:t>API 层：负责登录、项目、数据集、预测任务、导出任务、日志记录等接口。</w:t>
      </w:r>
    </w:p>
    <w:p>
      <w:pPr>
        <w:pStyle w:val="ListBullet"/>
        <w:spacing w:before="0" w:after="60" w:line="300" w:lineRule="auto"/>
      </w:pPr>
      <w:r>
        <w:rPr>
          <w:rFonts w:ascii="宋体" w:hAnsi="宋体" w:eastAsia="宋体"/>
        </w:rPr>
        <w:t>计算层：封装土层预测、单桩承载力计算、误差评估、3D 数据组织、批量任务调度。</w:t>
      </w:r>
    </w:p>
    <w:p>
      <w:pPr>
        <w:pStyle w:val="ListBullet"/>
        <w:spacing w:before="0" w:after="60" w:line="300" w:lineRule="auto"/>
      </w:pPr>
      <w:r>
        <w:rPr>
          <w:rFonts w:ascii="宋体" w:hAnsi="宋体" w:eastAsia="宋体"/>
        </w:rPr>
        <w:t>存储层：保存工程项目、用户、文件、预测结果、历史版本、审计日志。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  <w:vAlign w:val="center"/>
          </w:tcPr>
          <w:p>
            <w:pPr>
              <w:spacing w:before="0" w:after="0" w:line="252" w:lineRule="auto"/>
            </w:pPr>
            <w:r>
              <w:rPr>
                <w:rFonts w:ascii="宋体" w:hAnsi="宋体" w:eastAsia="宋体"/>
                <w:sz w:val="20"/>
              </w:rPr>
              <w:t>层级</w:t>
            </w:r>
          </w:p>
        </w:tc>
        <w:tc>
          <w:tcPr>
            <w:tcW w:type="dxa" w:w="3173"/>
            <w:vAlign w:val="center"/>
          </w:tcPr>
          <w:p>
            <w:pPr>
              <w:spacing w:before="0" w:after="0" w:line="252" w:lineRule="auto"/>
            </w:pPr>
            <w:r>
              <w:rPr>
                <w:rFonts w:ascii="宋体" w:hAnsi="宋体" w:eastAsia="宋体"/>
                <w:sz w:val="20"/>
              </w:rPr>
              <w:t>建议技术</w:t>
            </w:r>
          </w:p>
        </w:tc>
        <w:tc>
          <w:tcPr>
            <w:tcW w:type="dxa" w:w="3173"/>
            <w:vAlign w:val="center"/>
          </w:tcPr>
          <w:p>
            <w:pPr>
              <w:spacing w:before="0" w:after="0" w:line="252" w:lineRule="auto"/>
            </w:pPr>
            <w:r>
              <w:rPr>
                <w:rFonts w:ascii="宋体" w:hAnsi="宋体" w:eastAsia="宋体"/>
                <w:sz w:val="20"/>
              </w:rPr>
              <w:t>作用</w:t>
            </w:r>
          </w:p>
        </w:tc>
      </w:tr>
      <w:tr>
        <w:tc>
          <w:tcPr>
            <w:tcW w:type="dxa" w:w="3173"/>
            <w:vAlign w:val="center"/>
          </w:tcPr>
          <w:p>
            <w:pPr>
              <w:spacing w:before="0" w:after="0" w:line="252" w:lineRule="auto"/>
            </w:pPr>
            <w:r>
              <w:rPr>
                <w:rFonts w:ascii="宋体" w:hAnsi="宋体" w:eastAsia="宋体"/>
                <w:sz w:val="20"/>
              </w:rPr>
              <w:t>前端</w:t>
            </w:r>
          </w:p>
        </w:tc>
        <w:tc>
          <w:tcPr>
            <w:tcW w:type="dxa" w:w="3173"/>
            <w:vAlign w:val="center"/>
          </w:tcPr>
          <w:p>
            <w:pPr>
              <w:spacing w:before="0" w:after="0" w:line="252" w:lineRule="auto"/>
            </w:pPr>
            <w:r>
              <w:rPr>
                <w:rFonts w:ascii="宋体" w:hAnsi="宋体" w:eastAsia="宋体"/>
                <w:sz w:val="20"/>
              </w:rPr>
              <w:t>React / Vue + TypeScript + Ant Design / Element Plus</w:t>
            </w:r>
          </w:p>
        </w:tc>
        <w:tc>
          <w:tcPr>
            <w:tcW w:type="dxa" w:w="3173"/>
            <w:vAlign w:val="center"/>
          </w:tcPr>
          <w:p>
            <w:pPr>
              <w:spacing w:before="0" w:after="0" w:line="252" w:lineRule="auto"/>
            </w:pPr>
            <w:r>
              <w:rPr>
                <w:rFonts w:ascii="宋体" w:hAnsi="宋体" w:eastAsia="宋体"/>
                <w:sz w:val="20"/>
              </w:rPr>
              <w:t>构建现代化界面、表单、表格、弹窗、工作台</w:t>
            </w:r>
          </w:p>
        </w:tc>
      </w:tr>
      <w:tr>
        <w:tc>
          <w:tcPr>
            <w:tcW w:type="dxa" w:w="3173"/>
            <w:vAlign w:val="center"/>
          </w:tcPr>
          <w:p>
            <w:pPr>
              <w:spacing w:before="0" w:after="0" w:line="252" w:lineRule="auto"/>
            </w:pPr>
            <w:r>
              <w:rPr>
                <w:rFonts w:ascii="宋体" w:hAnsi="宋体" w:eastAsia="宋体"/>
                <w:sz w:val="20"/>
              </w:rPr>
              <w:t>3D 视图</w:t>
            </w:r>
          </w:p>
        </w:tc>
        <w:tc>
          <w:tcPr>
            <w:tcW w:type="dxa" w:w="3173"/>
            <w:vAlign w:val="center"/>
          </w:tcPr>
          <w:p>
            <w:pPr>
              <w:spacing w:before="0" w:after="0" w:line="252" w:lineRule="auto"/>
            </w:pPr>
            <w:r>
              <w:rPr>
                <w:rFonts w:ascii="宋体" w:hAnsi="宋体" w:eastAsia="宋体"/>
                <w:sz w:val="20"/>
              </w:rPr>
              <w:t>Three.js / Cesium / Babylon.js / WebGL</w:t>
            </w:r>
          </w:p>
        </w:tc>
        <w:tc>
          <w:tcPr>
            <w:tcW w:type="dxa" w:w="3173"/>
            <w:vAlign w:val="center"/>
          </w:tcPr>
          <w:p>
            <w:pPr>
              <w:spacing w:before="0" w:after="0" w:line="252" w:lineRule="auto"/>
            </w:pPr>
            <w:r>
              <w:rPr>
                <w:rFonts w:ascii="宋体" w:hAnsi="宋体" w:eastAsia="宋体"/>
                <w:sz w:val="20"/>
              </w:rPr>
              <w:t>实现 Web 端 3D 场景、悬停、选中、剖切、缩放</w:t>
            </w:r>
          </w:p>
        </w:tc>
      </w:tr>
      <w:tr>
        <w:tc>
          <w:tcPr>
            <w:tcW w:type="dxa" w:w="3173"/>
            <w:vAlign w:val="center"/>
          </w:tcPr>
          <w:p>
            <w:pPr>
              <w:spacing w:before="0" w:after="0" w:line="252" w:lineRule="auto"/>
            </w:pPr>
            <w:r>
              <w:rPr>
                <w:rFonts w:ascii="宋体" w:hAnsi="宋体" w:eastAsia="宋体"/>
                <w:sz w:val="20"/>
              </w:rPr>
              <w:t>后端</w:t>
            </w:r>
          </w:p>
        </w:tc>
        <w:tc>
          <w:tcPr>
            <w:tcW w:type="dxa" w:w="3173"/>
            <w:vAlign w:val="center"/>
          </w:tcPr>
          <w:p>
            <w:pPr>
              <w:spacing w:before="0" w:after="0" w:line="252" w:lineRule="auto"/>
            </w:pPr>
            <w:r>
              <w:rPr>
                <w:rFonts w:ascii="宋体" w:hAnsi="宋体" w:eastAsia="宋体"/>
                <w:sz w:val="20"/>
              </w:rPr>
              <w:t>FastAPI / Django REST Framework</w:t>
            </w:r>
          </w:p>
        </w:tc>
        <w:tc>
          <w:tcPr>
            <w:tcW w:type="dxa" w:w="3173"/>
            <w:vAlign w:val="center"/>
          </w:tcPr>
          <w:p>
            <w:pPr>
              <w:spacing w:before="0" w:after="0" w:line="252" w:lineRule="auto"/>
            </w:pPr>
            <w:r>
              <w:rPr>
                <w:rFonts w:ascii="宋体" w:hAnsi="宋体" w:eastAsia="宋体"/>
                <w:sz w:val="20"/>
              </w:rPr>
              <w:t>提供 REST API、任务调度、权限与数据服务</w:t>
            </w:r>
          </w:p>
        </w:tc>
      </w:tr>
      <w:tr>
        <w:tc>
          <w:tcPr>
            <w:tcW w:type="dxa" w:w="3173"/>
            <w:vAlign w:val="center"/>
          </w:tcPr>
          <w:p>
            <w:pPr>
              <w:spacing w:before="0" w:after="0" w:line="252" w:lineRule="auto"/>
            </w:pPr>
            <w:r>
              <w:rPr>
                <w:rFonts w:ascii="宋体" w:hAnsi="宋体" w:eastAsia="宋体"/>
                <w:sz w:val="20"/>
              </w:rPr>
              <w:t>计算服务</w:t>
            </w:r>
          </w:p>
        </w:tc>
        <w:tc>
          <w:tcPr>
            <w:tcW w:type="dxa" w:w="3173"/>
            <w:vAlign w:val="center"/>
          </w:tcPr>
          <w:p>
            <w:pPr>
              <w:spacing w:before="0" w:after="0" w:line="252" w:lineRule="auto"/>
            </w:pPr>
            <w:r>
              <w:rPr>
                <w:rFonts w:ascii="宋体" w:hAnsi="宋体" w:eastAsia="宋体"/>
                <w:sz w:val="20"/>
              </w:rPr>
              <w:t>Python 科学计算模块 + Celery / RQ</w:t>
            </w:r>
          </w:p>
        </w:tc>
        <w:tc>
          <w:tcPr>
            <w:tcW w:type="dxa" w:w="3173"/>
            <w:vAlign w:val="center"/>
          </w:tcPr>
          <w:p>
            <w:pPr>
              <w:spacing w:before="0" w:after="0" w:line="252" w:lineRule="auto"/>
            </w:pPr>
            <w:r>
              <w:rPr>
                <w:rFonts w:ascii="宋体" w:hAnsi="宋体" w:eastAsia="宋体"/>
                <w:sz w:val="20"/>
              </w:rPr>
              <w:t>执行预测、承载力计算、批量任务与异步队列</w:t>
            </w:r>
          </w:p>
        </w:tc>
      </w:tr>
    </w:tbl>
    <w:p/>
    <w:p>
      <w:pPr>
        <w:pStyle w:val="Heading1"/>
        <w:spacing w:before="0" w:after="120" w:line="300" w:lineRule="auto"/>
      </w:pPr>
      <w:r>
        <w:t>五、前端重构建议：从桌面窗体升级为工程级 Web 界面</w:t>
      </w:r>
    </w:p>
    <w:p>
      <w:pPr>
        <w:pStyle w:val="ListBullet"/>
        <w:spacing w:before="0" w:after="60" w:line="300" w:lineRule="auto"/>
      </w:pPr>
      <w:r>
        <w:rPr>
          <w:rFonts w:ascii="宋体" w:hAnsi="宋体" w:eastAsia="宋体"/>
        </w:rPr>
        <w:t>采用“左侧项目树 + 中央工作区 + 右侧属性面板 + 底部日志/消息栏”的专业软件布局，接近 Abaqus / Flac3D 的使用习惯。</w:t>
      </w:r>
    </w:p>
    <w:p>
      <w:pPr>
        <w:pStyle w:val="ListBullet"/>
        <w:spacing w:before="0" w:after="60" w:line="300" w:lineRule="auto"/>
      </w:pPr>
      <w:r>
        <w:rPr>
          <w:rFonts w:ascii="宋体" w:hAnsi="宋体" w:eastAsia="宋体"/>
        </w:rPr>
        <w:t>将原来的多个标签页改造成模块化工作台：数据、预测、3D、记录、日志、模型管理、系统设置。</w:t>
      </w:r>
    </w:p>
    <w:p>
      <w:pPr>
        <w:pStyle w:val="ListBullet"/>
        <w:spacing w:before="0" w:after="60" w:line="300" w:lineRule="auto"/>
      </w:pPr>
      <w:r>
        <w:rPr>
          <w:rFonts w:ascii="宋体" w:hAnsi="宋体" w:eastAsia="宋体"/>
        </w:rPr>
        <w:t>使用抽屉、弹窗、分栏、可折叠面板和状态条，替代 Tkinter 的静态控件堆叠。</w:t>
      </w:r>
    </w:p>
    <w:p>
      <w:pPr>
        <w:pStyle w:val="ListBullet"/>
        <w:spacing w:before="0" w:after="60" w:line="300" w:lineRule="auto"/>
      </w:pPr>
      <w:r>
        <w:rPr>
          <w:rFonts w:ascii="宋体" w:hAnsi="宋体" w:eastAsia="宋体"/>
        </w:rPr>
        <w:t>增加主题切换（浅色 / 深色）、布局记忆、快捷键、右键菜单、批量操作。</w:t>
      </w:r>
    </w:p>
    <w:p>
      <w:pPr>
        <w:spacing w:before="0" w:after="80" w:line="300" w:lineRule="auto"/>
      </w:pPr>
      <w:r>
        <w:rPr>
          <w:b/>
        </w:rPr>
        <w:t>前端交互要重点强调“工程软件感”：</w:t>
      </w:r>
    </w:p>
    <w:p>
      <w:pPr>
        <w:pStyle w:val="ListBullet"/>
        <w:spacing w:before="0" w:after="60" w:line="300" w:lineRule="auto"/>
      </w:pPr>
      <w:r>
        <w:rPr>
          <w:rFonts w:ascii="宋体" w:hAnsi="宋体" w:eastAsia="宋体"/>
        </w:rPr>
        <w:t>所有核心对象都支持点击选中、悬停提示、属性联动和局部刷新。</w:t>
      </w:r>
    </w:p>
    <w:p>
      <w:pPr>
        <w:pStyle w:val="ListBullet"/>
        <w:spacing w:before="0" w:after="60" w:line="300" w:lineRule="auto"/>
      </w:pPr>
      <w:r>
        <w:rPr>
          <w:rFonts w:ascii="宋体" w:hAnsi="宋体" w:eastAsia="宋体"/>
        </w:rPr>
        <w:t>数据表格支持筛选、排序、搜索、批量导入导出。</w:t>
      </w:r>
    </w:p>
    <w:p>
      <w:pPr>
        <w:pStyle w:val="ListBullet"/>
        <w:spacing w:before="0" w:after="60" w:line="300" w:lineRule="auto"/>
      </w:pPr>
      <w:r>
        <w:rPr>
          <w:rFonts w:ascii="宋体" w:hAnsi="宋体" w:eastAsia="宋体"/>
        </w:rPr>
        <w:t>预测结果支持分层查看、对比查看、误差热力图和时间轴记录。</w:t>
      </w:r>
    </w:p>
    <w:p>
      <w:pPr>
        <w:pStyle w:val="ListBullet"/>
        <w:spacing w:before="0" w:after="60" w:line="300" w:lineRule="auto"/>
      </w:pPr>
      <w:r>
        <w:rPr>
          <w:rFonts w:ascii="宋体" w:hAnsi="宋体" w:eastAsia="宋体"/>
        </w:rPr>
        <w:t>每个桩、每个勘探孔都应有独立的详情抽屉，展示几何属性、预测属性、实测属性和历史版本。</w:t>
      </w:r>
    </w:p>
    <w:p>
      <w:pPr>
        <w:pStyle w:val="Heading1"/>
        <w:spacing w:before="0" w:after="120" w:line="300" w:lineRule="auto"/>
      </w:pPr>
      <w:r>
        <w:t>六、3D 交互功能的全面升级建议</w:t>
      </w:r>
    </w:p>
    <w:p>
      <w:pPr>
        <w:spacing w:before="0" w:after="80" w:line="300" w:lineRule="auto"/>
      </w:pPr>
      <w:r>
        <w:rPr>
          <w:b/>
        </w:rPr>
        <w:t>这是重构中最关键的一项。现有 Matplotlib 3D 更适合演示，不适合做真正的工程交互。网页版建议迁移到 Three.js 或 Babylon.js。</w:t>
      </w:r>
    </w:p>
    <w:p>
      <w:pPr>
        <w:pStyle w:val="ListBullet"/>
        <w:spacing w:before="0" w:after="60" w:line="300" w:lineRule="auto"/>
      </w:pPr>
      <w:r>
        <w:rPr>
          <w:rFonts w:ascii="宋体" w:hAnsi="宋体" w:eastAsia="宋体"/>
        </w:rPr>
        <w:t>采用 WebGL 渲染，支持海量对象的高性能显示。</w:t>
      </w:r>
    </w:p>
    <w:p>
      <w:pPr>
        <w:pStyle w:val="ListBullet"/>
        <w:spacing w:before="0" w:after="60" w:line="300" w:lineRule="auto"/>
      </w:pPr>
      <w:r>
        <w:rPr>
          <w:rFonts w:ascii="宋体" w:hAnsi="宋体" w:eastAsia="宋体"/>
        </w:rPr>
        <w:t>把勘探孔、桩体、土层界面、持力层等建模为可选中对象。</w:t>
      </w:r>
    </w:p>
    <w:p>
      <w:pPr>
        <w:pStyle w:val="ListBullet"/>
        <w:spacing w:before="0" w:after="60" w:line="300" w:lineRule="auto"/>
      </w:pPr>
      <w:r>
        <w:rPr>
          <w:rFonts w:ascii="宋体" w:hAnsi="宋体" w:eastAsia="宋体"/>
        </w:rPr>
        <w:t>鼠标悬停时自动显示对象信息卡片，鼠标点击后在侧边栏显示完整属性。</w:t>
      </w:r>
    </w:p>
    <w:p>
      <w:pPr>
        <w:pStyle w:val="ListBullet"/>
        <w:spacing w:before="0" w:after="60" w:line="300" w:lineRule="auto"/>
      </w:pPr>
      <w:r>
        <w:rPr>
          <w:rFonts w:ascii="宋体" w:hAnsi="宋体" w:eastAsia="宋体"/>
        </w:rPr>
        <w:t>支持局部剖切、透明度调节、图层显隐、视角书签、聚焦选中对象。</w:t>
      </w:r>
    </w:p>
    <w:p>
      <w:pPr>
        <w:pStyle w:val="ListBullet"/>
        <w:spacing w:before="0" w:after="60" w:line="300" w:lineRule="auto"/>
      </w:pPr>
      <w:r>
        <w:rPr>
          <w:rFonts w:ascii="宋体" w:hAnsi="宋体" w:eastAsia="宋体"/>
        </w:rPr>
        <w:t>支持对象高亮、轮廓描边、锁定、测量距离、测量标高、截图导出。</w:t>
      </w:r>
    </w:p>
    <w:p>
      <w:pPr>
        <w:pStyle w:val="ListBullet"/>
        <w:spacing w:before="0" w:after="60" w:line="300" w:lineRule="auto"/>
      </w:pPr>
      <w:r>
        <w:rPr>
          <w:rFonts w:ascii="宋体" w:hAnsi="宋体" w:eastAsia="宋体"/>
        </w:rPr>
        <w:t>支持按工程、按区域、按桩号筛选显示，避免大场景一次性加载过多对象。</w:t>
      </w:r>
    </w:p>
    <w:p>
      <w:pPr>
        <w:spacing w:before="0" w:after="80" w:line="300" w:lineRule="auto"/>
      </w:pPr>
      <w:r>
        <w:rPr>
          <w:b/>
        </w:rPr>
        <w:t>你当前提出的“鼠标与显示图交互时自动显示任意一根桩的信息”应升级为：</w:t>
      </w:r>
    </w:p>
    <w:p>
      <w:pPr>
        <w:pStyle w:val="ListBullet"/>
        <w:spacing w:before="0" w:after="60" w:line="300" w:lineRule="auto"/>
      </w:pPr>
      <w:r>
        <w:rPr>
          <w:rFonts w:ascii="宋体" w:hAnsi="宋体" w:eastAsia="宋体"/>
        </w:rPr>
        <w:t>悬停识别：根据鼠标位置映射到最近对象。</w:t>
      </w:r>
    </w:p>
    <w:p>
      <w:pPr>
        <w:pStyle w:val="ListBullet"/>
        <w:spacing w:before="0" w:after="60" w:line="300" w:lineRule="auto"/>
      </w:pPr>
      <w:r>
        <w:rPr>
          <w:rFonts w:ascii="宋体" w:hAnsi="宋体" w:eastAsia="宋体"/>
        </w:rPr>
        <w:t>对象吸附：当光标接近桩体时自动吸附到该桩。</w:t>
      </w:r>
    </w:p>
    <w:p>
      <w:pPr>
        <w:pStyle w:val="ListBullet"/>
        <w:spacing w:before="0" w:after="60" w:line="300" w:lineRule="auto"/>
      </w:pPr>
      <w:r>
        <w:rPr>
          <w:rFonts w:ascii="宋体" w:hAnsi="宋体" w:eastAsia="宋体"/>
        </w:rPr>
        <w:t>浮窗提示：实时展示桩号、坐标、桩径、桩型、预测持力层、设计桩长等。</w:t>
      </w:r>
    </w:p>
    <w:p>
      <w:pPr>
        <w:pStyle w:val="ListBullet"/>
        <w:spacing w:before="0" w:after="60" w:line="300" w:lineRule="auto"/>
      </w:pPr>
      <w:r>
        <w:rPr>
          <w:rFonts w:ascii="宋体" w:hAnsi="宋体" w:eastAsia="宋体"/>
        </w:rPr>
        <w:t>侧边属性面板：点击后展示完整详情与历史结果。</w:t>
      </w:r>
    </w:p>
    <w:p>
      <w:pPr>
        <w:pStyle w:val="Heading1"/>
        <w:spacing w:before="0" w:after="120" w:line="300" w:lineRule="auto"/>
      </w:pPr>
      <w:r>
        <w:t>七、预测能力的增强建议</w:t>
      </w:r>
    </w:p>
    <w:p>
      <w:pPr>
        <w:pStyle w:val="ListBullet"/>
        <w:spacing w:before="0" w:after="60" w:line="300" w:lineRule="auto"/>
      </w:pPr>
      <w:r>
        <w:rPr>
          <w:rFonts w:ascii="宋体" w:hAnsi="宋体" w:eastAsia="宋体"/>
        </w:rPr>
        <w:t>把“插值预测”封装为独立的预测服务模块，不要写死在界面类中。</w:t>
      </w:r>
    </w:p>
    <w:p>
      <w:pPr>
        <w:pStyle w:val="ListBullet"/>
        <w:spacing w:before="0" w:after="60" w:line="300" w:lineRule="auto"/>
      </w:pPr>
      <w:r>
        <w:rPr>
          <w:rFonts w:ascii="宋体" w:hAnsi="宋体" w:eastAsia="宋体"/>
        </w:rPr>
        <w:t>允许切换多种空间插值或机器学习模型，例如克里金、IDW、样条、随机森林、XGBoost、神经网络等。</w:t>
      </w:r>
    </w:p>
    <w:p>
      <w:pPr>
        <w:pStyle w:val="ListBullet"/>
        <w:spacing w:before="0" w:after="60" w:line="300" w:lineRule="auto"/>
      </w:pPr>
      <w:r>
        <w:rPr>
          <w:rFonts w:ascii="宋体" w:hAnsi="宋体" w:eastAsia="宋体"/>
        </w:rPr>
        <w:t>增加模型参数配置、模型版本管理、训练集/验证集管理、误差评价和回放对比。</w:t>
      </w:r>
    </w:p>
    <w:p>
      <w:pPr>
        <w:pStyle w:val="ListBullet"/>
        <w:spacing w:before="0" w:after="60" w:line="300" w:lineRule="auto"/>
      </w:pPr>
      <w:r>
        <w:rPr>
          <w:rFonts w:ascii="宋体" w:hAnsi="宋体" w:eastAsia="宋体"/>
        </w:rPr>
        <w:t>支持单桩预测、批量预测、区域预测、分层预测、异常点剔除和不确定性评估。</w:t>
      </w:r>
    </w:p>
    <w:p>
      <w:pPr>
        <w:pStyle w:val="ListBullet"/>
        <w:spacing w:before="0" w:after="60" w:line="300" w:lineRule="auto"/>
      </w:pPr>
      <w:r>
        <w:rPr>
          <w:rFonts w:ascii="宋体" w:hAnsi="宋体" w:eastAsia="宋体"/>
        </w:rPr>
        <w:t>增加“物理边界约束”，保证结果只在合理工程范围内内插，不做危险外推。</w:t>
      </w:r>
    </w:p>
    <w:p>
      <w:pPr>
        <w:spacing w:before="0" w:after="80" w:line="300" w:lineRule="auto"/>
      </w:pPr>
      <w:r>
        <w:rPr>
          <w:b/>
        </w:rPr>
        <w:t>对于你提到的“任意单桩承载力计算”，建议单独形成计算引擎：</w:t>
      </w:r>
    </w:p>
    <w:p>
      <w:pPr>
        <w:pStyle w:val="ListBullet"/>
        <w:spacing w:before="0" w:after="60" w:line="300" w:lineRule="auto"/>
      </w:pPr>
      <w:r>
        <w:rPr>
          <w:rFonts w:ascii="宋体" w:hAnsi="宋体" w:eastAsia="宋体"/>
        </w:rPr>
        <w:t>根据桩型、桩径、桩长、持力层、土层参数、施工工艺计算单桩竖向承载力、抗拔承载力、水平承载力。</w:t>
      </w:r>
    </w:p>
    <w:p>
      <w:pPr>
        <w:pStyle w:val="ListBullet"/>
        <w:spacing w:before="0" w:after="60" w:line="300" w:lineRule="auto"/>
      </w:pPr>
      <w:r>
        <w:rPr>
          <w:rFonts w:ascii="宋体" w:hAnsi="宋体" w:eastAsia="宋体"/>
        </w:rPr>
        <w:t>支持规范化公式、经验系数库、地区修正系数、工况系数和安全系数。</w:t>
      </w:r>
    </w:p>
    <w:p>
      <w:pPr>
        <w:pStyle w:val="ListBullet"/>
        <w:spacing w:before="0" w:after="60" w:line="300" w:lineRule="auto"/>
      </w:pPr>
      <w:r>
        <w:rPr>
          <w:rFonts w:ascii="宋体" w:hAnsi="宋体" w:eastAsia="宋体"/>
        </w:rPr>
        <w:t>结果不仅给出数值，还要给出计算过程、参数来源和规范依据。</w:t>
      </w:r>
    </w:p>
    <w:p>
      <w:pPr>
        <w:pStyle w:val="ListBullet"/>
        <w:spacing w:before="0" w:after="60" w:line="300" w:lineRule="auto"/>
      </w:pPr>
      <w:r>
        <w:rPr>
          <w:rFonts w:ascii="宋体" w:hAnsi="宋体" w:eastAsia="宋体"/>
        </w:rPr>
        <w:t>前端展示建议采用“输入参数 - 计算过程 - 结果解释 - 风险提示”的四段式输出。</w:t>
      </w:r>
    </w:p>
    <w:p>
      <w:pPr>
        <w:pStyle w:val="Heading1"/>
        <w:spacing w:before="0" w:after="120" w:line="300" w:lineRule="auto"/>
      </w:pPr>
      <w:r>
        <w:t>八、后端与数据层重构建议</w:t>
      </w:r>
    </w:p>
    <w:p>
      <w:pPr>
        <w:pStyle w:val="ListBullet"/>
        <w:spacing w:before="0" w:after="60" w:line="300" w:lineRule="auto"/>
      </w:pPr>
      <w:r>
        <w:rPr>
          <w:rFonts w:ascii="宋体" w:hAnsi="宋体" w:eastAsia="宋体"/>
        </w:rPr>
        <w:t>将当前单文件脚本拆成标准工程目录：api、services、models、schemas、repositories、utils、tasks、tests。</w:t>
      </w:r>
    </w:p>
    <w:p>
      <w:pPr>
        <w:pStyle w:val="ListBullet"/>
        <w:spacing w:before="0" w:after="60" w:line="300" w:lineRule="auto"/>
      </w:pPr>
      <w:r>
        <w:rPr>
          <w:rFonts w:ascii="宋体" w:hAnsi="宋体" w:eastAsia="宋体"/>
        </w:rPr>
        <w:t>所有数据访问统一通过仓储层，不允许前端或业务层直接读写文件。</w:t>
      </w:r>
    </w:p>
    <w:p>
      <w:pPr>
        <w:pStyle w:val="ListBullet"/>
        <w:spacing w:before="0" w:after="60" w:line="300" w:lineRule="auto"/>
      </w:pPr>
      <w:r>
        <w:rPr>
          <w:rFonts w:ascii="宋体" w:hAnsi="宋体" w:eastAsia="宋体"/>
        </w:rPr>
        <w:t>由本地 JSON 改为 PostgreSQL / MySQL，必要时引入 Redis 缓存。</w:t>
      </w:r>
    </w:p>
    <w:p>
      <w:pPr>
        <w:pStyle w:val="ListBullet"/>
        <w:spacing w:before="0" w:after="60" w:line="300" w:lineRule="auto"/>
      </w:pPr>
      <w:r>
        <w:rPr>
          <w:rFonts w:ascii="宋体" w:hAnsi="宋体" w:eastAsia="宋体"/>
        </w:rPr>
        <w:t>文件上传统一进入对象存储或文件服务器，避免散落在本机目录。</w:t>
      </w:r>
    </w:p>
    <w:p>
      <w:pPr>
        <w:pStyle w:val="ListBullet"/>
        <w:spacing w:before="0" w:after="60" w:line="300" w:lineRule="auto"/>
      </w:pPr>
      <w:r>
        <w:rPr>
          <w:rFonts w:ascii="宋体" w:hAnsi="宋体" w:eastAsia="宋体"/>
        </w:rPr>
        <w:t>导出 Excel、打桩记录、施工日志等改为后端异步任务，避免阻塞页面。</w:t>
      </w:r>
    </w:p>
    <w:p>
      <w:pPr>
        <w:pStyle w:val="Heading1"/>
        <w:spacing w:before="0" w:after="120" w:line="300" w:lineRule="auto"/>
      </w:pPr>
      <w:r>
        <w:t>九、产品化与可下载部署建议</w:t>
      </w:r>
    </w:p>
    <w:p>
      <w:pPr>
        <w:pStyle w:val="ListBullet"/>
        <w:spacing w:before="0" w:after="60" w:line="300" w:lineRule="auto"/>
      </w:pPr>
      <w:r>
        <w:rPr>
          <w:rFonts w:ascii="宋体" w:hAnsi="宋体" w:eastAsia="宋体"/>
        </w:rPr>
        <w:t>构建方式建议采用前端静态资源 + 后端容器服务 + 数据库服务的标准化交付。</w:t>
      </w:r>
    </w:p>
    <w:p>
      <w:pPr>
        <w:pStyle w:val="ListBullet"/>
        <w:spacing w:before="0" w:after="60" w:line="300" w:lineRule="auto"/>
      </w:pPr>
      <w:r>
        <w:rPr>
          <w:rFonts w:ascii="宋体" w:hAnsi="宋体" w:eastAsia="宋体"/>
        </w:rPr>
        <w:t>对外提供一键安装包或 Docker Compose 部署包，降低环境依赖。</w:t>
      </w:r>
    </w:p>
    <w:p>
      <w:pPr>
        <w:pStyle w:val="ListBullet"/>
        <w:spacing w:before="0" w:after="60" w:line="300" w:lineRule="auto"/>
      </w:pPr>
      <w:r>
        <w:rPr>
          <w:rFonts w:ascii="宋体" w:hAnsi="宋体" w:eastAsia="宋体"/>
        </w:rPr>
        <w:t>支持账号体系、项目权限、操作日志、版本回溯和备份恢复。</w:t>
      </w:r>
    </w:p>
    <w:p>
      <w:pPr>
        <w:pStyle w:val="ListBullet"/>
        <w:spacing w:before="0" w:after="60" w:line="300" w:lineRule="auto"/>
      </w:pPr>
      <w:r>
        <w:rPr>
          <w:rFonts w:ascii="宋体" w:hAnsi="宋体" w:eastAsia="宋体"/>
        </w:rPr>
        <w:t>将软件包装成“单机版 / 局域网版 / 云端版”三种交付形态。</w:t>
      </w:r>
    </w:p>
    <w:p>
      <w:pPr>
        <w:spacing w:before="0" w:after="80" w:line="300" w:lineRule="auto"/>
      </w:pPr>
      <w:r>
        <w:rPr>
          <w:b/>
        </w:rPr>
        <w:t>如果目标是类似 Abaqus / Flac3D 的专业软件体验，建议进一步加入以下产品能力：</w:t>
      </w:r>
    </w:p>
    <w:p>
      <w:pPr>
        <w:pStyle w:val="ListBullet"/>
        <w:spacing w:before="0" w:after="60" w:line="300" w:lineRule="auto"/>
      </w:pPr>
      <w:r>
        <w:rPr>
          <w:rFonts w:ascii="宋体" w:hAnsi="宋体" w:eastAsia="宋体"/>
        </w:rPr>
        <w:t>项目导航树、视图管理器、属性检查器、消息控制台、脚本控制台。</w:t>
      </w:r>
    </w:p>
    <w:p>
      <w:pPr>
        <w:pStyle w:val="ListBullet"/>
        <w:spacing w:before="0" w:after="60" w:line="300" w:lineRule="auto"/>
      </w:pPr>
      <w:r>
        <w:rPr>
          <w:rFonts w:ascii="宋体" w:hAnsi="宋体" w:eastAsia="宋体"/>
        </w:rPr>
        <w:t>工作区布局可拖拽、停靠、浮动、记忆上次布局。</w:t>
      </w:r>
    </w:p>
    <w:p>
      <w:pPr>
        <w:pStyle w:val="ListBullet"/>
        <w:spacing w:before="0" w:after="60" w:line="300" w:lineRule="auto"/>
      </w:pPr>
      <w:r>
        <w:rPr>
          <w:rFonts w:ascii="宋体" w:hAnsi="宋体" w:eastAsia="宋体"/>
        </w:rPr>
        <w:t>批处理任务队列、任务进度条、结果版本对比、数据审计。</w:t>
      </w:r>
    </w:p>
    <w:p>
      <w:pPr>
        <w:pStyle w:val="ListBullet"/>
        <w:spacing w:before="0" w:after="60" w:line="300" w:lineRule="auto"/>
      </w:pPr>
      <w:r>
        <w:rPr>
          <w:rFonts w:ascii="宋体" w:hAnsi="宋体" w:eastAsia="宋体"/>
        </w:rPr>
        <w:t>帮助文档、操作引导、新手模式、快捷命令面板。</w:t>
      </w:r>
    </w:p>
    <w:p>
      <w:pPr>
        <w:pStyle w:val="Heading1"/>
        <w:spacing w:before="0" w:after="120" w:line="300" w:lineRule="auto"/>
      </w:pPr>
      <w:r>
        <w:t>十、推荐实施路线图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  <w:vAlign w:val="center"/>
          </w:tcPr>
          <w:p>
            <w:pPr>
              <w:spacing w:before="0" w:after="0" w:line="252" w:lineRule="auto"/>
            </w:pPr>
            <w:r>
              <w:rPr>
                <w:rFonts w:ascii="宋体" w:hAnsi="宋体" w:eastAsia="宋体"/>
                <w:sz w:val="20"/>
              </w:rPr>
              <w:t>阶段</w:t>
            </w:r>
          </w:p>
        </w:tc>
        <w:tc>
          <w:tcPr>
            <w:tcW w:type="dxa" w:w="3173"/>
            <w:vAlign w:val="center"/>
          </w:tcPr>
          <w:p>
            <w:pPr>
              <w:spacing w:before="0" w:after="0" w:line="252" w:lineRule="auto"/>
            </w:pPr>
            <w:r>
              <w:rPr>
                <w:rFonts w:ascii="宋体" w:hAnsi="宋体" w:eastAsia="宋体"/>
                <w:sz w:val="20"/>
              </w:rPr>
              <w:t>目标</w:t>
            </w:r>
          </w:p>
        </w:tc>
        <w:tc>
          <w:tcPr>
            <w:tcW w:type="dxa" w:w="3173"/>
            <w:vAlign w:val="center"/>
          </w:tcPr>
          <w:p>
            <w:pPr>
              <w:spacing w:before="0" w:after="0" w:line="252" w:lineRule="auto"/>
            </w:pPr>
            <w:r>
              <w:rPr>
                <w:rFonts w:ascii="宋体" w:hAnsi="宋体" w:eastAsia="宋体"/>
                <w:sz w:val="20"/>
              </w:rPr>
              <w:t>产出</w:t>
            </w:r>
          </w:p>
        </w:tc>
      </w:tr>
      <w:tr>
        <w:tc>
          <w:tcPr>
            <w:tcW w:type="dxa" w:w="3173"/>
            <w:vAlign w:val="center"/>
          </w:tcPr>
          <w:p>
            <w:pPr>
              <w:spacing w:before="0" w:after="0" w:line="252" w:lineRule="auto"/>
            </w:pPr>
            <w:r>
              <w:rPr>
                <w:rFonts w:ascii="宋体" w:hAnsi="宋体" w:eastAsia="宋体"/>
                <w:sz w:val="20"/>
              </w:rPr>
              <w:t>第一阶段</w:t>
            </w:r>
          </w:p>
        </w:tc>
        <w:tc>
          <w:tcPr>
            <w:tcW w:type="dxa" w:w="3173"/>
            <w:vAlign w:val="center"/>
          </w:tcPr>
          <w:p>
            <w:pPr>
              <w:spacing w:before="0" w:after="0" w:line="252" w:lineRule="auto"/>
            </w:pPr>
            <w:r>
              <w:rPr>
                <w:rFonts w:ascii="宋体" w:hAnsi="宋体" w:eastAsia="宋体"/>
                <w:sz w:val="20"/>
              </w:rPr>
              <w:t>完成代码拆分、接口化和数据层重构</w:t>
            </w:r>
          </w:p>
        </w:tc>
        <w:tc>
          <w:tcPr>
            <w:tcW w:type="dxa" w:w="3173"/>
            <w:vAlign w:val="center"/>
          </w:tcPr>
          <w:p>
            <w:pPr>
              <w:spacing w:before="0" w:after="0" w:line="252" w:lineRule="auto"/>
            </w:pPr>
            <w:r>
              <w:rPr>
                <w:rFonts w:ascii="宋体" w:hAnsi="宋体" w:eastAsia="宋体"/>
                <w:sz w:val="20"/>
              </w:rPr>
              <w:t>形成可维护的后端服务与清晰目录结构</w:t>
            </w:r>
          </w:p>
        </w:tc>
      </w:tr>
      <w:tr>
        <w:tc>
          <w:tcPr>
            <w:tcW w:type="dxa" w:w="3173"/>
            <w:vAlign w:val="center"/>
          </w:tcPr>
          <w:p>
            <w:pPr>
              <w:spacing w:before="0" w:after="0" w:line="252" w:lineRule="auto"/>
            </w:pPr>
            <w:r>
              <w:rPr>
                <w:rFonts w:ascii="宋体" w:hAnsi="宋体" w:eastAsia="宋体"/>
                <w:sz w:val="20"/>
              </w:rPr>
              <w:t>第二阶段</w:t>
            </w:r>
          </w:p>
        </w:tc>
        <w:tc>
          <w:tcPr>
            <w:tcW w:type="dxa" w:w="3173"/>
            <w:vAlign w:val="center"/>
          </w:tcPr>
          <w:p>
            <w:pPr>
              <w:spacing w:before="0" w:after="0" w:line="252" w:lineRule="auto"/>
            </w:pPr>
            <w:r>
              <w:rPr>
                <w:rFonts w:ascii="宋体" w:hAnsi="宋体" w:eastAsia="宋体"/>
                <w:sz w:val="20"/>
              </w:rPr>
              <w:t>完成 Web 前端与 3D 场景替换</w:t>
            </w:r>
          </w:p>
        </w:tc>
        <w:tc>
          <w:tcPr>
            <w:tcW w:type="dxa" w:w="3173"/>
            <w:vAlign w:val="center"/>
          </w:tcPr>
          <w:p>
            <w:pPr>
              <w:spacing w:before="0" w:after="0" w:line="252" w:lineRule="auto"/>
            </w:pPr>
            <w:r>
              <w:rPr>
                <w:rFonts w:ascii="宋体" w:hAnsi="宋体" w:eastAsia="宋体"/>
                <w:sz w:val="20"/>
              </w:rPr>
              <w:t>实现浏览器端交互、悬停提示、属性面板</w:t>
            </w:r>
          </w:p>
        </w:tc>
      </w:tr>
      <w:tr>
        <w:tc>
          <w:tcPr>
            <w:tcW w:type="dxa" w:w="3173"/>
            <w:vAlign w:val="center"/>
          </w:tcPr>
          <w:p>
            <w:pPr>
              <w:spacing w:before="0" w:after="0" w:line="252" w:lineRule="auto"/>
            </w:pPr>
            <w:r>
              <w:rPr>
                <w:rFonts w:ascii="宋体" w:hAnsi="宋体" w:eastAsia="宋体"/>
                <w:sz w:val="20"/>
              </w:rPr>
              <w:t>第三阶段</w:t>
            </w:r>
          </w:p>
        </w:tc>
        <w:tc>
          <w:tcPr>
            <w:tcW w:type="dxa" w:w="3173"/>
            <w:vAlign w:val="center"/>
          </w:tcPr>
          <w:p>
            <w:pPr>
              <w:spacing w:before="0" w:after="0" w:line="252" w:lineRule="auto"/>
            </w:pPr>
            <w:r>
              <w:rPr>
                <w:rFonts w:ascii="宋体" w:hAnsi="宋体" w:eastAsia="宋体"/>
                <w:sz w:val="20"/>
              </w:rPr>
              <w:t>完成预测服务、承载力计算与任务队列</w:t>
            </w:r>
          </w:p>
        </w:tc>
        <w:tc>
          <w:tcPr>
            <w:tcW w:type="dxa" w:w="3173"/>
            <w:vAlign w:val="center"/>
          </w:tcPr>
          <w:p>
            <w:pPr>
              <w:spacing w:before="0" w:after="0" w:line="252" w:lineRule="auto"/>
            </w:pPr>
            <w:r>
              <w:rPr>
                <w:rFonts w:ascii="宋体" w:hAnsi="宋体" w:eastAsia="宋体"/>
                <w:sz w:val="20"/>
              </w:rPr>
              <w:t>实现批量预测、结果导出和异步处理</w:t>
            </w:r>
          </w:p>
        </w:tc>
      </w:tr>
    </w:tbl>
    <w:p/>
    <w:p>
      <w:pPr>
        <w:pStyle w:val="Heading1"/>
        <w:spacing w:before="0" w:after="120" w:line="300" w:lineRule="auto"/>
      </w:pPr>
      <w:r>
        <w:t>十一、结合现有代码建议立即修正的工程问题</w:t>
      </w:r>
    </w:p>
    <w:p>
      <w:pPr>
        <w:pStyle w:val="ListBullet"/>
        <w:spacing w:before="0" w:after="60" w:line="300" w:lineRule="auto"/>
      </w:pPr>
      <w:r>
        <w:rPr>
          <w:rFonts w:ascii="宋体" w:hAnsi="宋体" w:eastAsia="宋体"/>
        </w:rPr>
        <w:t>把业务逻辑从 PilePredictionGUI 中剥离，避免 UI 类持续膨胀。</w:t>
      </w:r>
    </w:p>
    <w:p>
      <w:pPr>
        <w:pStyle w:val="ListBullet"/>
        <w:spacing w:before="0" w:after="60" w:line="300" w:lineRule="auto"/>
      </w:pPr>
      <w:r>
        <w:rPr>
          <w:rFonts w:ascii="宋体" w:hAnsi="宋体" w:eastAsia="宋体"/>
        </w:rPr>
        <w:t>修复 IDW 插值实现中的潜在错误，统一异常处理与日志记录。</w:t>
      </w:r>
    </w:p>
    <w:p>
      <w:pPr>
        <w:pStyle w:val="ListBullet"/>
        <w:spacing w:before="0" w:after="60" w:line="300" w:lineRule="auto"/>
      </w:pPr>
      <w:r>
        <w:rPr>
          <w:rFonts w:ascii="宋体" w:hAnsi="宋体" w:eastAsia="宋体"/>
        </w:rPr>
        <w:t>避免在预测完成后把“实测桩”重新塞回地勘数据，防止数据污染。</w:t>
      </w:r>
    </w:p>
    <w:p>
      <w:pPr>
        <w:pStyle w:val="ListBullet"/>
        <w:spacing w:before="0" w:after="60" w:line="300" w:lineRule="auto"/>
      </w:pPr>
      <w:r>
        <w:rPr>
          <w:rFonts w:ascii="宋体" w:hAnsi="宋体" w:eastAsia="宋体"/>
        </w:rPr>
        <w:t>把预测结果、实测结果、日志记录分表存储，避免混用一份结构。</w:t>
      </w:r>
    </w:p>
    <w:p>
      <w:pPr>
        <w:pStyle w:val="ListBullet"/>
        <w:spacing w:before="0" w:after="60" w:line="300" w:lineRule="auto"/>
      </w:pPr>
      <w:r>
        <w:rPr>
          <w:rFonts w:ascii="宋体" w:hAnsi="宋体" w:eastAsia="宋体"/>
        </w:rPr>
        <w:t>给所有数据结构增加 schema 校验，防止 Excel 字段缺失或类型异常。</w:t>
      </w:r>
    </w:p>
    <w:p>
      <w:pPr>
        <w:pStyle w:val="ListBullet"/>
        <w:spacing w:before="0" w:after="60" w:line="300" w:lineRule="auto"/>
      </w:pPr>
      <w:r>
        <w:rPr>
          <w:rFonts w:ascii="宋体" w:hAnsi="宋体" w:eastAsia="宋体"/>
        </w:rPr>
        <w:t>3D 视图绘制应增加缓存与局部刷新，不要每次交互都全量重绘。</w:t>
      </w:r>
    </w:p>
    <w:p>
      <w:pPr>
        <w:spacing w:before="0" w:after="120" w:line="300" w:lineRule="auto"/>
      </w:pPr>
      <w:r>
        <w:rPr>
          <w:b/>
        </w:rPr>
        <w:t>最终建议是：把当前程序从“单文件桌面工具”升级为“分层、可部署、可扩展、可协作的工程平台”。</w:t>
      </w:r>
    </w:p>
    <w:p>
      <w:pPr>
        <w:pStyle w:val="Heading1"/>
        <w:spacing w:before="0" w:after="120" w:line="300" w:lineRule="auto"/>
      </w:pPr>
      <w:r>
        <w:t>十二、结论</w:t>
      </w:r>
    </w:p>
    <w:p>
      <w:pPr>
        <w:spacing w:before="0" w:after="80" w:line="300" w:lineRule="auto"/>
      </w:pPr>
      <w:r>
        <w:t>你的底层功能非常适合继续演进，真正需要重构的是软件形态，而不是业务目标。</w:t>
      </w:r>
    </w:p>
    <w:p>
      <w:pPr>
        <w:spacing w:before="0" w:after="80" w:line="300" w:lineRule="auto"/>
      </w:pPr>
      <w:r>
        <w:t>只要完成前后端分离、3D Web 化、计算服务化、数据平台化和界面现代化，这个系统就可以从一个研究型原型，升级为可下载、可交付、可售卖的工程软件。</w:t>
      </w:r>
    </w:p>
    <w:sectPr w:rsidR="00FC693F" w:rsidRPr="0006063C" w:rsidSect="00034616">
      <w:pgSz w:w="12240" w:h="15840"/>
      <w:pgMar w:top="1134" w:right="1361" w:bottom="1134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4F81BD" w:themeColor="accent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微软雅黑" w:hAnsi="微软雅黑" w:eastAsia="微软雅黑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微软雅黑" w:hAnsi="微软雅黑" w:eastAsia="微软雅黑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