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sz w:val="40"/>
        </w:rPr>
        <w:t>桩基土层预测系统</w:t>
        <w:br/>
        <w:t>修改与优化建议报告</w:t>
      </w:r>
    </w:p>
    <w:p>
      <w:pPr>
        <w:jc w:val="center"/>
      </w:pPr>
      <w:r>
        <w:rPr>
          <w:rFonts w:ascii="SimSun" w:hAnsi="SimSun" w:eastAsia="SimSun"/>
          <w:sz w:val="22"/>
        </w:rPr>
        <w:t>基于现有 Tkinter + Matplotlib 程序的代码审查与全栈化升级建议</w:t>
      </w:r>
    </w:p>
    <w:p/>
    <w:p>
      <w:pPr>
        <w:pStyle w:val="Heading1"/>
      </w:pPr>
      <w:r>
        <w:t>一、现有程序的总体评价</w:t>
      </w:r>
    </w:p>
    <w:p>
      <w:r>
        <w:t>当前程序已经具备地勘数据导入、桩基数据导入、土层插值预测、单桩实测录入、施工记录生成、日志导出和 3D 视图展示等基础能力，说明整体业务链条已经成型。对于本科或工程原型而言，功能完整度较高，能够支持“数据导入—预测—对比—记录—导出”的闭环。</w:t>
      </w:r>
    </w:p>
    <w:p>
      <w:r>
        <w:t>但从工程化、产品化和后期可维护性角度看，当前版本仍属于“单文件桌面原型”，主要问题集中在：界面与业务逻辑耦合过强、3D 图形渲染方式偏重、交互方式不够自然、单桩承载力计算模块缺失、数据持久化与项目管理能力较弱，以及尚不具备真正可下载、可部署、可升级的全栈软件形态。</w:t>
      </w:r>
    </w:p>
    <w:p>
      <w:pPr>
        <w:pStyle w:val="Heading1"/>
      </w:pPr>
      <w:r>
        <w:t>二、必须优先修复的代码与结构问题</w:t>
      </w:r>
    </w:p>
    <w:tbl>
      <w:tblPr>
        <w:tblStyle w:val="TableGrid"/>
        <w:tblW w:type="auto" w:w="0"/>
        <w:jc w:val="center"/>
        <w:tblLook w:firstColumn="1" w:firstRow="1" w:lastColumn="0" w:lastRow="0" w:noHBand="0" w:noVBand="1" w:val="04A0"/>
      </w:tblPr>
      <w:tblGrid>
        <w:gridCol w:w="3249"/>
        <w:gridCol w:w="3249"/>
        <w:gridCol w:w="3249"/>
      </w:tblGrid>
      <w:tr>
        <w:tc>
          <w:tcPr>
            <w:tcW w:type="dxa" w:w="3249"/>
            <w:vAlign w:val="center"/>
            <w:shd w:fill="D9EAF7"/>
          </w:tcPr>
          <w:p>
            <w:pPr>
              <w:spacing w:after="0"/>
            </w:pPr>
            <w:r/>
            <w:r>
              <w:rPr>
                <w:rFonts w:ascii="SimSun" w:hAnsi="SimSun" w:eastAsia="SimSun"/>
                <w:b/>
                <w:sz w:val="20"/>
              </w:rPr>
              <w:t>问题</w:t>
            </w:r>
          </w:p>
        </w:tc>
        <w:tc>
          <w:tcPr>
            <w:tcW w:type="dxa" w:w="3249"/>
            <w:vAlign w:val="center"/>
            <w:shd w:fill="D9EAF7"/>
          </w:tcPr>
          <w:p>
            <w:pPr>
              <w:spacing w:after="0"/>
            </w:pPr>
            <w:r/>
            <w:r>
              <w:rPr>
                <w:rFonts w:ascii="SimSun" w:hAnsi="SimSun" w:eastAsia="SimSun"/>
                <w:b/>
                <w:sz w:val="20"/>
              </w:rPr>
              <w:t>具体表现</w:t>
            </w:r>
          </w:p>
        </w:tc>
        <w:tc>
          <w:tcPr>
            <w:tcW w:type="dxa" w:w="3249"/>
            <w:vAlign w:val="center"/>
            <w:shd w:fill="D9EAF7"/>
          </w:tcPr>
          <w:p>
            <w:pPr>
              <w:spacing w:after="0"/>
            </w:pPr>
            <w:r/>
            <w:r>
              <w:rPr>
                <w:rFonts w:ascii="SimSun" w:hAnsi="SimSun" w:eastAsia="SimSun"/>
                <w:b/>
                <w:sz w:val="20"/>
              </w:rPr>
              <w:t>建议</w:t>
            </w:r>
          </w:p>
        </w:tc>
      </w:tr>
      <w:tr>
        <w:tc>
          <w:tcPr>
            <w:tcW w:type="dxa" w:w="3249"/>
            <w:vAlign w:val="center"/>
          </w:tcPr>
          <w:p>
            <w:pPr>
              <w:spacing w:after="0"/>
            </w:pPr>
            <w:r/>
            <w:r>
              <w:rPr>
                <w:rFonts w:ascii="SimSun" w:hAnsi="SimSun" w:eastAsia="SimSun"/>
                <w:b w:val="0"/>
                <w:sz w:val="20"/>
              </w:rPr>
              <w:t>IDW 插值存在潜在错误</w:t>
            </w:r>
          </w:p>
        </w:tc>
        <w:tc>
          <w:tcPr>
            <w:tcW w:type="dxa" w:w="3249"/>
            <w:vAlign w:val="center"/>
          </w:tcPr>
          <w:p>
            <w:pPr>
              <w:spacing w:after="0"/>
            </w:pPr>
            <w:r/>
            <w:r>
              <w:rPr>
                <w:rFonts w:ascii="SimSun" w:hAnsi="SimSun" w:eastAsia="SimSun"/>
                <w:b w:val="0"/>
                <w:sz w:val="20"/>
              </w:rPr>
              <w:t>idw_interpolate() 中使用了 argmin(distances)，但未导入或调用 np.argmin，运行到等距点时可能报错。</w:t>
            </w:r>
          </w:p>
        </w:tc>
        <w:tc>
          <w:tcPr>
            <w:tcW w:type="dxa" w:w="3249"/>
            <w:vAlign w:val="center"/>
          </w:tcPr>
          <w:p>
            <w:pPr>
              <w:spacing w:after="0"/>
            </w:pPr>
            <w:r/>
            <w:r>
              <w:rPr>
                <w:rFonts w:ascii="SimSun" w:hAnsi="SimSun" w:eastAsia="SimSun"/>
                <w:b w:val="0"/>
                <w:sz w:val="20"/>
              </w:rPr>
              <w:t>改为 np.argmin(distances)，并补充边界条件与单点回退逻辑。</w:t>
            </w:r>
          </w:p>
        </w:tc>
      </w:tr>
      <w:tr>
        <w:tc>
          <w:tcPr>
            <w:tcW w:type="dxa" w:w="3249"/>
            <w:vAlign w:val="center"/>
          </w:tcPr>
          <w:p>
            <w:pPr>
              <w:spacing w:after="0"/>
            </w:pPr>
            <w:r/>
            <w:r>
              <w:rPr>
                <w:rFonts w:ascii="SimSun" w:hAnsi="SimSun" w:eastAsia="SimSun"/>
                <w:b w:val="0"/>
                <w:sz w:val="20"/>
              </w:rPr>
              <w:t>3D 交互仅是点击识别</w:t>
            </w:r>
          </w:p>
        </w:tc>
        <w:tc>
          <w:tcPr>
            <w:tcW w:type="dxa" w:w="3249"/>
            <w:vAlign w:val="center"/>
          </w:tcPr>
          <w:p>
            <w:pPr>
              <w:spacing w:after="0"/>
            </w:pPr>
            <w:r/>
            <w:r>
              <w:rPr>
                <w:rFonts w:ascii="SimSun" w:hAnsi="SimSun" w:eastAsia="SimSun"/>
                <w:b w:val="0"/>
                <w:sz w:val="20"/>
              </w:rPr>
              <w:t>当前 on_3d_click 依赖 event.xdata / ydata，在 3D 场景中并不能准确表达“鼠标悬停到某根桩上”的体验。</w:t>
            </w:r>
          </w:p>
        </w:tc>
        <w:tc>
          <w:tcPr>
            <w:tcW w:type="dxa" w:w="3249"/>
            <w:vAlign w:val="center"/>
          </w:tcPr>
          <w:p>
            <w:pPr>
              <w:spacing w:after="0"/>
            </w:pPr>
            <w:r/>
            <w:r>
              <w:rPr>
                <w:rFonts w:ascii="SimSun" w:hAnsi="SimSun" w:eastAsia="SimSun"/>
                <w:b w:val="0"/>
                <w:sz w:val="20"/>
              </w:rPr>
              <w:t>改用 motion_notify_event + 近邻索引/拾取机制，或迁移到支持原生 hover 的 WebGL 3D 组件。</w:t>
            </w:r>
          </w:p>
        </w:tc>
      </w:tr>
      <w:tr>
        <w:tc>
          <w:tcPr>
            <w:tcW w:type="dxa" w:w="3249"/>
            <w:vAlign w:val="center"/>
          </w:tcPr>
          <w:p>
            <w:pPr>
              <w:spacing w:after="0"/>
            </w:pPr>
            <w:r/>
            <w:r>
              <w:rPr>
                <w:rFonts w:ascii="SimSun" w:hAnsi="SimSun" w:eastAsia="SimSun"/>
                <w:b w:val="0"/>
                <w:sz w:val="20"/>
              </w:rPr>
              <w:t>3D 绘制方式偏重</w:t>
            </w:r>
          </w:p>
        </w:tc>
        <w:tc>
          <w:tcPr>
            <w:tcW w:type="dxa" w:w="3249"/>
            <w:vAlign w:val="center"/>
          </w:tcPr>
          <w:p>
            <w:pPr>
              <w:spacing w:after="0"/>
            </w:pPr>
            <w:r/>
            <w:r>
              <w:rPr>
                <w:rFonts w:ascii="SimSun" w:hAnsi="SimSun" w:eastAsia="SimSun"/>
                <w:b w:val="0"/>
                <w:sz w:val="20"/>
              </w:rPr>
              <w:t>每次 draw_3d 都重新计算并绘制所有地层和桩体，且使用 plot_surface 画圆柱，开销较大。</w:t>
            </w:r>
          </w:p>
        </w:tc>
        <w:tc>
          <w:tcPr>
            <w:tcW w:type="dxa" w:w="3249"/>
            <w:vAlign w:val="center"/>
          </w:tcPr>
          <w:p>
            <w:pPr>
              <w:spacing w:after="0"/>
            </w:pPr>
            <w:r/>
            <w:r>
              <w:rPr>
                <w:rFonts w:ascii="SimSun" w:hAnsi="SimSun" w:eastAsia="SimSun"/>
                <w:b w:val="0"/>
                <w:sz w:val="20"/>
              </w:rPr>
              <w:t>采用缓存、分层更新、LOD 简化、向量化绘制，必要时更换为 PyVista / Three.js / Plotly。</w:t>
            </w:r>
          </w:p>
        </w:tc>
      </w:tr>
      <w:tr>
        <w:tc>
          <w:tcPr>
            <w:tcW w:type="dxa" w:w="3249"/>
            <w:vAlign w:val="center"/>
          </w:tcPr>
          <w:p>
            <w:pPr>
              <w:spacing w:after="0"/>
            </w:pPr>
            <w:r/>
            <w:r>
              <w:rPr>
                <w:rFonts w:ascii="SimSun" w:hAnsi="SimSun" w:eastAsia="SimSun"/>
                <w:b w:val="0"/>
                <w:sz w:val="20"/>
              </w:rPr>
              <w:t>数据结构过于扁平</w:t>
            </w:r>
          </w:p>
        </w:tc>
        <w:tc>
          <w:tcPr>
            <w:tcW w:type="dxa" w:w="3249"/>
            <w:vAlign w:val="center"/>
          </w:tcPr>
          <w:p>
            <w:pPr>
              <w:spacing w:after="0"/>
            </w:pPr>
            <w:r/>
            <w:r>
              <w:rPr>
                <w:rFonts w:ascii="SimSun" w:hAnsi="SimSun" w:eastAsia="SimSun"/>
                <w:b w:val="0"/>
                <w:sz w:val="20"/>
              </w:rPr>
              <w:t>所有核心状态塞在一个类和一个 JSON 文件里，不利于扩展、回溯和多人协作。</w:t>
            </w:r>
          </w:p>
        </w:tc>
        <w:tc>
          <w:tcPr>
            <w:tcW w:type="dxa" w:w="3249"/>
            <w:vAlign w:val="center"/>
          </w:tcPr>
          <w:p>
            <w:pPr>
              <w:spacing w:after="0"/>
            </w:pPr>
            <w:r/>
            <w:r>
              <w:rPr>
                <w:rFonts w:ascii="SimSun" w:hAnsi="SimSun" w:eastAsia="SimSun"/>
                <w:b w:val="0"/>
                <w:sz w:val="20"/>
              </w:rPr>
              <w:t>拆分为数据层、服务层、表现层，并引入数据库保存项目、桩、记录和日志。</w:t>
            </w:r>
          </w:p>
        </w:tc>
      </w:tr>
    </w:tbl>
    <w:p/>
    <w:p>
      <w:pPr>
        <w:pStyle w:val="Heading1"/>
      </w:pPr>
      <w:r>
        <w:t>三、围绕你提出的 4 项需求的优化建议</w:t>
      </w:r>
    </w:p>
    <w:p>
      <w:pPr>
        <w:pStyle w:val="Heading2"/>
      </w:pPr>
      <w:r>
        <w:t>1. 优化程序中 3D 现实的效率</w:t>
      </w:r>
    </w:p>
    <w:p>
      <w:pPr>
        <w:ind w:left="283" w:hanging="283"/>
      </w:pPr>
      <w:r>
        <w:t>• 将 3D 视图从“每次刷新全量重绘”改为“数据预处理 + 视图增量更新”。地层几何、颜色映射、桩体模型应在数据加载后缓存，不要在每次旋转、缩放、点击时重复计算。</w:t>
      </w:r>
    </w:p>
    <w:p>
      <w:pPr>
        <w:ind w:left="283" w:hanging="283"/>
      </w:pPr>
      <w:r>
        <w:t>• 把圆柱桩体的可视化从 plot_surface 改成更轻量的 mesh 方案。对于工程展示，优先保证“看清结构”而不是“每个曲面都真实”。</w:t>
      </w:r>
    </w:p>
    <w:p>
      <w:pPr>
        <w:ind w:left="283" w:hanging="283"/>
      </w:pPr>
      <w:r>
        <w:t>• 限制同时渲染对象数量。默认只显示当前项目、当前筛选条件下的桩，支持按区域、按桩号、按层位过滤显示。</w:t>
      </w:r>
    </w:p>
    <w:p>
      <w:pPr>
        <w:ind w:left="283" w:hanging="283"/>
      </w:pPr>
      <w:r>
        <w:t>• 鼠标交互事件节流：缩放、拖动、悬停时避免高频重绘，可采用 100~200ms 的防抖/节流策略。</w:t>
      </w:r>
    </w:p>
    <w:p>
      <w:pPr>
        <w:ind w:left="283" w:hanging="283"/>
      </w:pPr>
      <w:r>
        <w:t>• 如果目标是最终发布为可下载软件，建议直接评估 WebGL 路线（Three.js / Cesium / Plotly）或桌面 WebView 路线，这类方案在大规模 3D 场景下通常比 Matplotlib 3D 更适合。</w:t>
      </w:r>
    </w:p>
    <w:p>
      <w:pPr>
        <w:pStyle w:val="Heading2"/>
      </w:pPr>
      <w:r>
        <w:t>2. 增加任意单桩的承载力计算</w:t>
      </w:r>
    </w:p>
    <w:p>
      <w:pPr>
        <w:ind w:left="283" w:hanging="283"/>
      </w:pPr>
      <w:r>
        <w:t>• 单独建立“承载力计算引擎”，不要把计算逻辑写在界面层。输入应至少包括：桩号、桩径、桩长、桩型、施工工艺、持力层、各层土参数、地下水条件、设计安全系数。</w:t>
      </w:r>
    </w:p>
    <w:p>
      <w:pPr>
        <w:ind w:left="283" w:hanging="283"/>
      </w:pPr>
      <w:r>
        <w:t>• 建议同时支持竖向抗压承载力、抗拔承载力和必要的侧向承载力扩展。基础版本可以先实现单桩竖向承载力，后续再扩展到群桩或复合地基。</w:t>
      </w:r>
    </w:p>
    <w:p>
      <w:pPr>
        <w:ind w:left="283" w:hanging="283"/>
      </w:pPr>
      <w:r>
        <w:t>• 计算方法要可配置。对于不同工程项目，可按规范公式、经验系数法或实测参数法切换，避免把一个固定公式写死。</w:t>
      </w:r>
    </w:p>
    <w:p>
      <w:pPr>
        <w:ind w:left="283" w:hanging="283"/>
      </w:pPr>
      <w:r>
        <w:t>• 结果页面应输出：设计值、允许值、控制因素、计算过程、是否满足要求、与当前预测持力层匹配关系，并支持一键导出计算书。</w:t>
      </w:r>
    </w:p>
    <w:p>
      <w:pPr>
        <w:ind w:left="283" w:hanging="283"/>
      </w:pPr>
      <w:r>
        <w:t>• 若你目前缺少完整土工参数，可先把承载力模块设计成“参数驱动型”，允许从勘察文件、Excel、数据库或人工录入中获取参数。</w:t>
      </w:r>
    </w:p>
    <w:p>
      <w:pPr>
        <w:pStyle w:val="Heading2"/>
      </w:pPr>
      <w:r>
        <w:t>3. 3D 显示中鼠标交互时自动显示任意一根桩的信息</w:t>
      </w:r>
    </w:p>
    <w:p>
      <w:pPr>
        <w:ind w:left="283" w:hanging="283"/>
      </w:pPr>
      <w:r>
        <w:t>• 把交互逻辑从“单次点击弹窗”升级为“悬停即提示、点击可锁定”。推荐在鼠标移动到桩体附近时实时显示悬浮信息框，点击后固定显示详细信息。</w:t>
      </w:r>
    </w:p>
    <w:p>
      <w:pPr>
        <w:ind w:left="283" w:hanging="283"/>
      </w:pPr>
      <w:r>
        <w:t>• 信息框建议包含：桩号、坐标、桩径、桩型、桩顶标高、预测持力层顶标高、设计桩长、实测桩长、当前状态（已预测 / 已录入 / 已报警）。</w:t>
      </w:r>
    </w:p>
    <w:p>
      <w:pPr>
        <w:ind w:left="283" w:hanging="283"/>
      </w:pPr>
      <w:r>
        <w:t>• 为了避免 3D 坐标拾取难题，建议维护一个二维投影后的空间索引，使用最近邻搜索判断鼠标最近的桩，而不是直接依赖 Matplotlib 3D 的原始事件坐标。</w:t>
      </w:r>
    </w:p>
    <w:p>
      <w:pPr>
        <w:ind w:left="283" w:hanging="283"/>
      </w:pPr>
      <w:r>
        <w:t>• 当鼠标移动过快时，只更新最近目标，不要反复创建和销毁注释对象。可以复用一个 annotation 对象，只修改其文本和位置。</w:t>
      </w:r>
    </w:p>
    <w:p>
      <w:pPr>
        <w:ind w:left="283" w:hanging="283"/>
      </w:pPr>
      <w:r>
        <w:t>• 若迁移到 Web 前端，可直接使用 hover tooltip、悬浮卡片和高亮描边，交互体验会明显优于当前桌面 3D 方案。</w:t>
      </w:r>
    </w:p>
    <w:p>
      <w:pPr>
        <w:pStyle w:val="Heading2"/>
      </w:pPr>
      <w:r>
        <w:t>4. 从工具原型升级为完整、可下载的全栈软件</w:t>
      </w:r>
    </w:p>
    <w:p>
      <w:pPr>
        <w:ind w:left="283" w:hanging="283"/>
      </w:pPr>
      <w:r>
        <w:t>• 建议采用“前端 + 后端 + 数据库 + 文件服务”的标准架构，而不是继续把所有功能压在单一 Python 脚本里。</w:t>
      </w:r>
    </w:p>
    <w:p>
      <w:pPr>
        <w:ind w:left="283" w:hanging="283"/>
      </w:pPr>
      <w:r>
        <w:t>• 前端层：使用现代 UI 框架实现美观界面，例如 React / Vue + Tailwind / Ant Design，重点做统一主题、卡片化布局、响应式页面、深浅色切换和操作反馈。</w:t>
      </w:r>
    </w:p>
    <w:p>
      <w:pPr>
        <w:ind w:left="283" w:hanging="283"/>
      </w:pPr>
      <w:r>
        <w:t>• 后端层：使用 FastAPI 或 Django 作为服务核心，把预测、插值、承载力计算、日志、报表和权限控制封装成 API。</w:t>
      </w:r>
    </w:p>
    <w:p>
      <w:pPr>
        <w:ind w:left="283" w:hanging="283"/>
      </w:pPr>
      <w:r>
        <w:t>• 数据层：使用 PostgreSQL、MySQL 或 SQLite 管理项目、用户、桩基信息、地勘信息、计算记录和版本历史；大文件（Excel、图片、PDF）走对象存储或本地文件目录。</w:t>
      </w:r>
    </w:p>
    <w:p>
      <w:pPr>
        <w:ind w:left="283" w:hanging="283"/>
      </w:pPr>
      <w:r>
        <w:t>• 部署层：支持 Docker 一键部署；桌面端可考虑 Electron/Tauri 封装；若强调工程交付，可输出安装包、离线版和云端版三种形态。</w:t>
      </w:r>
    </w:p>
    <w:p>
      <w:pPr>
        <w:ind w:left="283" w:hanging="283"/>
      </w:pPr>
      <w:r>
        <w:t>• 可维护性层：加入日志、异常追踪、配置中心、权限管理、版本号、自动更新、备份恢复和操作审计。</w:t>
      </w:r>
    </w:p>
    <w:p>
      <w:pPr>
        <w:pStyle w:val="Heading1"/>
      </w:pPr>
      <w:r>
        <w:t>四、建议新增的功能模块</w:t>
      </w:r>
    </w:p>
    <w:tbl>
      <w:tblPr>
        <w:tblStyle w:val="TableGrid"/>
        <w:tblW w:type="auto" w:w="0"/>
        <w:jc w:val="center"/>
        <w:tblLook w:firstColumn="1" w:firstRow="1" w:lastColumn="0" w:lastRow="0" w:noHBand="0" w:noVBand="1" w:val="04A0"/>
      </w:tblPr>
      <w:tblGrid>
        <w:gridCol w:w="4873"/>
        <w:gridCol w:w="4873"/>
      </w:tblGrid>
      <w:tr>
        <w:tc>
          <w:tcPr>
            <w:tcW w:type="dxa" w:w="4873"/>
            <w:vAlign w:val="center"/>
            <w:shd w:fill="D9EAF7"/>
          </w:tcPr>
          <w:p>
            <w:pPr>
              <w:spacing w:after="0"/>
            </w:pPr>
            <w:r/>
            <w:r>
              <w:rPr>
                <w:rFonts w:ascii="SimSun" w:hAnsi="SimSun" w:eastAsia="SimSun"/>
                <w:b/>
                <w:sz w:val="20"/>
              </w:rPr>
              <w:t>模块</w:t>
            </w:r>
          </w:p>
        </w:tc>
        <w:tc>
          <w:tcPr>
            <w:tcW w:type="dxa" w:w="4873"/>
            <w:vAlign w:val="center"/>
            <w:shd w:fill="D9EAF7"/>
          </w:tcPr>
          <w:p>
            <w:pPr>
              <w:spacing w:after="0"/>
            </w:pPr>
            <w:r/>
            <w:r>
              <w:rPr>
                <w:rFonts w:ascii="SimSun" w:hAnsi="SimSun" w:eastAsia="SimSun"/>
                <w:b/>
                <w:sz w:val="20"/>
              </w:rPr>
              <w:t>建议</w:t>
            </w:r>
          </w:p>
        </w:tc>
      </w:tr>
      <w:tr>
        <w:tc>
          <w:tcPr>
            <w:tcW w:type="dxa" w:w="4873"/>
            <w:vAlign w:val="center"/>
          </w:tcPr>
          <w:p>
            <w:pPr>
              <w:spacing w:after="0"/>
            </w:pPr>
            <w:r/>
            <w:r>
              <w:rPr>
                <w:rFonts w:ascii="SimSun" w:hAnsi="SimSun" w:eastAsia="SimSun"/>
                <w:b w:val="0"/>
                <w:sz w:val="20"/>
              </w:rPr>
              <w:t>项目管理</w:t>
            </w:r>
          </w:p>
        </w:tc>
        <w:tc>
          <w:tcPr>
            <w:tcW w:type="dxa" w:w="4873"/>
            <w:vAlign w:val="center"/>
          </w:tcPr>
          <w:p>
            <w:pPr>
              <w:spacing w:after="0"/>
            </w:pPr>
            <w:r/>
            <w:r>
              <w:rPr>
                <w:rFonts w:ascii="SimSun" w:hAnsi="SimSun" w:eastAsia="SimSun"/>
                <w:b w:val="0"/>
                <w:sz w:val="20"/>
              </w:rPr>
              <w:t>支持新建/打开/复制/归档项目，项目内独立保存地勘数据、桩基数据、预测记录和导出文件。</w:t>
            </w:r>
          </w:p>
        </w:tc>
      </w:tr>
      <w:tr>
        <w:tc>
          <w:tcPr>
            <w:tcW w:type="dxa" w:w="4873"/>
            <w:vAlign w:val="center"/>
          </w:tcPr>
          <w:p>
            <w:pPr>
              <w:spacing w:after="0"/>
            </w:pPr>
            <w:r/>
            <w:r>
              <w:rPr>
                <w:rFonts w:ascii="SimSun" w:hAnsi="SimSun" w:eastAsia="SimSun"/>
                <w:b w:val="0"/>
                <w:sz w:val="20"/>
              </w:rPr>
              <w:t>批量计算中心</w:t>
            </w:r>
          </w:p>
        </w:tc>
        <w:tc>
          <w:tcPr>
            <w:tcW w:type="dxa" w:w="4873"/>
            <w:vAlign w:val="center"/>
          </w:tcPr>
          <w:p>
            <w:pPr>
              <w:spacing w:after="0"/>
            </w:pPr>
            <w:r/>
            <w:r>
              <w:rPr>
                <w:rFonts w:ascii="SimSun" w:hAnsi="SimSun" w:eastAsia="SimSun"/>
                <w:b w:val="0"/>
                <w:sz w:val="20"/>
              </w:rPr>
              <w:t>支持按区域、按工区、按桩型批量预测和批量算承载力，并生成汇总表。</w:t>
            </w:r>
          </w:p>
        </w:tc>
      </w:tr>
      <w:tr>
        <w:tc>
          <w:tcPr>
            <w:tcW w:type="dxa" w:w="4873"/>
            <w:vAlign w:val="center"/>
          </w:tcPr>
          <w:p>
            <w:pPr>
              <w:spacing w:after="0"/>
            </w:pPr>
            <w:r/>
            <w:r>
              <w:rPr>
                <w:rFonts w:ascii="SimSun" w:hAnsi="SimSun" w:eastAsia="SimSun"/>
                <w:b w:val="0"/>
                <w:sz w:val="20"/>
              </w:rPr>
              <w:t>质量控制</w:t>
            </w:r>
          </w:p>
        </w:tc>
        <w:tc>
          <w:tcPr>
            <w:tcW w:type="dxa" w:w="4873"/>
            <w:vAlign w:val="center"/>
          </w:tcPr>
          <w:p>
            <w:pPr>
              <w:spacing w:after="0"/>
            </w:pPr>
            <w:r/>
            <w:r>
              <w:rPr>
                <w:rFonts w:ascii="SimSun" w:hAnsi="SimSun" w:eastAsia="SimSun"/>
                <w:b w:val="0"/>
                <w:sz w:val="20"/>
              </w:rPr>
              <w:t>对缺失值、异常值、坐标重复、层序颠倒、桩号重复做自动检测并提示。</w:t>
            </w:r>
          </w:p>
        </w:tc>
      </w:tr>
      <w:tr>
        <w:tc>
          <w:tcPr>
            <w:tcW w:type="dxa" w:w="4873"/>
            <w:vAlign w:val="center"/>
          </w:tcPr>
          <w:p>
            <w:pPr>
              <w:spacing w:after="0"/>
            </w:pPr>
            <w:r/>
            <w:r>
              <w:rPr>
                <w:rFonts w:ascii="SimSun" w:hAnsi="SimSun" w:eastAsia="SimSun"/>
                <w:b w:val="0"/>
                <w:sz w:val="20"/>
              </w:rPr>
              <w:t>报表中心</w:t>
            </w:r>
          </w:p>
        </w:tc>
        <w:tc>
          <w:tcPr>
            <w:tcW w:type="dxa" w:w="4873"/>
            <w:vAlign w:val="center"/>
          </w:tcPr>
          <w:p>
            <w:pPr>
              <w:spacing w:after="0"/>
            </w:pPr>
            <w:r/>
            <w:r>
              <w:rPr>
                <w:rFonts w:ascii="SimSun" w:hAnsi="SimSun" w:eastAsia="SimSun"/>
                <w:b w:val="0"/>
                <w:sz w:val="20"/>
              </w:rPr>
              <w:t>一键生成预测报告、承载力计算书、施工日志、异常报警清单和项目总结。</w:t>
            </w:r>
          </w:p>
        </w:tc>
      </w:tr>
      <w:tr>
        <w:tc>
          <w:tcPr>
            <w:tcW w:type="dxa" w:w="4873"/>
            <w:vAlign w:val="center"/>
          </w:tcPr>
          <w:p>
            <w:pPr>
              <w:spacing w:after="0"/>
            </w:pPr>
            <w:r/>
            <w:r>
              <w:rPr>
                <w:rFonts w:ascii="SimSun" w:hAnsi="SimSun" w:eastAsia="SimSun"/>
                <w:b w:val="0"/>
                <w:sz w:val="20"/>
              </w:rPr>
              <w:t>权限与审计</w:t>
            </w:r>
          </w:p>
        </w:tc>
        <w:tc>
          <w:tcPr>
            <w:tcW w:type="dxa" w:w="4873"/>
            <w:vAlign w:val="center"/>
          </w:tcPr>
          <w:p>
            <w:pPr>
              <w:spacing w:after="0"/>
            </w:pPr>
            <w:r/>
            <w:r>
              <w:rPr>
                <w:rFonts w:ascii="SimSun" w:hAnsi="SimSun" w:eastAsia="SimSun"/>
                <w:b w:val="0"/>
                <w:sz w:val="20"/>
              </w:rPr>
              <w:t>增加管理员、工程师、查看者等角色，记录每次导入、修改、计算和导出的操作。</w:t>
            </w:r>
          </w:p>
        </w:tc>
      </w:tr>
      <w:tr>
        <w:tc>
          <w:tcPr>
            <w:tcW w:type="dxa" w:w="4873"/>
            <w:vAlign w:val="center"/>
          </w:tcPr>
          <w:p>
            <w:pPr>
              <w:spacing w:after="0"/>
            </w:pPr>
            <w:r/>
            <w:r>
              <w:rPr>
                <w:rFonts w:ascii="SimSun" w:hAnsi="SimSun" w:eastAsia="SimSun"/>
                <w:b w:val="0"/>
                <w:sz w:val="20"/>
              </w:rPr>
              <w:t>图形交互增强</w:t>
            </w:r>
          </w:p>
        </w:tc>
        <w:tc>
          <w:tcPr>
            <w:tcW w:type="dxa" w:w="4873"/>
            <w:vAlign w:val="center"/>
          </w:tcPr>
          <w:p>
            <w:pPr>
              <w:spacing w:after="0"/>
            </w:pPr>
            <w:r/>
            <w:r>
              <w:rPr>
                <w:rFonts w:ascii="SimSun" w:hAnsi="SimSun" w:eastAsia="SimSun"/>
                <w:b w:val="0"/>
                <w:sz w:val="20"/>
              </w:rPr>
              <w:t>支持图层开关、桩体高亮、区域筛选、搜索定位、放大缩小、截图导出和视角保存。</w:t>
            </w:r>
          </w:p>
        </w:tc>
      </w:tr>
    </w:tbl>
    <w:p>
      <w:pPr>
        <w:pStyle w:val="Heading1"/>
      </w:pPr>
      <w:r>
        <w:t>五、推荐的系统升级路线</w:t>
      </w:r>
    </w:p>
    <w:p>
      <w:r>
        <w:t>建议采用分阶段改造，而不是一次性重写。较稳妥的路线如下：</w:t>
      </w:r>
    </w:p>
    <w:p>
      <w:pPr>
        <w:ind w:left="283" w:hanging="283"/>
      </w:pPr>
      <w:r>
        <w:t>• 第一阶段：修复现有 bug，拆分代码结构，抽离计算逻辑和绘图逻辑，保证现有功能稳定可用。</w:t>
      </w:r>
    </w:p>
    <w:p>
      <w:pPr>
        <w:ind w:left="283" w:hanging="283"/>
      </w:pPr>
      <w:r>
        <w:t>• 第二阶段：加入承载力计算模块、hover 提示、缓存机制、报表导出和项目管理。</w:t>
      </w:r>
    </w:p>
    <w:p>
      <w:pPr>
        <w:ind w:left="283" w:hanging="283"/>
      </w:pPr>
      <w:r>
        <w:t>• 第三阶段：将界面迁移到现代前端，后端改造成 API 服务，完成数据库化存储。</w:t>
      </w:r>
    </w:p>
    <w:p>
      <w:pPr>
        <w:ind w:left="283" w:hanging="283"/>
      </w:pPr>
      <w:r>
        <w:t>• 第四阶段：完成打包发布、安装器、自动更新、离线部署和用户权限体系，形成可交付产品。</w:t>
      </w:r>
    </w:p>
    <w:p>
      <w:pPr>
        <w:pStyle w:val="Heading1"/>
      </w:pPr>
      <w:r>
        <w:t>六、结论</w:t>
      </w:r>
    </w:p>
    <w:p>
      <w:r>
        <w:t>从工程价值看，这个软件已经具备很好的业务基础，下一步最重要的不是继续堆功能，而是先把“结构、性能、交互、部署”四件事做好。只要完成上述重构，它就能从一个单机脚本升级为真正具备产品形态的岩土工程应用软件。</w:t>
      </w:r>
    </w:p>
    <w:sectPr w:rsidR="00FC693F" w:rsidRPr="0006063C" w:rsidSect="00034616">
      <w:pgSz w:w="12240" w:h="15840"/>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