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RIBBON — Complete Project Binder</w:t>
      </w:r>
    </w:p>
    <w:p>
      <w:pPr>
        <w:pStyle w:val="Subtitle"/>
        <w:rPr/>
      </w:pPr>
      <w:r>
        <w:rPr/>
        <w:t>The table everyone fits · Rev H.1 · All project documents in one volume</w:t>
      </w:r>
    </w:p>
    <w:p>
      <w:pPr>
        <w:pStyle w:val="Date"/>
        <w:rPr/>
      </w:pPr>
      <w:r>
        <w:rPr/>
        <w:t>August 2026 · Confidential</w:t>
      </w:r>
    </w:p>
    <w:p>
      <w:pPr>
        <w:pStyle w:val="Heading1"/>
        <w:rPr/>
      </w:pPr>
      <w:r>
        <w:rPr/>
        <w:t>Contents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Vision (read this first)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Project Handoff Packet</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Alignment Audit &amp; Rev H.1 Consolidation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Naming System: Ribbon · Thread · Table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Build Specification (Rev H.1 current state, B1–B13)</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 Addendum (history: base · colorways · fold · Rev E/F)</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Shape Options (history: Ring &amp; Hex · fixed focal)</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Master PRD Set (PRD-01 – PRD-14)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Productionization Playbook (superseded in part — see banner)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Geographic Scale-Up Roadmap (superseded in part — see banner)</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Supplier Shortlist (re-score pending per PRD-12)</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Latch Decision Brief</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Freight RFQ Package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Pilot &amp; Ergonomic Validation Packet (incl. AEL/bay-yield)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AEL Family: Optional Seating (Rev H, ratified)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Pitch Deck Outline (reference; deck Design pass pending)</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 A</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Drawings (Rev H.1): Racetrack Run · Ring &amp; Hex Runs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 B</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RIBBON in Plain Words (9th-grade summary)</w:t>
            </w:r>
            <w:bookmarkStart w:id="0" w:name="contents"/>
            <w:bookmarkEnd w:id="0"/>
          </w:p>
        </w:tc>
      </w:tr>
    </w:tbl>
    <w:p>
      <w:pPr>
        <w:pStyle w:val="Heading1"/>
        <w:rPr/>
      </w:pPr>
      <w:bookmarkStart w:id="1" w:name="part-0-vision-read-this-first"/>
      <w:r>
        <w:rPr/>
        <w:t>Part 0 — Vision (read this first)</w:t>
      </w:r>
      <w:bookmarkEnd w:id="1"/>
    </w:p>
    <w:p>
      <w:pPr>
        <w:pStyle w:val="Heading1"/>
        <w:rPr/>
      </w:pPr>
      <w:bookmarkStart w:id="2" w:name="ribbon-vision-part-0"/>
      <w:r>
        <w:rPr/>
        <w:t>RIBBON — Vision (Part 0)</w:t>
      </w:r>
    </w:p>
    <w:p>
      <w:pPr>
        <w:pStyle w:val="Heading3"/>
        <w:rPr/>
      </w:pPr>
      <w:bookmarkStart w:id="3" w:name="X38fc987f1ea397920e1472a0b94f1f3bcfa145d"/>
      <w:r>
        <w:rPr/>
        <w:t>What we believe, what we’re betting, and where this goes</w:t>
      </w:r>
    </w:p>
    <w:p>
      <w:pPr>
        <w:pStyle w:val="FirstParagraph"/>
        <w:rPr/>
      </w:pPr>
      <w:r>
        <w:rPr>
          <w:b/>
          <w:bCs/>
        </w:rPr>
        <w:t>The thesis.</w:t>
      </w:r>
      <w:r>
        <w:rPr/>
        <w:t xml:space="preserve"> Every shared table forces one height, and chairs are the apology. We removed the apology. RIBBON is a system of ribbon segments — small tables at different heights — that splice into one flowing surface where a toddler, a tall adult, and a wheelchair user each have a place built for them. No chairs required. The wheelchair was our first chair; the accessible bays were drawn before anything else.</w:t>
      </w:r>
    </w:p>
    <w:p>
      <w:pPr>
        <w:pStyle w:val="BodyText"/>
        <w:rPr/>
      </w:pPr>
      <w:r>
        <w:rPr>
          <w:b/>
          <w:bCs/>
        </w:rPr>
        <w:t>The three bets.</w:t>
      </w:r>
      <w:r>
        <w:rPr/>
        <w:t xml:space="preserve"> This vision runs with the future on two fronts and consciously against it on one:</w:t>
      </w:r>
    </w:p>
    <w:p>
      <w:pPr>
        <w:pStyle w:val="Compact"/>
        <w:numPr>
          <w:ilvl w:val="0"/>
          <w:numId w:val="29"/>
        </w:numPr>
        <w:rPr/>
      </w:pPr>
      <w:r>
        <w:rPr>
          <w:b/>
          <w:bCs/>
        </w:rPr>
        <w:t>People will keep gathering.</w:t>
      </w:r>
      <w:r>
        <w:rPr/>
        <w:t xml:space="preserve"> Screens keep taking share of attention. We bet the response is better physical gathering, not less of it. This is our one contrarian bet, and we name it plainly.</w:t>
      </w:r>
    </w:p>
    <w:p>
      <w:pPr>
        <w:pStyle w:val="Compact"/>
        <w:numPr>
          <w:ilvl w:val="0"/>
          <w:numId w:val="1"/>
        </w:numPr>
        <w:rPr/>
      </w:pPr>
      <w:r>
        <w:rPr>
          <w:b/>
          <w:bCs/>
        </w:rPr>
        <w:t>Inclusion becomes the spec.</w:t>
      </w:r>
      <w:r>
        <w:rPr/>
        <w:t xml:space="preserve"> Aging populations, accessibility law, and institutional procurement are all moving one direction. Spaces will be judged by who they include. We are early to a future already visible in purchase orders.</w:t>
      </w:r>
    </w:p>
    <w:p>
      <w:pPr>
        <w:pStyle w:val="Compact"/>
        <w:numPr>
          <w:ilvl w:val="0"/>
          <w:numId w:val="1"/>
        </w:numPr>
        <w:rPr/>
      </w:pPr>
      <w:r>
        <w:rPr>
          <w:b/>
          <w:bCs/>
        </w:rPr>
        <w:t>Furniture becomes a system.</w:t>
      </w:r>
      <w:r>
        <w:rPr/>
        <w:t xml:space="preserve"> Configured, not picked from a catalog. Shipped as parts, not crates of air. Repaired one segment at a time, grown three segments at a time. Our architecture is this future; it isn’t bolted on.</w:t>
      </w:r>
    </w:p>
    <w:p>
      <w:pPr>
        <w:pStyle w:val="FirstParagraph"/>
        <w:rPr/>
      </w:pPr>
      <w:r>
        <w:rPr>
          <w:b/>
          <w:bCs/>
        </w:rPr>
        <w:t>How it works, in one paragraph.</w:t>
      </w:r>
      <w:r>
        <w:rPr/>
        <w:t xml:space="preserve"> A buyer composes a Run in our configurator — Racetrack, Hex, or Ring — choosing heights, colors, and the Knot: the fixed focal segment that carries the power, water, and identity of the whole table. The order file drives the shop floor directly. Segments ship as stackable freight at a fraction of the old cost of moving big furniture. On site, segments splice with child-safe, misdock-proof latches; seam pieces make the joints read as one surface. Optional AEL seating nests underneath and always yields. Every part is serialized. Every table is complete with zero chairs.</w:t>
      </w:r>
    </w:p>
    <w:p>
      <w:pPr>
        <w:pStyle w:val="BodyText"/>
        <w:rPr/>
      </w:pPr>
      <w:r>
        <w:rPr>
          <w:b/>
          <w:bCs/>
        </w:rPr>
        <w:t>Near state (3–5 years).</w:t>
      </w:r>
      <w:r>
        <w:rPr/>
        <w:t xml:space="preserve"> A system company, not a furniture company. One central plant and regional assembly partners — our own cost model says centralize, so we do. Revenue in three layers: Runs, then attach (inserts, AEL packs, colorways), then circular (segment replacement, takeback, upgrades) — one-time buyers become lifetime accounts. Pilot data closes institutional sales: utilization maps and bay-yield audits, not brochures. Schools buy Hex clusters by the room.</w:t>
      </w:r>
    </w:p>
    <w:p>
      <w:pPr>
        <w:pStyle w:val="BodyText"/>
        <w:rPr/>
      </w:pPr>
      <w:r>
        <w:rPr>
          <w:b/>
          <w:bCs/>
        </w:rPr>
        <w:t>Far state.</w:t>
      </w:r>
      <w:r>
        <w:rPr/>
        <w:t xml:space="preserve"> The splice becomes a protocol. We publish the interface; other makers build to it; our B-series certification is the trust layer. Rooms get composed, not furnished. The Knot grows into the room’s service spine. The anonymized usage data becomes the first real record of how mixed-age, mixed-ability groups share surfaces — and feeds back into architecture itself. The lexicon completes: </w:t>
      </w:r>
      <w:r>
        <w:rPr>
          <w:b/>
          <w:bCs/>
        </w:rPr>
        <w:t>thread</w:t>
      </w:r>
      <w:r>
        <w:rPr/>
        <w:t xml:space="preserve"> is the invisible protocol, </w:t>
      </w:r>
      <w:r>
        <w:rPr>
          <w:b/>
          <w:bCs/>
        </w:rPr>
        <w:t>ribbon</w:t>
      </w:r>
      <w:r>
        <w:rPr/>
        <w:t xml:space="preserve"> is the composable surface, </w:t>
      </w:r>
      <w:r>
        <w:rPr>
          <w:b/>
          <w:bCs/>
        </w:rPr>
        <w:t>table</w:t>
      </w:r>
      <w:r>
        <w:rPr/>
        <w:t xml:space="preserve"> is the human outcome — the gravity well a room orbits.</w:t>
      </w:r>
    </w:p>
    <w:p>
      <w:pPr>
        <w:pStyle w:val="BodyText"/>
        <w:rPr/>
      </w:pPr>
      <w:r>
        <w:rPr>
          <w:b/>
          <w:bCs/>
        </w:rPr>
        <w:t>The inversion.</w:t>
      </w:r>
      <w:r>
        <w:rPr/>
        <w:t xml:space="preserve"> We started by taking the chairs away from a table. We end by redefining the table: not an object at one height, but an agreement that everyone present gets a place at theirs.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bookmarkStart w:id="4" w:name="ribbon-vision-part-0"/>
      <w:bookmarkStart w:id="5" w:name="X38fc987f1ea397920e1472a0b94f1f3bcfa145d"/>
      <w:r>
        <w:rPr>
          <w:i/>
          <w:iCs/>
        </w:rPr>
        <w:t>Numbers, risks, and requirements live in the parts behind this page. This page is the reason they exist.</w:t>
      </w:r>
      <w:bookmarkEnd w:id="4"/>
      <w:bookmarkEnd w:id="5"/>
    </w:p>
    <w:p>
      <w:pPr>
        <w:pStyle w:val="Heading1"/>
        <w:rPr/>
      </w:pPr>
      <w:bookmarkStart w:id="6" w:name="part-1-project-handoff-packet"/>
      <w:r>
        <w:rPr/>
        <w:t>Part 1 — Project Handoff Packet</w:t>
      </w:r>
      <w:bookmarkEnd w:id="6"/>
    </w:p>
    <w:p>
      <w:pPr>
        <w:pStyle w:val="Heading1"/>
        <w:rPr/>
      </w:pPr>
      <w:bookmarkStart w:id="7" w:name="ribbon-project-handoff-packet"/>
      <w:r>
        <w:rPr/>
        <w:t>RIBBON — Project Handoff Packet</w:t>
      </w:r>
    </w:p>
    <w:p>
      <w:pPr>
        <w:pStyle w:val="Heading3"/>
        <w:rPr/>
      </w:pPr>
      <w:bookmarkStart w:id="8" w:name="Xa17c10183b82db874298dbd7828b2976c8529e3"/>
      <w:r>
        <w:rPr/>
        <w:t>For continuing in Claude Cowork (do the work) and Claude Design (make the visuals)</w:t>
      </w:r>
    </w:p>
    <w:p>
      <w:pPr>
        <w:pStyle w:val="FirstParagraph"/>
        <w:rPr/>
      </w:pPr>
      <w:r>
        <w:rPr/>
        <w:t xml:space="preserve">This packet is the source-of-truth brief. Drop it and the files below into one project folder. Because </w:t>
      </w:r>
      <w:r>
        <w:rPr>
          <w:b/>
          <w:bCs/>
        </w:rPr>
        <w:t>Cowork starts each session fresh (no cross-session memory)</w:t>
      </w:r>
      <w:r>
        <w:rPr/>
        <w:t>, re-share this packet at the start of each Cowork session to re-orient it instantly.</w:t>
      </w:r>
    </w:p>
    <w:p>
      <w:pPr>
        <w:pStyle w:val="Normal"/>
        <w:rPr/>
      </w:pPr>
      <w:bookmarkStart w:id="9" w:name="Xa17c10183b82db874298dbd7828b2976c8529e3"/>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rPr/>
      </w:pPr>
      <w:r>
        <w:rPr/>
        <w:t>1 · Artifact inventory (download all into one folder)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File</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is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multi-height-table-plan-view.svg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Labeled plan view — 14 positions, assigned heights, base, dimensions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multi-height-table-build-spec.md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One-page build spec — real dimensions, materials, tolerances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multi-height-table-productionization-playbook.md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Phased roadmap + make/buy/print matrix + centralize-vs-distribute brief</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multi-height-table-geographic-scaleup-roadmap.md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West → East → National → Global manufacturing/distribution roadmap</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RIBBON-business-plan.docx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.pdf</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consolidated investor-ready plan (embeds the drawing)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RIBBON-design-addendum.md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 C: base requirements B1–B10, colorway system, RIBBON One/Fold variants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RIBBON-master-PRD-set.md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 F: PRDs for every part (PRD-01–09) + strategic PRDs (PRD-10–13)</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RIBBON-alignment-audit.md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 H.1 audit + consolidation record: items 1–4 executed; deck/one-pager + supplier re-score remain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RIBBON-seating-concept.md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 H (ratified): AEL family — optional level-matched seating, bay-yield laws, PRD-14</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RIBBON-lexicon.md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 G.1 naming system: ribbon = making, table = gravity; two co-equal brand words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RIBBON-latch-decision-brief.md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Latch make-vs-buy decision: HYBRID recommended (Southco core + custom funnel/keying) — unblocks Phase 0 BOM</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RIBBON-freight-RFQ-package.md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Stacked-LTL RFQ with density math (class ~85 vs monolith ~400) + lanes A–H — send to brokers for real quotes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RIBBON-shape-options-addendum.md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RIBBON-shape-options-plan-view.svg</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 D: Ring &amp; Hex geometries, trade-offs, tessellation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RIBBON-pitch-deck.pptx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RIBBON-product-one-pager.html</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Deck (13 slides, incl. variants/colorways) and one-pager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RIBBON-crossover-model.xlsx</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Live model — now with Fold premium &amp; freight-reduction levers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RIBBON-supplier-shortlist.md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RIBBON-pilot-validation-packet.md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Sourcing candidates and pilot protocol (incl. fold-cycle tests)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RIBBON-handoff-packet.md</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file</w:t>
            </w:r>
            <w:bookmarkStart w:id="10" w:name="X559176f8fbc4e9ad7392c23710935c6a383b4e0"/>
            <w:bookmarkEnd w:id="10"/>
          </w:p>
        </w:tc>
      </w:tr>
    </w:tbl>
    <w:p>
      <w:pPr>
        <w:pStyle w:val="Heading2"/>
        <w:rPr/>
      </w:pPr>
      <w:r>
        <w:rPr/>
        <w:t>2 · Continue in Claude Cowork (the doing)</w:t>
      </w:r>
    </w:p>
    <w:p>
      <w:pPr>
        <w:pStyle w:val="FirstParagraph"/>
        <w:rPr/>
      </w:pPr>
      <w:r>
        <w:rPr/>
        <w:t xml:space="preserve">Cowork is the agentic tab in the Claude desktop app: point it at this folder, describe a goal, it plans → executes → reports on your local files. Suggested workstreams: - </w:t>
      </w:r>
      <w:r>
        <w:rPr>
          <w:b/>
          <w:bCs/>
        </w:rPr>
        <w:t>Editable financial + crossover model (xlsx):</w:t>
      </w:r>
      <w:r>
        <w:rPr/>
        <w:t xml:space="preserve"> flex volume, ASP, labor rate, and freight to find the real </w:t>
      </w:r>
      <w:r>
        <w:rPr>
          <w:i/>
          <w:iCs/>
        </w:rPr>
        <w:t>centralize-vs-distribute</w:t>
      </w:r>
      <w:r>
        <w:rPr/>
        <w:t xml:space="preserve"> and </w:t>
      </w:r>
      <w:r>
        <w:rPr>
          <w:i/>
          <w:iCs/>
        </w:rPr>
        <w:t>open-a-node</w:t>
      </w:r>
      <w:r>
        <w:rPr/>
        <w:t xml:space="preserve"> break-even per region. - </w:t>
      </w:r>
      <w:r>
        <w:rPr>
          <w:b/>
          <w:bCs/>
        </w:rPr>
        <w:t>Supplier shortlist:</w:t>
      </w:r>
      <w:r>
        <w:rPr/>
        <w:t xml:space="preserve"> West (SoCal solid-surface + metal fab) and East (NC Piedmont / Atlanta) finishing nodes, plus a Midwest parts hub — with contacts, capacity, lead times. - </w:t>
      </w:r>
      <w:r>
        <w:rPr>
          <w:b/>
          <w:bCs/>
        </w:rPr>
        <w:t>Financials refresh:</w:t>
      </w:r>
      <w:r>
        <w:rPr/>
        <w:t xml:space="preserve"> replace the illustrative ranges in the business plan with your real ASP, volumes, and confirmed region. - </w:t>
      </w:r>
      <w:r>
        <w:rPr>
          <w:b/>
          <w:bCs/>
        </w:rPr>
        <w:t>Pilot outreach:</w:t>
      </w:r>
      <w:r>
        <w:rPr/>
        <w:t xml:space="preserve"> draft target lists and intro messages for the 3–5 lighthouse sites (school, museum/library, family restaurant, coworking/senior-living). - </w:t>
      </w:r>
      <w:r>
        <w:rPr>
          <w:b/>
          <w:bCs/>
        </w:rPr>
        <w:t>Assemble appendices:</w:t>
      </w:r>
      <w:r>
        <w:rPr/>
        <w:t xml:space="preserve"> fold the spec, playbook, and geographic roadmap into the business plan as formatted appendices.</w:t>
      </w:r>
    </w:p>
    <w:p>
      <w:pPr>
        <w:pStyle w:val="Heading2"/>
        <w:rPr/>
      </w:pPr>
      <w:bookmarkStart w:id="11" w:name="continue-in-claude-design-the-visuals"/>
      <w:r>
        <w:rPr/>
        <w:t>3 · Continue in Claude Design (the visuals)</w:t>
      </w:r>
    </w:p>
    <w:p>
      <w:pPr>
        <w:pStyle w:val="FirstParagraph"/>
        <w:rPr/>
      </w:pPr>
      <w:r>
        <w:rPr/>
        <w:t xml:space="preserve">Claude Design (claude.ai/design) is a conversational canvas for decks, one-pagers, prototypes, and mockups; export to PPTX/PDF/Canva or hand off to Claude Code. Feed it the business plan + roadmaps and generate: - </w:t>
      </w:r>
      <w:r>
        <w:rPr>
          <w:b/>
          <w:bCs/>
        </w:rPr>
        <w:t>Pitch deck (10–12 slides)</w:t>
      </w:r>
      <w:r>
        <w:rPr/>
        <w:t xml:space="preserve"> from the business plan — export to PPTX/Canva. - </w:t>
      </w:r>
      <w:r>
        <w:rPr>
          <w:b/>
          <w:bCs/>
        </w:rPr>
        <w:t>Product one-pager</w:t>
      </w:r>
      <w:r>
        <w:rPr/>
        <w:t xml:space="preserve"> — the wave table, three modes, accessibility story. - </w:t>
      </w:r>
      <w:r>
        <w:rPr>
          <w:b/>
          <w:bCs/>
        </w:rPr>
        <w:t>Configurator UI mockup</w:t>
      </w:r>
      <w:r>
        <w:rPr/>
        <w:t xml:space="preserve"> — height-mix + insert picker; optionally hand off to Claude Code to build a working prototype. - </w:t>
      </w:r>
      <w:r>
        <w:rPr>
          <w:b/>
          <w:bCs/>
        </w:rPr>
        <w:t>Elevation/section visual</w:t>
      </w:r>
      <w:r>
        <w:rPr/>
        <w:t xml:space="preserve"> of the wave profile to complement the plan view.</w:t>
      </w:r>
      <w:bookmarkEnd w:id="11"/>
    </w:p>
    <w:p>
      <w:pPr>
        <w:pStyle w:val="Heading2"/>
        <w:rPr/>
      </w:pPr>
      <w:bookmarkStart w:id="12" w:name="open-decisions-need-your-input"/>
      <w:r>
        <w:rPr/>
        <w:t>4 · Open decisions (need your input)</w:t>
      </w:r>
    </w:p>
    <w:p>
      <w:pPr>
        <w:pStyle w:val="Compact"/>
        <w:numPr>
          <w:ilvl w:val="0"/>
          <w:numId w:val="2"/>
        </w:numPr>
        <w:rPr/>
      </w:pPr>
      <w:r>
        <w:rPr/>
        <w:t xml:space="preserve">Company </w:t>
      </w:r>
      <w:r>
        <w:rPr>
          <w:b/>
          <w:bCs/>
        </w:rPr>
        <w:t>name</w:t>
      </w:r>
      <w:r>
        <w:rPr/>
        <w:t xml:space="preserve"> (“RIBBON” is a placeholder).</w:t>
      </w:r>
    </w:p>
    <w:p>
      <w:pPr>
        <w:pStyle w:val="Compact"/>
        <w:numPr>
          <w:ilvl w:val="0"/>
          <w:numId w:val="2"/>
        </w:numPr>
        <w:rPr/>
      </w:pPr>
      <w:r>
        <w:rPr>
          <w:b/>
          <w:bCs/>
        </w:rPr>
        <w:t>Variant mix</w:t>
      </w:r>
      <w:r>
        <w:rPr/>
        <w:t xml:space="preserve"> for pilots — how many One vs. Fold units; which colorways to stock as launch standard.</w:t>
      </w:r>
    </w:p>
    <w:p>
      <w:pPr>
        <w:pStyle w:val="Compact"/>
        <w:numPr>
          <w:ilvl w:val="0"/>
          <w:numId w:val="2"/>
        </w:numPr>
        <w:rPr/>
      </w:pPr>
      <w:r>
        <w:rPr>
          <w:b/>
          <w:bCs/>
        </w:rPr>
        <w:t>Shape sequencing</w:t>
      </w:r>
      <w:r>
        <w:rPr/>
        <w:t xml:space="preserve"> — confirm Racetrack-first, Hex in Phase 1–2 (education cluster pilot), Ring at Phase 2+.</w:t>
      </w:r>
    </w:p>
    <w:p>
      <w:pPr>
        <w:pStyle w:val="Compact"/>
        <w:numPr>
          <w:ilvl w:val="0"/>
          <w:numId w:val="2"/>
        </w:numPr>
        <w:rPr/>
      </w:pPr>
      <w:r>
        <w:rPr>
          <w:b/>
          <w:bCs/>
        </w:rPr>
        <w:t>Rev E/F status</w:t>
      </w:r>
      <w:r>
        <w:rPr/>
        <w:t xml:space="preserve"> — Ribbon Segment architecture (Level-as-Ribbon) ratified as the entire design &amp; manufacturing sequence (per founder). Formally close monolith retirement in PRD-10; deck slides 3–6 still need a Design pass to reflect the docked architecture and transition caps.</w:t>
      </w:r>
    </w:p>
    <w:p>
      <w:pPr>
        <w:pStyle w:val="Compact"/>
        <w:numPr>
          <w:ilvl w:val="0"/>
          <w:numId w:val="2"/>
        </w:numPr>
        <w:rPr/>
      </w:pPr>
      <w:r>
        <w:rPr>
          <w:b/>
          <w:bCs/>
        </w:rPr>
        <w:t>Focal-section types (all shapes)</w:t>
      </w:r>
      <w:r>
        <w:rPr/>
        <w:t xml:space="preserve"> — every shape now has a fixed focal section typed at order (Planted/Service/Ice/Solid); confirm which two to offer at launch, and the Racetrack’s focal default.</w:t>
      </w:r>
    </w:p>
    <w:p>
      <w:pPr>
        <w:pStyle w:val="Compact"/>
        <w:numPr>
          <w:ilvl w:val="0"/>
          <w:numId w:val="2"/>
        </w:numPr>
        <w:rPr/>
      </w:pPr>
      <w:r>
        <w:rPr/>
        <w:t xml:space="preserve">Confirmed </w:t>
      </w:r>
      <w:r>
        <w:rPr>
          <w:b/>
          <w:bCs/>
        </w:rPr>
        <w:t>initial region</w:t>
      </w:r>
      <w:r>
        <w:rPr/>
        <w:t xml:space="preserve"> (assumed SoCal / US West).</w:t>
      </w:r>
    </w:p>
    <w:p>
      <w:pPr>
        <w:pStyle w:val="Compact"/>
        <w:numPr>
          <w:ilvl w:val="0"/>
          <w:numId w:val="2"/>
        </w:numPr>
        <w:rPr/>
      </w:pPr>
      <w:r>
        <w:rPr>
          <w:b/>
          <w:bCs/>
        </w:rPr>
        <w:t>ASP + margin</w:t>
      </w:r>
      <w:r>
        <w:rPr/>
        <w:t xml:space="preserve"> targets (model uses ~$7,500 blended).</w:t>
      </w:r>
    </w:p>
    <w:p>
      <w:pPr>
        <w:pStyle w:val="Compact"/>
        <w:numPr>
          <w:ilvl w:val="0"/>
          <w:numId w:val="2"/>
        </w:numPr>
        <w:rPr/>
      </w:pPr>
      <w:r>
        <w:rPr>
          <w:b/>
          <w:bCs/>
        </w:rPr>
        <w:t>East node city</w:t>
      </w:r>
      <w:r>
        <w:rPr/>
        <w:t xml:space="preserve"> — NC Piedmont vs. Atlanta.</w:t>
      </w:r>
    </w:p>
    <w:p>
      <w:pPr>
        <w:pStyle w:val="Compact"/>
        <w:numPr>
          <w:ilvl w:val="0"/>
          <w:numId w:val="2"/>
        </w:numPr>
        <w:rPr/>
      </w:pPr>
      <w:r>
        <w:rPr>
          <w:b/>
          <w:bCs/>
        </w:rPr>
        <w:t>Own vs. license</w:t>
      </w:r>
      <w:r>
        <w:rPr/>
        <w:t xml:space="preserve"> node strategy at the national/global stages.</w:t>
      </w:r>
    </w:p>
    <w:p>
      <w:pPr>
        <w:pStyle w:val="Compact"/>
        <w:numPr>
          <w:ilvl w:val="0"/>
          <w:numId w:val="2"/>
        </w:numPr>
        <w:rPr/>
      </w:pPr>
      <w:r>
        <w:rPr>
          <w:b/>
          <w:bCs/>
        </w:rPr>
        <w:t>Funding path</w:t>
      </w:r>
      <w:r>
        <w:rPr/>
        <w:t xml:space="preserve"> — bootstrap pilots vs. the $1.75M seed.</w:t>
      </w:r>
      <w:bookmarkEnd w:id="12"/>
    </w:p>
    <w:p>
      <w:pPr>
        <w:pStyle w:val="Heading2"/>
        <w:rPr/>
      </w:pPr>
      <w:bookmarkStart w:id="13" w:name="assumptions-to-validate-softest-first"/>
      <w:r>
        <w:rPr/>
        <w:t>5 · Assumptions to validate (softest first)</w:t>
      </w:r>
    </w:p>
    <w:p>
      <w:pPr>
        <w:pStyle w:val="Compact"/>
        <w:numPr>
          <w:ilvl w:val="0"/>
          <w:numId w:val="30"/>
        </w:numPr>
        <w:rPr/>
      </w:pPr>
      <w:r>
        <w:rPr>
          <w:b/>
          <w:bCs/>
        </w:rPr>
        <w:t>Freight per unit</w:t>
      </w:r>
      <w:r>
        <w:rPr/>
        <w:t xml:space="preserve"> — RFQ package ready; quote lanes A–H + reverse/hub lanes, log into the model’s Freight Quotes sheet. Placeholder math says regional ~$44 vs long-haul ~$103 per table — a far smaller gap than the monolith era, strengthening centralization.</w:t>
      </w:r>
    </w:p>
    <w:p>
      <w:pPr>
        <w:pStyle w:val="Compact"/>
        <w:numPr>
          <w:ilvl w:val="0"/>
          <w:numId w:val="31"/>
        </w:numPr>
        <w:rPr/>
      </w:pPr>
      <w:r>
        <w:rPr>
          <w:b/>
          <w:bCs/>
        </w:rPr>
        <w:t>LFAM cost/maturity</w:t>
      </w:r>
      <w:r>
        <w:rPr/>
        <w:t xml:space="preserve"> for solid-surface-grade tops (Phase 3 / node print rollout).</w:t>
      </w:r>
    </w:p>
    <w:p>
      <w:pPr>
        <w:pStyle w:val="Compact"/>
        <w:numPr>
          <w:ilvl w:val="0"/>
          <w:numId w:val="32"/>
        </w:numPr>
        <w:rPr/>
      </w:pPr>
      <w:r>
        <w:rPr>
          <w:b/>
          <w:bCs/>
        </w:rPr>
        <w:t>Market TAM/SAM/SOM</w:t>
      </w:r>
      <w:r>
        <w:rPr/>
        <w:t xml:space="preserve"> (illustrative ranges from mixed sources).</w:t>
      </w:r>
    </w:p>
    <w:p>
      <w:pPr>
        <w:pStyle w:val="Compact"/>
        <w:numPr>
          <w:ilvl w:val="0"/>
          <w:numId w:val="33"/>
        </w:numPr>
        <w:rPr/>
      </w:pPr>
      <w:r>
        <w:rPr>
          <w:b/>
          <w:bCs/>
        </w:rPr>
        <w:t>Unit-cost ROM</w:t>
      </w:r>
      <w:r>
        <w:rPr/>
        <w:t xml:space="preserve"> per phase (±30%).</w:t>
      </w:r>
      <w:bookmarkEnd w:id="13"/>
    </w:p>
    <w:p>
      <w:pPr>
        <w:pStyle w:val="Heading2"/>
        <w:rPr/>
      </w:pPr>
      <w:bookmarkStart w:id="14" w:name="suggested-next-steps-priority-order"/>
      <w:r>
        <w:rPr/>
        <w:t>6 · Suggested next steps (priority order)</w:t>
      </w:r>
    </w:p>
    <w:p>
      <w:pPr>
        <w:pStyle w:val="Compact"/>
        <w:numPr>
          <w:ilvl w:val="0"/>
          <w:numId w:val="34"/>
        </w:numPr>
        <w:rPr/>
      </w:pPr>
      <w:r>
        <w:rPr/>
        <w:t xml:space="preserve">In </w:t>
      </w:r>
      <w:r>
        <w:rPr>
          <w:b/>
          <w:bCs/>
        </w:rPr>
        <w:t>Cowork:</w:t>
      </w:r>
      <w:r>
        <w:rPr/>
        <w:t xml:space="preserve"> build the xlsx crossover model and the West/East supplier shortlist.</w:t>
      </w:r>
    </w:p>
    <w:p>
      <w:pPr>
        <w:pStyle w:val="Compact"/>
        <w:numPr>
          <w:ilvl w:val="0"/>
          <w:numId w:val="35"/>
        </w:numPr>
        <w:rPr/>
      </w:pPr>
      <w:r>
        <w:rPr/>
        <w:t xml:space="preserve">In </w:t>
      </w:r>
      <w:r>
        <w:rPr>
          <w:b/>
          <w:bCs/>
        </w:rPr>
        <w:t>Design:</w:t>
      </w:r>
      <w:r>
        <w:rPr/>
        <w:t xml:space="preserve"> generate the pitch deck + product one-pager.</w:t>
      </w:r>
    </w:p>
    <w:p>
      <w:pPr>
        <w:pStyle w:val="Compact"/>
        <w:numPr>
          <w:ilvl w:val="0"/>
          <w:numId w:val="36"/>
        </w:numPr>
        <w:rPr/>
      </w:pPr>
      <w:r>
        <w:rPr/>
        <w:t xml:space="preserve">Lock the </w:t>
      </w:r>
      <w:r>
        <w:rPr>
          <w:b/>
          <w:bCs/>
        </w:rPr>
        <w:t>open decisions</w:t>
      </w:r>
      <w:r>
        <w:rPr/>
        <w:t xml:space="preserve"> above, then refresh the business-plan financials.</w:t>
      </w:r>
    </w:p>
    <w:p>
      <w:pPr>
        <w:pStyle w:val="Compact"/>
        <w:numPr>
          <w:ilvl w:val="0"/>
          <w:numId w:val="37"/>
        </w:numPr>
        <w:rPr/>
      </w:pPr>
      <w:r>
        <w:rPr/>
        <w:t xml:space="preserve">Line up the first </w:t>
      </w:r>
      <w:r>
        <w:rPr>
          <w:b/>
          <w:bCs/>
        </w:rPr>
        <w:t>pilot site</w:t>
      </w:r>
      <w:r>
        <w:rPr/>
        <w:t xml:space="preserve"> to convert research into a real ergonomic validation.</w:t>
      </w:r>
      <w:bookmarkEnd w:id="7"/>
      <w:bookmarkEnd w:id="14"/>
    </w:p>
    <w:p>
      <w:pPr>
        <w:pStyle w:val="Heading1"/>
        <w:rPr/>
      </w:pPr>
      <w:bookmarkStart w:id="15" w:name="X61a15cb9ca9d0b7e7a770af2e299bc39d5031e1"/>
      <w:r>
        <w:rPr/>
        <w:t>Part 2 — Alignment Audit &amp; Rev H.1 Consolidation</w:t>
      </w:r>
      <w:bookmarkEnd w:id="15"/>
    </w:p>
    <w:p>
      <w:pPr>
        <w:pStyle w:val="Heading1"/>
        <w:rPr/>
      </w:pPr>
      <w:bookmarkStart w:id="16" w:name="ribbon-alignment-audit-rev-h"/>
      <w:r>
        <w:rPr/>
        <w:t>RIBBON — Alignment Audit (Rev H)</w:t>
      </w:r>
    </w:p>
    <w:p>
      <w:pPr>
        <w:pStyle w:val="Heading3"/>
        <w:rPr/>
      </w:pPr>
      <w:bookmarkStart w:id="17" w:name="X3d2c2442174b4febfb6af8a38c2a61d3712b5db"/>
      <w:r>
        <w:rPr/>
        <w:t>Question: is the project aligned top to bottom? Answer: conceptually yes, documentarily no.</w:t>
      </w:r>
    </w:p>
    <w:p>
      <w:pPr>
        <w:pStyle w:val="FirstParagraph"/>
        <w:rPr/>
      </w:pPr>
      <w:bookmarkStart w:id="18" w:name="X3d2c2442174b4febfb6af8a38c2a61d3712b5db"/>
      <w:r>
        <w:rPr/>
        <w:t>The decision trail is coherent — every pivot (A→H) consciously superseded what came before, with flags. But several artifacts still speak for dead revisions, and one core economic definition went undefined at Rev E.</w:t>
      </w:r>
      <w:bookmarkEnd w:id="18"/>
    </w:p>
    <w:p>
      <w:pPr>
        <w:pStyle w:val="Heading2"/>
        <w:rPr/>
      </w:pPr>
      <w:bookmarkStart w:id="19" w:name="current-and-clean-no-action"/>
      <w:r>
        <w:rPr/>
        <w:t>Current and clean (no action)</w:t>
      </w:r>
    </w:p>
    <w:p>
      <w:pPr>
        <w:pStyle w:val="FirstParagraph"/>
        <w:rPr/>
      </w:pPr>
      <w:bookmarkStart w:id="20" w:name="current-and-clean-no-action"/>
      <w:r>
        <w:rPr/>
        <w:t>Lexicon · Master PRD Set (01–14) · Handoff packet · Latch decision brief · Freight RFQ · Pilot protocol (incl. AEL/bay-yield) · AEL system · Plain-words summary · B-series chain B1–B13.</w:t>
      </w:r>
      <w:bookmarkEnd w:id="20"/>
    </w:p>
    <w:p>
      <w:pPr>
        <w:pStyle w:val="Heading2"/>
        <w:rPr/>
      </w:pPr>
      <w:r>
        <w:rPr/>
        <w:t>Misalignments (ranked by damage)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Artifact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Problem</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Fix</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Economics unit basis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ASP $7,500 and cost inputs were per-monolith; Rev E made the sellable thing a Run of ~8–11 ribbons + Knot + seam pieces. Basis never redefined — every financial number is currently ambiguous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Define: costs </w:t>
            </w:r>
            <w:r>
              <w:rPr>
                <w:rFonts w:eastAsia="Cambria" w:cs=""/>
                <w:b/>
                <w:bCs/>
                <w:kern w:val="0"/>
                <w:sz w:val="24"/>
                <w:szCs w:val="24"/>
                <w:lang w:val="en-US" w:eastAsia="en-US" w:bidi="ar-SA"/>
              </w:rPr>
              <w:t>per ribbon segment</w:t>
            </w:r>
            <w:r>
              <w:rPr>
                <w:rFonts w:eastAsia="Cambria" w:cs=""/>
                <w:kern w:val="0"/>
                <w:sz w:val="24"/>
                <w:szCs w:val="24"/>
                <w:lang w:val="en-US" w:eastAsia="en-US" w:bidi="ar-SA"/>
              </w:rPr>
              <w:t xml:space="preserve">, pricing </w:t>
            </w:r>
            <w:r>
              <w:rPr>
                <w:rFonts w:eastAsia="Cambria" w:cs=""/>
                <w:b/>
                <w:bCs/>
                <w:kern w:val="0"/>
                <w:sz w:val="24"/>
                <w:szCs w:val="24"/>
                <w:lang w:val="en-US" w:eastAsia="en-US" w:bidi="ar-SA"/>
              </w:rPr>
              <w:t>per Run</w:t>
            </w:r>
            <w:r>
              <w:rPr>
                <w:rFonts w:eastAsia="Cambria" w:cs=""/>
                <w:kern w:val="0"/>
                <w:sz w:val="24"/>
                <w:szCs w:val="24"/>
                <w:lang w:val="en-US" w:eastAsia="en-US" w:bidi="ar-SA"/>
              </w:rPr>
              <w:t>; restate model + plan financials on that basis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Business plan §3 (product)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Still describes seamless monolith, pedestals, tri-fold — contradicted by later Rev E–H paragraphs in the same document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Rewrite §3 as current-state (ribbon segments, splicing, seam pieces, Knot, AEL); move superseded text to a change-history appendix</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Build spec base text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Monolith spec with amending appendices; Rev-D.1 mast contradicts base “two pedestals”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Rewrite as a clean Rev H current-state spec; keep rev appendices as history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Binder Parts 7–8 vs Part 11/PRD-12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Playbook + geographic roadmap recommend distributed microfactories; Rev E freight math strengthens centralization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SUPERSEDED banners + pointers to PRD-12; full rewrite after real freight quotes land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Deck slides 3–6 + one-pager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Still sell the seamless wave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Rebuild in the pending Design pass with ribbon-segment architecture and AEL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Both plan-view drawings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Depict monolithic construction (pedestal feet, continuous trough)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Redraw as spliced segments with seam pieces and Knot; keep heights/positions (still correct)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Supplier shortlist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Scored for thermoform competence; Rev E needs flat-top CNC + latch + cap molding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Re-score per PRD-12 P0 (already logged as debt)</w:t>
            </w:r>
            <w:bookmarkStart w:id="21" w:name="misalignments-ranked-by-damage"/>
            <w:bookmarkEnd w:id="21"/>
          </w:p>
        </w:tc>
      </w:tr>
    </w:tbl>
    <w:p>
      <w:pPr>
        <w:pStyle w:val="Heading2"/>
        <w:rPr/>
      </w:pPr>
      <w:r>
        <w:rPr/>
        <w:t>Consolidation status — Rev H.1 EXECUTED</w:t>
      </w:r>
    </w:p>
    <w:p>
      <w:pPr>
        <w:pStyle w:val="FirstParagraph"/>
        <w:rPr/>
      </w:pPr>
      <w:r>
        <w:rPr>
          <w:b/>
          <w:bCs/>
        </w:rPr>
        <w:t>Done:</w:t>
      </w:r>
      <w:r>
        <w:rPr/>
        <w:t xml:space="preserve"> (1) unit basis defined — costs per segment, pricing per Run; model rebuilt and plan financials restated. (2) Plan §3 rewritten current-state; ops section carries a supersession note. (3) Build spec rewritten as Rev H.1 current state with history appendix. (4) Playbook + geographic roadmap bannered; both drawings redrawn as spliced segments with seam pieces and the Knot. </w:t>
      </w:r>
      <w:r>
        <w:rPr>
          <w:b/>
          <w:bCs/>
        </w:rPr>
        <w:t>Remaining:</w:t>
      </w:r>
      <w:r>
        <w:rPr/>
        <w:t xml:space="preserve"> (5) deck + one-pager Design pass; (6) supplier re-score after freight quotes.</w:t>
      </w:r>
    </w:p>
    <w:p>
      <w:pPr>
        <w:pStyle w:val="Heading2"/>
        <w:rPr/>
      </w:pPr>
      <w:bookmarkStart w:id="22" w:name="original-consolidation-plan-rev-h.1"/>
      <w:r>
        <w:rPr/>
        <w:t>Original consolidation plan — Rev H.1</w:t>
      </w:r>
    </w:p>
    <w:p>
      <w:pPr>
        <w:pStyle w:val="FirstParagraph"/>
        <w:rPr/>
      </w:pPr>
      <w:r>
        <w:rPr/>
        <w:t>Order of operations: (1) fix the unit basis — it gates everything financial; (2) rewrite plan §3 and the spec as current-state; (3) banner the superseded strategy docs; (4) redraw; (5) Design pass on deck + one-pager; (6) re-score suppliers when quotes arrive. Items 1–4 are document work doable now; 5 belongs in Claude Design; 6 waits on RFQ data.</w:t>
      </w:r>
    </w:p>
    <w:p>
      <w:pPr>
        <w:pStyle w:val="BodyText"/>
        <w:rPr/>
      </w:pPr>
      <w:r>
        <w:rPr>
          <w:b/>
          <w:bCs/>
        </w:rPr>
        <w:t>Standing rule going forward:</w:t>
      </w:r>
      <w:r>
        <w:rPr/>
        <w:t xml:space="preserve"> every future rev must state what it supersedes AND patch or banner the superseded text in the same rev — additive-only patching is what created this drift.</w:t>
      </w:r>
      <w:bookmarkEnd w:id="16"/>
      <w:bookmarkEnd w:id="22"/>
    </w:p>
    <w:p>
      <w:pPr>
        <w:pStyle w:val="Heading1"/>
        <w:rPr/>
      </w:pPr>
      <w:bookmarkStart w:id="23" w:name="part-3-naming-system-ribbon-thread-table"/>
      <w:r>
        <w:rPr/>
        <w:t>Part 3 — Naming System: Ribbon · Thread · Table</w:t>
      </w:r>
      <w:bookmarkEnd w:id="23"/>
    </w:p>
    <w:p>
      <w:pPr>
        <w:pStyle w:val="Heading1"/>
        <w:rPr/>
      </w:pPr>
      <w:bookmarkStart w:id="24" w:name="Xea441debaf2de439b9723326e58b4ac916960f4"/>
      <w:r>
        <w:rPr/>
        <w:t>RIBBON — Naming System (Rev G): Ribbon replaces Table</w:t>
      </w:r>
    </w:p>
    <w:p>
      <w:pPr>
        <w:pStyle w:val="Heading3"/>
        <w:rPr/>
      </w:pPr>
      <w:bookmarkStart w:id="25" w:name="grounded-in-the-ribbonthread-comparison"/>
      <w:r>
        <w:rPr/>
        <w:t>Grounded in the ribbon/thread comparison</w:t>
      </w:r>
      <w:bookmarkEnd w:id="25"/>
    </w:p>
    <w:p>
      <w:pPr>
        <w:pStyle w:val="Heading2"/>
        <w:rPr/>
      </w:pPr>
      <w:bookmarkStart w:id="26" w:name="the-two-layer-brand-architecture"/>
      <w:r>
        <w:rPr/>
        <w:t>The two-layer brand architecture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RIBBON</w:t>
            </w:r>
            <w:r>
              <w:rPr>
                <w:rFonts w:eastAsia="Cambria" w:cs=""/>
                <w:kern w:val="0"/>
                <w:sz w:val="24"/>
                <w:szCs w:val="24"/>
                <w:lang w:val="en-US" w:eastAsia="en-US" w:bidi="ar-SA"/>
              </w:rPr>
              <w:t xml:space="preserve"> (the seen)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THREAD</w:t>
            </w:r>
            <w:r>
              <w:rPr>
                <w:rFonts w:eastAsia="Cambria" w:cs=""/>
                <w:kern w:val="0"/>
                <w:sz w:val="24"/>
                <w:szCs w:val="24"/>
                <w:lang w:val="en-US" w:eastAsia="en-US" w:bidi="ar-SA"/>
              </w:rPr>
              <w:t xml:space="preserve"> (the unseen)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Dimension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Flat, wide — a surface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Thin, linear — a line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Visibility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by intention: color, face, identity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Hidden by intention: runs through, underneath</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Presents &amp; gathers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Binds &amp; stitches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Terminal form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knot/bow</w:t>
            </w:r>
            <w:r>
              <w:rPr>
                <w:rFonts w:eastAsia="Cambria" w:cs=""/>
                <w:kern w:val="0"/>
                <w:sz w:val="24"/>
                <w:szCs w:val="24"/>
                <w:lang w:val="en-US" w:eastAsia="en-US" w:bidi="ar-SA"/>
              </w:rPr>
              <w:t xml:space="preserve"> — a focal tying point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seam</w:t>
            </w:r>
            <w:r>
              <w:rPr>
                <w:rFonts w:eastAsia="Cambria" w:cs=""/>
                <w:kern w:val="0"/>
                <w:sz w:val="24"/>
                <w:szCs w:val="24"/>
                <w:lang w:val="en-US" w:eastAsia="en-US" w:bidi="ar-SA"/>
              </w:rPr>
              <w:t xml:space="preserve"> — continuous stitching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 our system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physical surface family people gather at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Digital thread (config→CAM→twin), services in the mast, the latch line stitching segments</w:t>
            </w:r>
          </w:p>
        </w:tc>
      </w:tr>
    </w:tbl>
    <w:p>
      <w:pPr>
        <w:pStyle w:val="BodyText"/>
        <w:rPr/>
      </w:pPr>
      <w:r>
        <w:rPr>
          <w:b/>
          <w:bCs/>
        </w:rPr>
        <w:t>Shared DNA:</w:t>
      </w:r>
      <w:r>
        <w:rPr/>
        <w:t xml:space="preserve"> continuous · flexible · cut-to-length · joined without losing identity — which is exactly the Rev E architecture. The rename turns Rev E’s cost (“the seamless wave dies”) into the identity: </w:t>
      </w:r>
      <w:r>
        <w:rPr>
          <w:i/>
          <w:iCs/>
        </w:rPr>
        <w:t>cut ribbon, well joined, still reads as one ribbon.</w:t>
      </w:r>
      <w:bookmarkEnd w:id="26"/>
    </w:p>
    <w:p>
      <w:pPr>
        <w:pStyle w:val="Heading2"/>
        <w:rPr/>
      </w:pPr>
      <w:r>
        <w:rPr/>
        <w:t>The lexicon (old → new)</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Old (Rev E/F)</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 (Rev G)</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Rationale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Level-table / L-Table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Ribbon segment / L-Ribbon</w:t>
            </w:r>
            <w:r>
              <w:rPr>
                <w:rFonts w:eastAsia="Cambria" w:cs=""/>
                <w:kern w:val="0"/>
                <w:sz w:val="24"/>
                <w:szCs w:val="24"/>
                <w:lang w:val="en-US" w:eastAsia="en-US" w:bidi="ar-SA"/>
              </w:rPr>
              <w:t xml:space="preserve"> (L560-Ribbon … L1100-Ribbon)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Units are lengths of ribbon, not furniture items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Level-as-Table architecture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Ribbon Segment architecture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architecture </w:t>
            </w:r>
            <w:r>
              <w:rPr>
                <w:rFonts w:eastAsia="Cambria" w:cs=""/>
                <w:i/>
                <w:iCs/>
                <w:kern w:val="0"/>
                <w:sz w:val="24"/>
                <w:szCs w:val="24"/>
                <w:lang w:val="en-US" w:eastAsia="en-US" w:bidi="ar-SA"/>
              </w:rPr>
              <w:t>is</w:t>
            </w:r>
            <w:r>
              <w:rPr>
                <w:rFonts w:eastAsia="Cambria" w:cs=""/>
                <w:kern w:val="0"/>
                <w:sz w:val="24"/>
                <w:szCs w:val="24"/>
                <w:lang w:val="en-US" w:eastAsia="en-US" w:bidi="ar-SA"/>
              </w:rPr>
              <w:t xml:space="preserve"> the metaphor now</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Arrangement (docked set)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Run</w:t>
            </w:r>
            <w:r>
              <w:rPr>
                <w:rFonts w:eastAsia="Cambria" w:cs=""/>
                <w:kern w:val="0"/>
                <w:sz w:val="24"/>
                <w:szCs w:val="24"/>
                <w:lang w:val="en-US" w:eastAsia="en-US" w:bidi="ar-SA"/>
              </w:rPr>
              <w:t xml:space="preserve"> (Racetrack Run, Hex Run, Ring Run)</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Ribbon runs; a run is composed of segments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F-Hub (fixed focal table)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Knot</w:t>
            </w:r>
            <w:r>
              <w:rPr>
                <w:rFonts w:eastAsia="Cambria" w:cs=""/>
                <w:kern w:val="0"/>
                <w:sz w:val="24"/>
                <w:szCs w:val="24"/>
                <w:lang w:val="en-US" w:eastAsia="en-US" w:bidi="ar-SA"/>
              </w:rPr>
              <w:t xml:space="preserve"> (Planted/Service/Ice/Solid Knot)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point where the ribbon ties — focal by nature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Docking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Splicing</w:t>
            </w:r>
            <w:r>
              <w:rPr>
                <w:rFonts w:eastAsia="Cambria" w:cs=""/>
                <w:kern w:val="0"/>
                <w:sz w:val="24"/>
                <w:szCs w:val="24"/>
                <w:lang w:val="en-US" w:eastAsia="en-US" w:bidi="ar-SA"/>
              </w:rPr>
              <w:t xml:space="preserve"> (splice joints, splice key)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Joining lengths without losing continuity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Transition caps (TC/RC/EC/LB)</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unchanged codes; family name </w:t>
            </w:r>
            <w:r>
              <w:rPr>
                <w:rFonts w:eastAsia="Cambria" w:cs=""/>
                <w:b/>
                <w:bCs/>
                <w:kern w:val="0"/>
                <w:sz w:val="24"/>
                <w:szCs w:val="24"/>
                <w:lang w:val="en-US" w:eastAsia="en-US" w:bidi="ar-SA"/>
              </w:rPr>
              <w:t>Seam pieces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thread’s work made visible and safe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Digital thread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Already correct — it’s the thread</w:t>
            </w:r>
            <w:bookmarkStart w:id="27" w:name="the-lexicon-old-new"/>
            <w:bookmarkEnd w:id="27"/>
          </w:p>
        </w:tc>
      </w:tr>
    </w:tbl>
    <w:p>
      <w:pPr>
        <w:pStyle w:val="Heading2"/>
        <w:rPr/>
      </w:pPr>
      <w:r>
        <w:rPr/>
        <w:t>Table holds its own gravity (Rev G.1)</w:t>
      </w:r>
    </w:p>
    <w:p>
      <w:pPr>
        <w:pStyle w:val="FirstParagraph"/>
        <w:rPr/>
      </w:pPr>
      <w:r>
        <w:rPr/>
        <w:t xml:space="preserve">Table is not a category crutch or a search keyword serving the ribbon — it is the </w:t>
      </w:r>
      <w:r>
        <w:rPr>
          <w:b/>
          <w:bCs/>
        </w:rPr>
        <w:t>co-equal second word</w:t>
      </w:r>
      <w:r>
        <w:rPr/>
        <w:t xml:space="preserve"> of the brand, with its own gravity in both senses:</w:t>
      </w:r>
    </w:p>
    <w:p>
      <w:pPr>
        <w:pStyle w:val="Compact"/>
        <w:numPr>
          <w:ilvl w:val="0"/>
          <w:numId w:val="38"/>
        </w:numPr>
        <w:rPr/>
      </w:pPr>
      <w:r>
        <w:rPr>
          <w:b/>
          <w:bCs/>
        </w:rPr>
        <w:t>Physical gravity — engineering-true.</w:t>
      </w:r>
      <w:r>
        <w:rPr/>
        <w:t xml:space="preserve"> The table is the gravitational object in the system: ballasted feet, B3 anti-tip at 350 N, the Knot’s mast planted at the exact centroid. Everything in the B-series exists to make the table immovable where it stands. We can say “gravity” in marketing because we engineered it literally.</w:t>
      </w:r>
    </w:p>
    <w:p>
      <w:pPr>
        <w:pStyle w:val="Compact"/>
        <w:numPr>
          <w:ilvl w:val="0"/>
          <w:numId w:val="39"/>
        </w:numPr>
        <w:rPr/>
      </w:pPr>
      <w:r>
        <w:rPr>
          <w:b/>
          <w:bCs/>
        </w:rPr>
        <w:t>Social gravity — the room’s well.</w:t>
      </w:r>
      <w:r>
        <w:rPr/>
        <w:t xml:space="preserve"> A table is what people fall into orbit around. The ribbon has flow; the table has pull. Segments and Runs are the language of </w:t>
      </w:r>
      <w:r>
        <w:rPr>
          <w:i/>
          <w:iCs/>
        </w:rPr>
        <w:t>making</w:t>
      </w:r>
      <w:r>
        <w:rPr/>
        <w:t xml:space="preserve">; the table is the language of </w:t>
      </w:r>
      <w:r>
        <w:rPr>
          <w:i/>
          <w:iCs/>
        </w:rPr>
        <w:t>living with it</w:t>
      </w:r>
      <w:r>
        <w:rPr/>
        <w:t>.</w:t>
      </w:r>
    </w:p>
    <w:p>
      <w:pPr>
        <w:pStyle w:val="FirstParagraph"/>
        <w:rPr/>
      </w:pPr>
      <w:r>
        <w:rPr>
          <w:b/>
          <w:bCs/>
        </w:rPr>
        <w:t>The two-word architecture:</w:t>
      </w:r>
      <w:r>
        <w:rPr/>
        <w:t xml:space="preserve"> | | RIBBON | TABLE | |—|—|—| | Is | The system — segments, Runs, Knots, splices | The outcome — the assembled gravity well | | Language of | Making, composing, growing | Gathering, belonging, staying | | Motion | Flow | Pull | | Voice line | “Cut ribbon, well joined, still reads as one ribbon.” | “Every Run becomes a table. The table holds the room.” |</w:t>
      </w:r>
    </w:p>
    <w:p>
      <w:pPr>
        <w:pStyle w:val="BodyText"/>
        <w:rPr/>
      </w:pPr>
      <w:r>
        <w:rPr>
          <w:b/>
          <w:bCs/>
        </w:rPr>
        <w:t>Usage rules:</w:t>
      </w:r>
      <w:r>
        <w:rPr/>
        <w:t xml:space="preserve"> never “just a table,” never table-as-apology, never table subordinated to ribbon in copy. The canonical sentence order runs ribbon → table (“A Hex Run of six ribbons and a Planted Knot — one table that holds the room.”). Configurator and PRDs speak ribbon; the moment of purchase and the moment of use speak table. Both words are load-bearing; neither explains the other away.</w:t>
      </w:r>
    </w:p>
    <w:p>
      <w:pPr>
        <w:pStyle w:val="Heading2"/>
        <w:rPr/>
      </w:pPr>
      <w:bookmarkStart w:id="28" w:name="propagation-this-rev"/>
      <w:r>
        <w:rPr/>
        <w:t>Propagation (this rev)</w:t>
      </w:r>
    </w:p>
    <w:p>
      <w:pPr>
        <w:pStyle w:val="FirstParagraph"/>
        <w:rPr/>
      </w:pPr>
      <w:bookmarkStart w:id="29" w:name="Xea441debaf2de439b9723326e58b4ac916960f4"/>
      <w:bookmarkStart w:id="30" w:name="propagation-this-rev"/>
      <w:r>
        <w:rPr/>
        <w:t>Master PRD Set, build spec, business plan (Rev G), and handoff packet renamed per the lexicon; B-series requirement text updated where it said “per table” → “per segment.” Deck and one-pager get ribbon-language in their pending Design pass.</w:t>
      </w:r>
      <w:bookmarkEnd w:id="29"/>
      <w:bookmarkEnd w:id="30"/>
    </w:p>
    <w:p>
      <w:pPr>
        <w:pStyle w:val="Heading1"/>
        <w:rPr/>
      </w:pPr>
      <w:bookmarkStart w:id="31" w:name="X4695912fb3e94e48b0755097199be8af87b9484"/>
      <w:r>
        <w:rPr/>
        <w:t>Part 4 — Build Specification (Rev H.1 current state, B1–B13)</w:t>
      </w:r>
      <w:bookmarkEnd w:id="31"/>
    </w:p>
    <w:p>
      <w:pPr>
        <w:pStyle w:val="Heading1"/>
        <w:rPr/>
      </w:pPr>
      <w:bookmarkStart w:id="32" w:name="X59b7cf3c4e8359a08ca2034edeaa3451c9cae79"/>
      <w:r>
        <w:rPr/>
        <w:t>RIBBON — Build Specification (Rev H.1, current state)</w:t>
      </w:r>
    </w:p>
    <w:p>
      <w:pPr>
        <w:pStyle w:val="Heading3"/>
        <w:rPr/>
      </w:pPr>
      <w:bookmarkStart w:id="33" w:name="X4225d7f4d433f4cf34281fbaa2bc4faac6fcd38"/>
      <w:r>
        <w:rPr/>
        <w:t>The system as it is: spliced ribbon segments forming multi-height, chair-free tables</w:t>
      </w:r>
      <w:bookmarkEnd w:id="33"/>
    </w:p>
    <w:p>
      <w:pPr>
        <w:pStyle w:val="Heading2"/>
        <w:rPr/>
      </w:pPr>
      <w:bookmarkStart w:id="34" w:name="system-overview"/>
      <w:r>
        <w:rPr/>
        <w:t>1 · System overview</w:t>
      </w:r>
    </w:p>
    <w:p>
      <w:pPr>
        <w:pStyle w:val="FirstParagraph"/>
        <w:rPr/>
      </w:pPr>
      <w:r>
        <w:rPr/>
        <w:t xml:space="preserve">RIBBON is a family of discrete, self-supporting </w:t>
      </w:r>
      <w:r>
        <w:rPr>
          <w:b/>
          <w:bCs/>
        </w:rPr>
        <w:t>ribbon segments</w:t>
      </w:r>
      <w:r>
        <w:rPr/>
        <w:t xml:space="preserve"> — each a small table at one height — that </w:t>
      </w:r>
      <w:r>
        <w:rPr>
          <w:b/>
          <w:bCs/>
        </w:rPr>
        <w:t>splice</w:t>
      </w:r>
      <w:r>
        <w:rPr/>
        <w:t xml:space="preserve"> edge-to-edge into a </w:t>
      </w:r>
      <w:r>
        <w:rPr>
          <w:b/>
          <w:bCs/>
        </w:rPr>
        <w:t>Run</w:t>
      </w:r>
      <w:r>
        <w:rPr/>
        <w:t xml:space="preserve"> (Racetrack, Hex, or Ring), read as one flowing surface via </w:t>
      </w:r>
      <w:r>
        <w:rPr>
          <w:b/>
          <w:bCs/>
        </w:rPr>
        <w:t>seam pieces</w:t>
      </w:r>
      <w:r>
        <w:rPr/>
        <w:t xml:space="preserve">, and gather around one fixed focal segment, </w:t>
      </w:r>
      <w:r>
        <w:rPr>
          <w:b/>
          <w:bCs/>
        </w:rPr>
        <w:t>the Knot</w:t>
      </w:r>
      <w:r>
        <w:rPr/>
        <w:t xml:space="preserve">. A Run is complete with zero seating; the optional </w:t>
      </w:r>
      <w:r>
        <w:rPr>
          <w:b/>
          <w:bCs/>
        </w:rPr>
        <w:t>AEL family</w:t>
      </w:r>
      <w:r>
        <w:rPr/>
        <w:t xml:space="preserve"> adds level-matched perch units that nest and yield.</w:t>
      </w:r>
      <w:bookmarkEnd w:id="34"/>
    </w:p>
    <w:p>
      <w:pPr>
        <w:pStyle w:val="Heading2"/>
        <w:rPr/>
      </w:pPr>
      <w:r>
        <w:rPr/>
        <w:t>2 · The segment ladder</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Segment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Height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Class notes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L560 · L650 · L680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560–680 mm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Toddler/child: R25 edges, zero reachable fasteners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L740-A</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740 mm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Accessible: B5 knee clearance on all open sides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L780 · L820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780–820 mm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Tween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L950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950 mm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Counter: integral footrail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L1050 · L1100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1050–1100 mm</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Bar: widened base plates (B3 worst case)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Knot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Fixed focal segment; mast-borne services; typed at order (Planted · Service · Ice · Solid)</w:t>
            </w:r>
            <w:bookmarkStart w:id="35" w:name="the-segment-ladder"/>
            <w:bookmarkEnd w:id="35"/>
          </w:p>
        </w:tc>
      </w:tr>
    </w:tbl>
    <w:p>
      <w:pPr>
        <w:pStyle w:val="Heading2"/>
        <w:rPr/>
      </w:pPr>
      <w:r>
        <w:rPr/>
        <w:t>3 · Runs (standard arrangements)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Composition</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Footprint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Racetrack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 segments + Knot + seam set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3.9 × 1.2 m docked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 segments + Knot + 6 corner caps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2.65 m across flats; tessellates into clusters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 wedge segments + Knot + ring caps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Ø ≈2.95 m; flattened chord holds the accessible bays</w:t>
            </w:r>
          </w:p>
        </w:tc>
      </w:tr>
    </w:tbl>
    <w:p>
      <w:pPr>
        <w:pStyle w:val="BodyText"/>
        <w:rPr/>
      </w:pPr>
      <w:r>
        <w:rPr/>
        <w:t>Colorways (Cloud · Grove · Citrus · Slate · Custom) select per segment; a height-coded preset maps hue to level. Fold-leg options are available per segment (the tri-fold monolith variant is retired).</w:t>
      </w:r>
    </w:p>
    <w:p>
      <w:pPr>
        <w:pStyle w:val="Heading2"/>
        <w:rPr/>
      </w:pPr>
      <w:r>
        <w:rPr/>
        <w:t>4 · Requirements (B-series, current meanings)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Requirement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Segment structure self-supporting; no member intrudes into any knee-clear zone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B2</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Weighted base per segment; bar heights carry the widest plates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B3</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Anti-tip per segment, unspliced:</w:t>
            </w:r>
            <w:r>
              <w:rPr>
                <w:rFonts w:eastAsia="Cambria" w:cs=""/>
                <w:kern w:val="0"/>
                <w:sz w:val="24"/>
                <w:szCs w:val="24"/>
                <w:lang w:val="en-US" w:eastAsia="en-US" w:bidi="ar-SA"/>
              </w:rPr>
              <w:t xml:space="preserve"> 350 N horizontal pull at any edge; 100 kg edge point 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B4</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150 kg/m² distributed; ≤3 mm deflection at any free edge under 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B5</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L740-A bays: surface 740 mm; ≥685 mm underside clearance; ≥480 mm depth; ≥760 mm width; preserved in every splice state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B6</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M16 glides; level on floors ≤10 mm out of plane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B7</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 mm 304-SS footrail on L950+</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B8</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pinch points; no exposed fasteners in child reach; R20+ bullnose everywhere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B9</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Low-VOC finishes; BIFMA-relevant durability; food-safe tops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B10</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Tool-minimal knock-down; every part serialized to the digital twin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B11</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Knot:</w:t>
            </w:r>
            <w:r>
              <w:rPr>
                <w:rFonts w:eastAsia="Cambria" w:cs=""/>
                <w:kern w:val="0"/>
                <w:sz w:val="24"/>
                <w:szCs w:val="24"/>
                <w:lang w:val="en-US" w:eastAsia="en-US" w:bidi="ar-SA"/>
              </w:rPr>
              <w:t xml:space="preserve"> ≥200 kg service load; services routed internally via mast; nothing conductive or wet in child reach; B3 re-verified with focal load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B12</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Splicing:</w:t>
            </w:r>
            <w:r>
              <w:rPr>
                <w:rFonts w:eastAsia="Cambria" w:cs=""/>
                <w:kern w:val="0"/>
                <w:sz w:val="24"/>
                <w:szCs w:val="24"/>
                <w:lang w:val="en-US" w:eastAsia="en-US" w:bidi="ar-SA"/>
              </w:rPr>
              <w:t xml:space="preserve"> latched, tool-release only; zero entrapment gaps (≤8 mm or ≥25 mm); ≤1 mm top misalignment; no relative movement at 350 N; 500+ cycles; misdock refusal via keyed funnels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B13</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Seam pieces:</w:t>
            </w:r>
            <w:r>
              <w:rPr>
                <w:rFonts w:eastAsia="Cambria" w:cs=""/>
                <w:kern w:val="0"/>
                <w:sz w:val="24"/>
                <w:szCs w:val="24"/>
                <w:lang w:val="en-US" w:eastAsia="en-US" w:bidi="ar-SA"/>
              </w:rPr>
              <w:t xml:space="preserve"> every height change carries its delta-class cap (300 mm ramp ≤Δ120; 450 mm ≤Δ240; stepped above); ≥10° caps carry no-set-down ridge + contrast band; open dock faces carry an EC; same-height runs join via LB bridges</w:t>
            </w:r>
            <w:bookmarkStart w:id="36" w:name="requirements-b-series-current-meanings"/>
            <w:bookmarkEnd w:id="36"/>
          </w:p>
        </w:tc>
      </w:tr>
    </w:tbl>
    <w:p>
      <w:pPr>
        <w:pStyle w:val="Heading2"/>
        <w:rPr/>
      </w:pPr>
      <w:r>
        <w:rPr/>
        <w:t>5 · Materials &amp; make</w:t>
      </w:r>
    </w:p>
    <w:p>
      <w:pPr>
        <w:pStyle w:val="FirstParagraph"/>
        <w:rPr/>
      </w:pPr>
      <w:r>
        <w:rPr/>
        <w:t>Tops: solid surface (thermoformable palette) on ply/bamboo core — flat or simply curved per segment; no monolith molds. Chassis: steel, powder-coat any RAL; Knot mast 200 × 100 × 6 mm RHS class. Trough: per-segment 316-SS liners aligning across splices; wet functions only in the Knot. Seam pieces: solid-surface skin on GF-nylon chassis; tooled early (highest-count SKU). Latch: purchased draw-latch core (Southco R2/R5 class) in custom funnel/keyed housings — see latch decision brief.</w:t>
      </w:r>
    </w:p>
    <w:p>
      <w:pPr>
        <w:pStyle w:val="Heading2"/>
        <w:rPr/>
      </w:pPr>
      <w:bookmarkStart w:id="37" w:name="unit-basis-rev-h.1"/>
      <w:r>
        <w:rPr/>
        <w:t>6 · Unit basis (Rev H.1)</w:t>
      </w:r>
    </w:p>
    <w:p>
      <w:pPr>
        <w:pStyle w:val="FirstParagraph"/>
        <w:rPr/>
      </w:pPr>
      <w:r>
        <w:rPr/>
        <w:t xml:space="preserve">Costs are stated </w:t>
      </w:r>
      <w:r>
        <w:rPr>
          <w:b/>
          <w:bCs/>
        </w:rPr>
        <w:t>per segment</w:t>
      </w:r>
      <w:r>
        <w:rPr/>
        <w:t xml:space="preserve">; pricing </w:t>
      </w:r>
      <w:r>
        <w:rPr>
          <w:b/>
          <w:bCs/>
        </w:rPr>
        <w:t>per Run</w:t>
      </w:r>
      <w:r>
        <w:rPr/>
        <w:t>. Standard Racetrack Run = 10 segments + Knot + seam set (~2.5 stacked pallets, density ≈14.2 lb/ft³, est. class 85).</w:t>
      </w:r>
    </w:p>
    <w:p>
      <w:pPr>
        <w:pStyle w:val="Normal"/>
        <w:rPr/>
      </w:pPr>
      <w:bookmarkStart w:id="38" w:name="unit-basis-rev-h.1"/>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p>
    <w:p>
      <w:pPr>
        <w:pStyle w:val="Heading2"/>
        <w:rPr/>
      </w:pPr>
      <w:bookmarkStart w:id="39" w:name="X6f1e9c9845e3ba59b7d982ddf8a37873a91d5cf"/>
      <w:r>
        <w:rPr/>
        <w:t>Appendix — Revision history (superseded content, retained for the record)</w:t>
      </w:r>
    </w:p>
    <w:p>
      <w:pPr>
        <w:pStyle w:val="Compact"/>
        <w:numPr>
          <w:ilvl w:val="0"/>
          <w:numId w:val="40"/>
        </w:numPr>
        <w:rPr/>
      </w:pPr>
      <w:r>
        <w:rPr>
          <w:b/>
          <w:bCs/>
        </w:rPr>
        <w:t>Rev A–B (monolith era):</w:t>
      </w:r>
      <w:r>
        <w:rPr/>
        <w:t xml:space="preserve"> single thermoformed 3.9 × 1.2 m wave on a cantilevered spine with two weighted pedestals; continuous 220 mm trough. Superseded by Rev E.</w:t>
      </w:r>
    </w:p>
    <w:p>
      <w:pPr>
        <w:pStyle w:val="Compact"/>
        <w:numPr>
          <w:ilvl w:val="0"/>
          <w:numId w:val="41"/>
        </w:numPr>
        <w:rPr/>
      </w:pPr>
      <w:r>
        <w:rPr>
          <w:b/>
          <w:bCs/>
        </w:rPr>
        <w:t>Rev C:</w:t>
      </w:r>
      <w:r>
        <w:rPr/>
        <w:t xml:space="preserve"> base requirements formalized (B1–B10); colorways; tri-fold monolith variant “RIBBON Fold” (+$400–700, two seams). Fold-as-monolith retired at Rev E; colorways and B-series carried forward.</w:t>
      </w:r>
    </w:p>
    <w:p>
      <w:pPr>
        <w:pStyle w:val="Compact"/>
        <w:numPr>
          <w:ilvl w:val="0"/>
          <w:numId w:val="42"/>
        </w:numPr>
        <w:rPr/>
      </w:pPr>
      <w:r>
        <w:rPr>
          <w:b/>
          <w:bCs/>
        </w:rPr>
        <w:t>Rev D/D.1/D.2:</w:t>
      </w:r>
      <w:r>
        <w:rPr/>
        <w:t xml:space="preserve"> Ring &amp; Hex geometries; centers fixed at order; fixed focal section generalized to all shapes (became the Knot).</w:t>
      </w:r>
    </w:p>
    <w:p>
      <w:pPr>
        <w:pStyle w:val="Compact"/>
        <w:numPr>
          <w:ilvl w:val="0"/>
          <w:numId w:val="43"/>
        </w:numPr>
        <w:rPr/>
      </w:pPr>
      <w:r>
        <w:rPr>
          <w:b/>
          <w:bCs/>
        </w:rPr>
        <w:t>Rev E:</w:t>
      </w:r>
      <w:r>
        <w:rPr/>
        <w:t xml:space="preserve"> Level-as-Table — every level its own table; docking (B12); monolith retired.</w:t>
      </w:r>
    </w:p>
    <w:p>
      <w:pPr>
        <w:pStyle w:val="Compact"/>
        <w:numPr>
          <w:ilvl w:val="0"/>
          <w:numId w:val="44"/>
        </w:numPr>
        <w:rPr/>
      </w:pPr>
      <w:r>
        <w:rPr>
          <w:b/>
          <w:bCs/>
        </w:rPr>
        <w:t>Rev F:</w:t>
      </w:r>
      <w:r>
        <w:rPr/>
        <w:t xml:space="preserve"> transition pieces (B13); PRDs for every part.</w:t>
      </w:r>
    </w:p>
    <w:p>
      <w:pPr>
        <w:pStyle w:val="Compact"/>
        <w:numPr>
          <w:ilvl w:val="0"/>
          <w:numId w:val="45"/>
        </w:numPr>
        <w:rPr/>
      </w:pPr>
      <w:r>
        <w:rPr>
          <w:b/>
          <w:bCs/>
        </w:rPr>
        <w:t>Rev G/G.1:</w:t>
      </w:r>
      <w:r>
        <w:rPr/>
        <w:t xml:space="preserve"> ribbon lexicon; table holds its own gravity.</w:t>
      </w:r>
    </w:p>
    <w:p>
      <w:pPr>
        <w:pStyle w:val="Compact"/>
        <w:numPr>
          <w:ilvl w:val="0"/>
          <w:numId w:val="46"/>
        </w:numPr>
        <w:rPr/>
      </w:pPr>
      <w:r>
        <w:rPr>
          <w:b/>
          <w:bCs/>
        </w:rPr>
        <w:t>Rev H:</w:t>
      </w:r>
      <w:r>
        <w:rPr/>
        <w:t xml:space="preserve"> AEL seating family ratified (PRD-14).</w:t>
      </w:r>
    </w:p>
    <w:p>
      <w:pPr>
        <w:pStyle w:val="Compact"/>
        <w:numPr>
          <w:ilvl w:val="0"/>
          <w:numId w:val="47"/>
        </w:numPr>
        <w:rPr/>
      </w:pPr>
      <w:r>
        <w:rPr>
          <w:b/>
          <w:bCs/>
        </w:rPr>
        <w:t>Rev H.1:</w:t>
      </w:r>
      <w:r>
        <w:rPr/>
        <w:t xml:space="preserve"> this consolidation — spec rewritten as current state; unit basis defined.</w:t>
      </w:r>
      <w:bookmarkEnd w:id="32"/>
      <w:bookmarkEnd w:id="39"/>
    </w:p>
    <w:p>
      <w:pPr>
        <w:pStyle w:val="Heading1"/>
        <w:rPr/>
      </w:pPr>
      <w:bookmarkStart w:id="40" w:name="X5b9d2222b9978ef4d3578a856a6b2b6774c5801"/>
      <w:r>
        <w:rPr/>
        <w:t>Part 5 — Design Addendum (history: base · colorways · fold · Rev E/F)</w:t>
      </w:r>
      <w:bookmarkEnd w:id="40"/>
    </w:p>
    <w:p>
      <w:pPr>
        <w:pStyle w:val="Heading1"/>
        <w:rPr/>
      </w:pPr>
      <w:bookmarkStart w:id="41" w:name="X1bdde6bbb0648b4c92ae907e93990155e51b87f"/>
      <w:r>
        <w:rPr/>
        <w:t>RIBBON — Design Addendum: Base Requirements · Colorways · Fold-Out</w:t>
      </w:r>
    </w:p>
    <w:p>
      <w:pPr>
        <w:pStyle w:val="Heading3"/>
        <w:rPr/>
      </w:pPr>
      <w:bookmarkStart w:id="42" w:name="X028ad972278bcbeed15a870c5f096a2f4886f13"/>
      <w:r>
        <w:rPr/>
        <w:t>Rev C companion to the build spec and business plan</w:t>
      </w:r>
    </w:p>
    <w:p>
      <w:pPr>
        <w:pStyle w:val="Normal"/>
        <w:rPr/>
      </w:pPr>
      <w:bookmarkStart w:id="43" w:name="X028ad972278bcbeed15a870c5f096a2f4886f13"/>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base-requirements-formalized"/>
      <w:r>
        <w:rPr/>
        <w:t>1 · Base requirements (formalized)</w:t>
      </w:r>
    </w:p>
    <w:p>
      <w:pPr>
        <w:pStyle w:val="FirstParagraph"/>
        <w:rPr/>
      </w:pPr>
      <w:r>
        <w:rPr/>
        <w:t>The structural base is now specified as numbered requirements a fabricator can be held to.</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Requirement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Value / rule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B1</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Structure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 central steel spine (200 × 100 × 6 mm RHS equivalent), top cantilevered; </w:t>
            </w:r>
            <w:r>
              <w:rPr>
                <w:rFonts w:eastAsia="Cambria" w:cs=""/>
                <w:b/>
                <w:bCs/>
                <w:kern w:val="0"/>
                <w:sz w:val="24"/>
                <w:szCs w:val="24"/>
                <w:lang w:val="en-US" w:eastAsia="en-US" w:bidi="ar-SA"/>
              </w:rPr>
              <w:t>no leg, apron, or brace in any knee-clear bay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B2</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Feet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 weighted pedestals under the standing zones; base plates ≥700 × 700 × 12 mm with internal ballast</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B3</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Anti-tip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Withstand a </w:t>
            </w:r>
            <w:r>
              <w:rPr>
                <w:rFonts w:eastAsia="Cambria" w:cs=""/>
                <w:b/>
                <w:bCs/>
                <w:kern w:val="0"/>
                <w:sz w:val="24"/>
                <w:szCs w:val="24"/>
                <w:lang w:val="en-US" w:eastAsia="en-US" w:bidi="ar-SA"/>
              </w:rPr>
              <w:t>350 N horizontal pull</w:t>
            </w:r>
            <w:r>
              <w:rPr>
                <w:rFonts w:eastAsia="Cambria" w:cs=""/>
                <w:kern w:val="0"/>
                <w:sz w:val="24"/>
                <w:szCs w:val="24"/>
                <w:lang w:val="en-US" w:eastAsia="en-US" w:bidi="ar-SA"/>
              </w:rPr>
              <w:t xml:space="preserve"> at any top edge and a 100 kg point load on the edge (child sitting/climbing) without tipping</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B4</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150 kg/m² distributed; deflection ≤3 mm at any cantilevered end under load</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B5</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Knee clearance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Four bays: surface 740 mm, </w:t>
            </w:r>
            <w:r>
              <w:rPr>
                <w:rFonts w:eastAsia="Cambria" w:cs=""/>
                <w:b/>
                <w:bCs/>
                <w:kern w:val="0"/>
                <w:sz w:val="24"/>
                <w:szCs w:val="24"/>
                <w:lang w:val="en-US" w:eastAsia="en-US" w:bidi="ar-SA"/>
              </w:rPr>
              <w:t>≥685 mm clear underside</w:t>
            </w:r>
            <w:r>
              <w:rPr>
                <w:rFonts w:eastAsia="Cambria" w:cs=""/>
                <w:kern w:val="0"/>
                <w:sz w:val="24"/>
                <w:szCs w:val="24"/>
                <w:lang w:val="en-US" w:eastAsia="en-US" w:bidi="ar-SA"/>
              </w:rPr>
              <w:t>, ≥480 mm depth, ≥760 mm width — preserved in every configuration and fold state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B6</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Leveling</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M16 adjustable glides; level on floors up to 10 mm out of plane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B7</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Footrail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 mm 304-stainless tube at the tall zones, 200 mm above floor</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B8</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Safety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pinch points, no exposed fasteners in child reach, all corners R20+ bullnose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B9</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Finish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Powder-coat (colorway-selectable, see §2), low-VOC, BIFMA-relevant durability</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B10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Serviceability</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 disassembles with standard tools for flat-pack shipping; every part serialized to the unit’s digital twin</w:t>
            </w:r>
          </w:p>
        </w:tc>
      </w:tr>
    </w:tbl>
    <w:p>
      <w:pPr>
        <w:pStyle w:val="BodyText"/>
        <w:rPr/>
      </w:pPr>
      <w:bookmarkStart w:id="45" w:name="base-requirements-formalized"/>
      <w:r>
        <w:rPr/>
        <w:t>These become acceptance criteria in fabricator contracts and the QA gates in the digital thread.</w:t>
      </w:r>
      <w:bookmarkEnd w:id="45"/>
    </w:p>
    <w:p>
      <w:pPr>
        <w:pStyle w:val="Heading2"/>
        <w:rPr/>
      </w:pPr>
      <w:bookmarkStart w:id="46" w:name="colorway-system"/>
      <w:r>
        <w:rPr/>
        <w:t>2 · Colorway system</w:t>
      </w:r>
    </w:p>
    <w:p>
      <w:pPr>
        <w:pStyle w:val="FirstParagraph"/>
        <w:rPr/>
      </w:pPr>
      <w:r>
        <w:rPr/>
        <w:t xml:space="preserve">Color becomes a </w:t>
      </w:r>
      <w:r>
        <w:rPr>
          <w:b/>
          <w:bCs/>
        </w:rPr>
        <w:t>configurator dimension</w:t>
      </w:r>
      <w:r>
        <w:rPr/>
        <w:t xml:space="preserve"> alongside height mix and inserts — three coordinated layers per colorway: top (solid surface), base (powder-coat), and accents (trough inserts, footrail, well tubs).</w:t>
      </w:r>
    </w:p>
    <w:p>
      <w:pPr>
        <w:pStyle w:val="BodyText"/>
        <w:rPr/>
      </w:pPr>
      <w:r>
        <w:rPr>
          <w:b/>
          <w:bCs/>
        </w:rPr>
        <w:t>Launch colorways (working names)</w:t>
      </w:r>
      <w:r>
        <w:rPr/>
        <w:t xml:space="preserve"> | Colorway | Top | Base | Accents | Aimed at | |—|—|—|—|—| | </w:t>
      </w:r>
      <w:r>
        <w:rPr>
          <w:b/>
          <w:bCs/>
        </w:rPr>
        <w:t>Cloud</w:t>
      </w:r>
      <w:r>
        <w:rPr/>
        <w:t xml:space="preserve"> | Warm white | Deep navy | Teal | Flagship / civic | | </w:t>
      </w:r>
      <w:r>
        <w:rPr>
          <w:b/>
          <w:bCs/>
        </w:rPr>
        <w:t>Grove</w:t>
      </w:r>
      <w:r>
        <w:rPr/>
        <w:t xml:space="preserve"> | Soft sage | Charcoal | Natural oak lids | Museums, libraries | | </w:t>
      </w:r>
      <w:r>
        <w:rPr>
          <w:b/>
          <w:bCs/>
        </w:rPr>
        <w:t>Citrus</w:t>
      </w:r>
      <w:r>
        <w:rPr/>
        <w:t xml:space="preserve"> | Pale sand | White | Coral + amber wells | Children’s / education | | </w:t>
      </w:r>
      <w:r>
        <w:rPr>
          <w:b/>
          <w:bCs/>
        </w:rPr>
        <w:t>Slate</w:t>
      </w:r>
      <w:r>
        <w:rPr/>
        <w:t xml:space="preserve"> | Mid grey | Black | Stainless | Coworking / hospitality | | </w:t>
      </w:r>
      <w:r>
        <w:rPr>
          <w:b/>
          <w:bCs/>
        </w:rPr>
        <w:t>Custom</w:t>
      </w:r>
      <w:r>
        <w:rPr/>
        <w:t xml:space="preserve"> | Per spec | RAL any | Per spec | Institutional branding (premium) |</w:t>
      </w:r>
    </w:p>
    <w:p>
      <w:pPr>
        <w:pStyle w:val="BodyText"/>
        <w:rPr/>
      </w:pPr>
      <w:r>
        <w:rPr>
          <w:b/>
          <w:bCs/>
        </w:rPr>
        <w:t>Engineering constraints (real, from solid-surface fabrication practice):</w:t>
      </w:r>
      <w:r>
        <w:rPr/>
        <w:t xml:space="preserve"> - Not all solid-surface colors thermoform — large-particulate/chip lines are excluded; the palette is drawn from </w:t>
      </w:r>
      <w:r>
        <w:rPr>
          <w:b/>
          <w:bCs/>
        </w:rPr>
        <w:t>thermoformable</w:t>
      </w:r>
      <w:r>
        <w:rPr/>
        <w:t xml:space="preserve"> solid-surface ranges only, validated per brand (Corian / HI-MACS / Staron guides). - Light, low-pattern colors hide seams and repairs best — the launch palette biases that way; dark tops are offered with a documented care note. - Powder-coat = any RAL at no premium; </w:t>
      </w:r>
      <w:r>
        <w:rPr>
          <w:b/>
          <w:bCs/>
        </w:rPr>
        <w:t>custom top colors</w:t>
      </w:r>
      <w:r>
        <w:rPr/>
        <w:t xml:space="preserve"> carry a surcharge and minimum-order because they break sheet-purchasing economies. - Colorways change </w:t>
      </w:r>
      <w:r>
        <w:rPr>
          <w:b/>
          <w:bCs/>
        </w:rPr>
        <w:t>nothing structural</w:t>
      </w:r>
      <w:r>
        <w:rPr/>
        <w:t xml:space="preserve"> — same molds/toolpaths, so SKUs multiply at near-zero manufacturing cost. Accent parts (lids, tubs) are the cheap variety layer.</w:t>
      </w:r>
      <w:bookmarkEnd w:id="46"/>
    </w:p>
    <w:p>
      <w:pPr>
        <w:pStyle w:val="Heading2"/>
        <w:rPr/>
      </w:pPr>
      <w:bookmarkStart w:id="47" w:name="fold-out-functionality"/>
      <w:r>
        <w:rPr/>
        <w:t>3 · Fold-out functionality</w:t>
      </w:r>
    </w:p>
    <w:p>
      <w:pPr>
        <w:pStyle w:val="FirstParagraph"/>
        <w:rPr/>
      </w:pPr>
      <w:r>
        <w:rPr>
          <w:b/>
          <w:bCs/>
        </w:rPr>
        <w:t>Design intent:</w:t>
      </w:r>
      <w:r>
        <w:rPr/>
        <w:t xml:space="preserve"> fold for </w:t>
      </w:r>
      <w:r>
        <w:rPr>
          <w:b/>
          <w:bCs/>
        </w:rPr>
        <w:t>shipping, storage, and reconfiguration</w:t>
      </w:r>
      <w:r>
        <w:rPr/>
        <w:t xml:space="preserve"> — not a daily one-person fold. The table is ~150+ kg; the win is freight volume, doorway access, and venues that must clear the floor seasonally.</w:t>
      </w:r>
    </w:p>
    <w:p>
      <w:pPr>
        <w:pStyle w:val="BodyText"/>
        <w:rPr/>
      </w:pPr>
      <w:r>
        <w:rPr>
          <w:b/>
          <w:bCs/>
        </w:rPr>
        <w:t>Mechanism — fold at the module joints (tri-fold):</w:t>
      </w:r>
      <w:r>
        <w:rPr/>
        <w:t xml:space="preserve"> - The top already decomposes into height modules + two end caps (Phase 2 architecture). The fold-out version places </w:t>
      </w:r>
      <w:r>
        <w:rPr>
          <w:b/>
          <w:bCs/>
        </w:rPr>
        <w:t>two engineered hinge lines at module joints</w:t>
      </w:r>
      <w:r>
        <w:rPr/>
        <w:t xml:space="preserve"> on the straight runs, splitting the table into a center section + two folding wings. - Hinge lines fall at </w:t>
      </w:r>
      <w:r>
        <w:rPr>
          <w:b/>
          <w:bCs/>
        </w:rPr>
        <w:t>flat plateau points of the wave</w:t>
      </w:r>
      <w:r>
        <w:rPr/>
        <w:t xml:space="preserve"> (never mid-curve), with a machined stainless piano-hinge spine below the surface and a compression-lock latch; the visible joint is a tight seam, not the seamless monolith. - The </w:t>
      </w:r>
      <w:r>
        <w:rPr>
          <w:b/>
          <w:bCs/>
        </w:rPr>
        <w:t>central trough splits</w:t>
      </w:r>
      <w:r>
        <w:rPr/>
        <w:t xml:space="preserve"> with the fold: the stainless liner is made in three gasketed segments; inserts span only within a segment. - Folded envelope: ≈ </w:t>
      </w:r>
      <w:r>
        <w:rPr>
          <w:b/>
          <w:bCs/>
        </w:rPr>
        <w:t>1.5 × 1.2 m footprint</w:t>
      </w:r>
      <w:r>
        <w:rPr/>
        <w:t xml:space="preserve"> (wings vertical) — through a standard double door, and cuts LTL freight class/volume meaningfully. - </w:t>
      </w:r>
      <w:r>
        <w:rPr>
          <w:b/>
          <w:bCs/>
        </w:rPr>
        <w:t>Safety:</w:t>
      </w:r>
      <w:r>
        <w:rPr/>
        <w:t xml:space="preserve"> gas-strut damping on the wings, positive lock engaged/disengaged with a tool (child-safe — B8 applies), no finger gaps &gt;8 mm at the hinge line in any state, and knee-clear bays (B5) preserved when deployed.</w:t>
      </w:r>
    </w:p>
    <w:p>
      <w:pPr>
        <w:pStyle w:val="BodyText"/>
        <w:rPr/>
      </w:pPr>
      <w:r>
        <w:rPr>
          <w:b/>
          <w:bCs/>
        </w:rPr>
        <w:t>Honest trade-offs — offered as a variant, not the default:</w:t>
      </w:r>
      <w:r>
        <w:rPr/>
        <w:t xml:space="preserve"> - Two visible seams interrupt the seamless top (the flagship’s signature); seam quality becomes a QA gate. - ~+$400–700 unit cost (hinges, locks, segmented liner, added QA) at pilot volumes. - Slightly reduced edge stiffness at the hinge line — B4 deflection must be re-verified per unit. - </w:t>
      </w:r>
      <w:r>
        <w:rPr>
          <w:b/>
          <w:bCs/>
        </w:rPr>
        <w:t>Product line:</w:t>
      </w:r>
      <w:r>
        <w:rPr/>
        <w:t xml:space="preserve"> </w:t>
      </w:r>
      <w:r>
        <w:rPr>
          <w:i/>
          <w:iCs/>
        </w:rPr>
        <w:t>RIBBON One</w:t>
      </w:r>
      <w:r>
        <w:rPr/>
        <w:t xml:space="preserve"> (seamless flagship) and </w:t>
      </w:r>
      <w:r>
        <w:rPr>
          <w:i/>
          <w:iCs/>
        </w:rPr>
        <w:t>RIBBON Fold</w:t>
      </w:r>
      <w:r>
        <w:rPr/>
        <w:t xml:space="preserve"> (tri-fold variant). Fold is expected to win in schools, event spaces, and multi-use civic rooms; One in permanent installations.</w:t>
      </w:r>
      <w:bookmarkEnd w:id="47"/>
    </w:p>
    <w:p>
      <w:pPr>
        <w:pStyle w:val="Heading2"/>
        <w:rPr/>
      </w:pPr>
      <w:bookmarkStart w:id="48" w:name="ripple-effects-across-the-project"/>
      <w:r>
        <w:rPr/>
        <w:t>4 · Ripple effects across the project</w:t>
      </w:r>
    </w:p>
    <w:p>
      <w:pPr>
        <w:pStyle w:val="Compact"/>
        <w:numPr>
          <w:ilvl w:val="0"/>
          <w:numId w:val="48"/>
        </w:numPr>
        <w:rPr/>
      </w:pPr>
      <w:r>
        <w:rPr>
          <w:b/>
          <w:bCs/>
        </w:rPr>
        <w:t>Build spec:</w:t>
      </w:r>
      <w:r>
        <w:rPr/>
        <w:t xml:space="preserve"> base section restated as B1–B10; colorway + Fold variant sections appended.</w:t>
      </w:r>
    </w:p>
    <w:p>
      <w:pPr>
        <w:pStyle w:val="Compact"/>
        <w:numPr>
          <w:ilvl w:val="0"/>
          <w:numId w:val="49"/>
        </w:numPr>
        <w:rPr/>
      </w:pPr>
      <w:r>
        <w:rPr>
          <w:b/>
          <w:bCs/>
        </w:rPr>
        <w:t>Configurator:</w:t>
      </w:r>
      <w:r>
        <w:rPr/>
        <w:t xml:space="preserve"> two new dimensions (colorway; One/Fold) → still one parametric file per order.</w:t>
      </w:r>
    </w:p>
    <w:p>
      <w:pPr>
        <w:pStyle w:val="Compact"/>
        <w:numPr>
          <w:ilvl w:val="0"/>
          <w:numId w:val="50"/>
        </w:numPr>
        <w:rPr/>
      </w:pPr>
      <w:r>
        <w:rPr>
          <w:b/>
          <w:bCs/>
        </w:rPr>
        <w:t>Crossover model:</w:t>
      </w:r>
      <w:r>
        <w:rPr/>
        <w:t xml:space="preserve"> Fold cuts the freight input (smaller shipped volume) and adds ~$400–700 unit cost — in freight-dominated regions Fold </w:t>
      </w:r>
      <w:r>
        <w:rPr>
          <w:i/>
          <w:iCs/>
        </w:rPr>
        <w:t>improves</w:t>
      </w:r>
      <w:r>
        <w:rPr/>
        <w:t xml:space="preserve"> the centralized case and slightly delays the open-a-node break-even; test both in the model’s yellow cells.</w:t>
      </w:r>
    </w:p>
    <w:p>
      <w:pPr>
        <w:pStyle w:val="Compact"/>
        <w:numPr>
          <w:ilvl w:val="0"/>
          <w:numId w:val="51"/>
        </w:numPr>
        <w:rPr/>
      </w:pPr>
      <w:r>
        <w:rPr>
          <w:b/>
          <w:bCs/>
        </w:rPr>
        <w:t>Roadmap:</w:t>
      </w:r>
      <w:r>
        <w:rPr/>
        <w:t xml:space="preserve"> Fold prototypes in </w:t>
      </w:r>
      <w:r>
        <w:rPr>
          <w:b/>
          <w:bCs/>
        </w:rPr>
        <w:t>Phase 1 (pilot)</w:t>
      </w:r>
      <w:r>
        <w:rPr/>
        <w:t xml:space="preserve"> — at least one pilot site gets a Fold unit; colorways launch with the configurator MVP; custom colorway unlocks at Phase 2.</w:t>
      </w:r>
    </w:p>
    <w:p>
      <w:pPr>
        <w:pStyle w:val="Compact"/>
        <w:numPr>
          <w:ilvl w:val="0"/>
          <w:numId w:val="52"/>
        </w:numPr>
        <w:rPr/>
      </w:pPr>
      <w:r>
        <w:rPr>
          <w:b/>
          <w:bCs/>
        </w:rPr>
        <w:t>Pilot protocol additions:</w:t>
      </w:r>
      <w:r>
        <w:rPr/>
        <w:t xml:space="preserve"> fold/unfold cycle count and time, latch/pinch audit, seam wear at the hinge line, and colorway preference intercepts.</w:t>
      </w:r>
    </w:p>
    <w:p>
      <w:pPr>
        <w:pStyle w:val="Compact"/>
        <w:numPr>
          <w:ilvl w:val="0"/>
          <w:numId w:val="53"/>
        </w:numPr>
        <w:rPr/>
      </w:pPr>
      <w:r>
        <w:rPr>
          <w:b/>
          <w:bCs/>
        </w:rPr>
        <w:t>Business plan:</w:t>
      </w:r>
      <w:r>
        <w:rPr/>
        <w:t xml:space="preserve"> product section now carries the two-variant line and colorway system; Rev C.</w:t>
      </w:r>
    </w:p>
    <w:p>
      <w:pPr>
        <w:pStyle w:val="Normal"/>
        <w:rPr/>
      </w:pPr>
      <w:bookmarkStart w:id="49" w:name="ripple-effects-across-the-projec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rPr/>
      </w:pPr>
      <w:bookmarkStart w:id="50" w:name="Xf8cb6f7097bd9b1ec06346f1cc265fc34bc77a9"/>
      <w:r>
        <w:rPr/>
        <w:t>5 · Rev E — Ribbon Segment architecture (Level-as-Ribbon) architecture (every level becomes a table)</w:t>
      </w:r>
    </w:p>
    <w:p>
      <w:pPr>
        <w:pStyle w:val="FirstParagraph"/>
        <w:rPr/>
      </w:pPr>
      <w:r>
        <w:rPr>
          <w:b/>
          <w:bCs/>
        </w:rPr>
        <w:t>The pivot:</w:t>
      </w:r>
      <w:r>
        <w:rPr/>
        <w:t xml:space="preserve"> RIBBON is no longer one monolithic multi-height surface. </w:t>
      </w:r>
      <w:r>
        <w:rPr>
          <w:b/>
          <w:bCs/>
        </w:rPr>
        <w:t>Each height level is now its own discrete table</w:t>
      </w:r>
      <w:r>
        <w:rPr/>
        <w:t xml:space="preserve"> — a self-supporting unit with its own top, base, and requirements — and the product is the </w:t>
      </w:r>
      <w:r>
        <w:rPr>
          <w:i/>
          <w:iCs/>
        </w:rPr>
        <w:t>system</w:t>
      </w:r>
      <w:r>
        <w:rPr/>
        <w:t xml:space="preserve">: ribbon segments </w:t>
      </w:r>
      <w:r>
        <w:rPr>
          <w:b/>
          <w:bCs/>
        </w:rPr>
        <w:t>dock edge-to-edge</w:t>
      </w:r>
      <w:r>
        <w:rPr/>
        <w:t xml:space="preserve"> to form the Racetrack, Ring, or Hex profiles (or any custom arrangement), and undock to stand alone.</w:t>
      </w:r>
    </w:p>
    <w:p>
      <w:pPr>
        <w:pStyle w:val="Heading3"/>
        <w:rPr/>
      </w:pPr>
      <w:bookmarkStart w:id="51" w:name="the-ribbon-segment-family"/>
      <w:r>
        <w:rPr/>
        <w:t>The ribbon segment family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Height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L560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560 mm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Toddler table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Lowest anti-tip risk</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L650 / L680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650–680 mm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Child tables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L740-A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740 mm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Accessible table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Knee-clear per B5 on all open sides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L780 / L820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780–820 mm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Tween tables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L950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950 mm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Counter table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Footrail integral</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L1050 / L1100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1050–1100 mm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Bar tables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Widest base plate (tall + narrow = hardest anti-tip)</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F-Hub</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focal section as its own hub table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Planted / Service / Ice / Solid; services rise in its own mast</w:t>
            </w:r>
          </w:p>
        </w:tc>
      </w:tr>
    </w:tbl>
    <w:p>
      <w:pPr>
        <w:pStyle w:val="BodyText"/>
        <w:rPr/>
      </w:pPr>
      <w:r>
        <w:rPr/>
        <w:t xml:space="preserve">A Racetrack arrangement ≈ 8–10 ribbon segments + 1 F-Hub; Hex ≈ 6 + hub; Ring ≈ 8 wedge-ribbons + hub. Ramped </w:t>
      </w:r>
      <w:r>
        <w:rPr>
          <w:b/>
          <w:bCs/>
        </w:rPr>
        <w:t>transition caps</w:t>
      </w:r>
      <w:r>
        <w:rPr/>
        <w:t xml:space="preserve"> bridge adjacent tops so the docked profile still reads as one flowing surface.</w:t>
      </w:r>
      <w:bookmarkEnd w:id="51"/>
    </w:p>
    <w:p>
      <w:pPr>
        <w:pStyle w:val="Heading3"/>
        <w:rPr/>
      </w:pPr>
      <w:bookmarkStart w:id="52" w:name="what-this-wins"/>
      <w:r>
        <w:rPr/>
        <w:t>What this wins</w:t>
      </w:r>
    </w:p>
    <w:p>
      <w:pPr>
        <w:pStyle w:val="Compact"/>
        <w:numPr>
          <w:ilvl w:val="0"/>
          <w:numId w:val="54"/>
        </w:numPr>
        <w:rPr/>
      </w:pPr>
      <w:r>
        <w:rPr>
          <w:b/>
          <w:bCs/>
        </w:rPr>
        <w:t>Manufacturing collapses in complexity:</w:t>
      </w:r>
      <w:r>
        <w:rPr/>
        <w:t xml:space="preserve"> flat or simply-curved tops per table — thermoform molds shrink or vanish; several levels need no mold at all. The make/buy/print matrix simplifies a full phase early.</w:t>
      </w:r>
    </w:p>
    <w:p>
      <w:pPr>
        <w:pStyle w:val="Compact"/>
        <w:numPr>
          <w:ilvl w:val="0"/>
          <w:numId w:val="55"/>
        </w:numPr>
        <w:rPr/>
      </w:pPr>
      <w:r>
        <w:rPr>
          <w:b/>
          <w:bCs/>
        </w:rPr>
        <w:t>Freight becomes trivial:</w:t>
      </w:r>
      <w:r>
        <w:rPr/>
        <w:t xml:space="preserve"> individual tables stack and ship standard LTL; the fold-out variant’s </w:t>
      </w:r>
      <w:r>
        <w:rPr>
          <w:i/>
          <w:iCs/>
        </w:rPr>
        <w:t>raison d’être</w:t>
      </w:r>
      <w:r>
        <w:rPr/>
        <w:t xml:space="preserve"> (shipping envelope) is largely absorbed — </w:t>
      </w:r>
      <w:r>
        <w:rPr>
          <w:b/>
          <w:bCs/>
        </w:rPr>
        <w:t>RIBBON Fold narrows to fold-leg options on individual ribbon segments</w:t>
      </w:r>
      <w:r>
        <w:rPr/>
        <w:t>.</w:t>
      </w:r>
    </w:p>
    <w:p>
      <w:pPr>
        <w:pStyle w:val="Compact"/>
        <w:numPr>
          <w:ilvl w:val="0"/>
          <w:numId w:val="56"/>
        </w:numPr>
        <w:rPr/>
      </w:pPr>
      <w:r>
        <w:rPr>
          <w:b/>
          <w:bCs/>
        </w:rPr>
        <w:t>Crossover economics shift:</w:t>
      </w:r>
      <w:r>
        <w:rPr/>
        <w:t xml:space="preserve"> with freight per arrangement dropping sharply, the </w:t>
      </w:r>
      <w:r>
        <w:rPr>
          <w:b/>
          <w:bCs/>
        </w:rPr>
        <w:t>centralized case strengthens</w:t>
      </w:r>
      <w:r>
        <w:rPr/>
        <w:t xml:space="preserve"> and the open-a-node break-even rises — re-test in the model (freight cells down, per-unit assembly/docking labor up slightly).</w:t>
      </w:r>
    </w:p>
    <w:p>
      <w:pPr>
        <w:pStyle w:val="Compact"/>
        <w:numPr>
          <w:ilvl w:val="0"/>
          <w:numId w:val="57"/>
        </w:numPr>
        <w:rPr/>
      </w:pPr>
      <w:r>
        <w:rPr>
          <w:b/>
          <w:bCs/>
        </w:rPr>
        <w:t>Sales flexibility:</w:t>
      </w:r>
      <w:r>
        <w:rPr/>
        <w:t xml:space="preserve"> venues can start with three tables and grow to a full arrangement; damaged or outgrown levels replace one table at a time; every level is separately rentable/reconfigurable.</w:t>
      </w:r>
      <w:bookmarkEnd w:id="52"/>
    </w:p>
    <w:p>
      <w:pPr>
        <w:pStyle w:val="Heading3"/>
        <w:rPr/>
      </w:pPr>
      <w:bookmarkStart w:id="53" w:name="what-this-costs-honest"/>
      <w:r>
        <w:rPr/>
        <w:t>What this costs (honest)</w:t>
      </w:r>
    </w:p>
    <w:p>
      <w:pPr>
        <w:pStyle w:val="Compact"/>
        <w:numPr>
          <w:ilvl w:val="0"/>
          <w:numId w:val="58"/>
        </w:numPr>
        <w:rPr/>
      </w:pPr>
      <w:r>
        <w:rPr>
          <w:b/>
          <w:bCs/>
        </w:rPr>
        <w:t>The seamless wave dies.</w:t>
      </w:r>
      <w:r>
        <w:rPr/>
        <w:t xml:space="preserve"> The signature continuous surface becomes a docked, stepped profile with managed seams at every junction. Transition caps soften but do not hide this.</w:t>
      </w:r>
    </w:p>
    <w:p>
      <w:pPr>
        <w:pStyle w:val="Compact"/>
        <w:numPr>
          <w:ilvl w:val="0"/>
          <w:numId w:val="59"/>
        </w:numPr>
        <w:rPr/>
      </w:pPr>
      <w:r>
        <w:rPr>
          <w:b/>
          <w:bCs/>
        </w:rPr>
        <w:t>Docking is now a safety-critical subsystem:</w:t>
      </w:r>
      <w:r>
        <w:rPr/>
        <w:t xml:space="preserve"> inter-table latches must produce </w:t>
      </w:r>
      <w:r>
        <w:rPr>
          <w:b/>
          <w:bCs/>
        </w:rPr>
        <w:t>zero finger-entrapment gaps (≤8 mm or ≥25 mm, never between)</w:t>
      </w:r>
      <w:r>
        <w:rPr/>
        <w:t>, no relative movement in normal use, and tool-release only (child-safe).</w:t>
      </w:r>
    </w:p>
    <w:p>
      <w:pPr>
        <w:pStyle w:val="Compact"/>
        <w:numPr>
          <w:ilvl w:val="0"/>
          <w:numId w:val="60"/>
        </w:numPr>
        <w:rPr/>
      </w:pPr>
      <w:r>
        <w:rPr>
          <w:b/>
          <w:bCs/>
        </w:rPr>
        <w:t>Anti-tip is per-table, not per-system:</w:t>
      </w:r>
      <w:r>
        <w:rPr/>
        <w:t xml:space="preserve"> B3’s 350 N test now applies to </w:t>
      </w:r>
      <w:r>
        <w:rPr>
          <w:i/>
          <w:iCs/>
        </w:rPr>
        <w:t>each undocked unit</w:t>
      </w:r>
      <w:r>
        <w:rPr/>
        <w:t xml:space="preserve"> — hardest for the tall bar tables, which drive base-plate size.</w:t>
      </w:r>
    </w:p>
    <w:p>
      <w:pPr>
        <w:pStyle w:val="Compact"/>
        <w:numPr>
          <w:ilvl w:val="0"/>
          <w:numId w:val="61"/>
        </w:numPr>
        <w:rPr/>
      </w:pPr>
      <w:r>
        <w:rPr>
          <w:b/>
          <w:bCs/>
        </w:rPr>
        <w:t>The central trough fragments:</w:t>
      </w:r>
      <w:r>
        <w:rPr/>
        <w:t xml:space="preserve"> it survives as per-table trough segments that align when docked; continuous ice/water runs are no longer possible across tables — wet functions consolidate into the F-Hub.</w:t>
      </w:r>
      <w:bookmarkEnd w:id="53"/>
    </w:p>
    <w:p>
      <w:pPr>
        <w:pStyle w:val="Heading3"/>
        <w:rPr/>
      </w:pPr>
      <w:bookmarkStart w:id="54" w:name="spec-impact"/>
      <w:r>
        <w:rPr/>
        <w:t>Spec impact</w:t>
      </w:r>
    </w:p>
    <w:p>
      <w:pPr>
        <w:pStyle w:val="Compact"/>
        <w:numPr>
          <w:ilvl w:val="0"/>
          <w:numId w:val="62"/>
        </w:numPr>
        <w:rPr/>
      </w:pPr>
      <w:r>
        <w:rPr>
          <w:b/>
          <w:bCs/>
        </w:rPr>
        <w:t>B12 (new): docking</w:t>
      </w:r>
      <w:r>
        <w:rPr/>
        <w:t xml:space="preserve"> — latched, tool-release, zero entrapment gaps, ≤1 mm top misalignment at seams, arrangement stability ≥ single-table stability.</w:t>
      </w:r>
    </w:p>
    <w:p>
      <w:pPr>
        <w:pStyle w:val="Compact"/>
        <w:numPr>
          <w:ilvl w:val="0"/>
          <w:numId w:val="63"/>
        </w:numPr>
        <w:rPr/>
      </w:pPr>
      <w:r>
        <w:rPr>
          <w:b/>
          <w:bCs/>
        </w:rPr>
        <w:t>B3 revised:</w:t>
      </w:r>
      <w:r>
        <w:rPr/>
        <w:t xml:space="preserve"> anti-tip verified per segment, unspliced, worst case (bar heights).</w:t>
      </w:r>
    </w:p>
    <w:p>
      <w:pPr>
        <w:pStyle w:val="Compact"/>
        <w:numPr>
          <w:ilvl w:val="0"/>
          <w:numId w:val="64"/>
        </w:numPr>
        <w:rPr/>
      </w:pPr>
      <w:r>
        <w:rPr>
          <w:b/>
          <w:bCs/>
        </w:rPr>
        <w:t>B11 (focal):</w:t>
      </w:r>
      <w:r>
        <w:rPr/>
        <w:t xml:space="preserve"> the F-Hub </w:t>
      </w:r>
      <w:r>
        <w:rPr>
          <w:i/>
          <w:iCs/>
        </w:rPr>
        <w:t>is</w:t>
      </w:r>
      <w:r>
        <w:rPr/>
        <w:t xml:space="preserve"> the fixed focal section — unchanged in role, now self-contained.</w:t>
      </w:r>
    </w:p>
    <w:p>
      <w:pPr>
        <w:pStyle w:val="Compact"/>
        <w:numPr>
          <w:ilvl w:val="0"/>
          <w:numId w:val="65"/>
        </w:numPr>
        <w:rPr/>
      </w:pPr>
      <w:bookmarkStart w:id="55" w:name="spec-impact"/>
      <w:r>
        <w:rPr/>
        <w:t>Colorways apply per-table (mixed-colorway arrangements now possible — flag as a configurator option and a merchandising win).</w:t>
      </w:r>
      <w:bookmarkEnd w:id="55"/>
    </w:p>
    <w:p>
      <w:pPr>
        <w:pStyle w:val="Heading3"/>
        <w:rPr/>
      </w:pPr>
      <w:bookmarkStart w:id="56" w:name="roadmap-impact"/>
      <w:r>
        <w:rPr/>
        <w:t>Roadmap impact</w:t>
      </w:r>
    </w:p>
    <w:p>
      <w:pPr>
        <w:pStyle w:val="FirstParagraph"/>
        <w:rPr/>
      </w:pPr>
      <w:r>
        <w:rPr/>
        <w:t xml:space="preserve">Phase 0 prototype becomes </w:t>
      </w:r>
      <w:r>
        <w:rPr>
          <w:b/>
          <w:bCs/>
        </w:rPr>
        <w:t>one full docked Racetrack arrangement + undock/redock trials</w:t>
      </w:r>
      <w:r>
        <w:rPr/>
        <w:t>; the pilot protocol adds docking-cycle, seam-wear, and misalignment checks; Phase 3’s LFAM case weakens (fewer complex tops) while robotic assembly/QA of docking hardware strengthens.</w:t>
      </w:r>
    </w:p>
    <w:p>
      <w:pPr>
        <w:pStyle w:val="Normal"/>
        <w:rPr/>
      </w:pPr>
      <w:bookmarkStart w:id="57" w:name="Xf8cb6f7097bd9b1ec06346f1cc265fc34bc77a9"/>
      <w:bookmarkStart w:id="58" w:name="roadmap-impact"/>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p>
    <w:p>
      <w:pPr>
        <w:pStyle w:val="Heading2"/>
        <w:rPr/>
      </w:pPr>
      <w:bookmarkStart w:id="59" w:name="Xf23f2a9cca1cf43e1a5621047d6c6c904f26cfb"/>
      <w:r>
        <w:rPr/>
        <w:t>6 · Rev F — Transition pieces (the connective tissue of Ribbon Segment architecture (Level-as-Ribbon))</w:t>
      </w:r>
    </w:p>
    <w:p>
      <w:pPr>
        <w:pStyle w:val="FirstParagraph"/>
        <w:rPr/>
      </w:pPr>
      <w:r>
        <w:rPr/>
        <w:t>Transition pieces are now first-class parts: they bridge adjacent ribbon segments so a docked arrangement reads as one flowing system, and they close the safety gaps docking creates.</w:t>
      </w:r>
    </w:p>
    <w:p>
      <w:pPr>
        <w:pStyle w:val="Heading3"/>
        <w:rPr/>
      </w:pPr>
      <w:r>
        <w:rPr/>
        <w:t>The family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Code</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Straight ramp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TC-Δxxx-S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Bridges two spliced segments of height delta Δ (e.g., TC-Δ090-S bridges 90 mm). Locks into both tables’ B12 latches, covers the seam.</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Corner ramp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TC-Δxxx-C60 / C90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Same, turning 60° (Hex corners) or 90° (custom layouts).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Ring wedge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RC-Δxxx</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Curved transition for Ring wedge-ribbons.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End cap</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EC-hhh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Finishes an exposed dock face at height hhh with a bullnosed terminus (open-ended and growing arrangements).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Level bridge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LB-hhh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Zero-delta seam cover joining two same-height tables into one continuous run.</w:t>
            </w:r>
            <w:bookmarkStart w:id="60" w:name="the-family"/>
            <w:bookmarkEnd w:id="60"/>
          </w:p>
        </w:tc>
      </w:tr>
    </w:tbl>
    <w:p>
      <w:pPr>
        <w:pStyle w:val="Heading3"/>
        <w:rPr/>
      </w:pPr>
      <w:r>
        <w:rPr/>
        <w:t>Engineering rules (honest physics)</w:t>
      </w:r>
    </w:p>
    <w:p>
      <w:pPr>
        <w:pStyle w:val="Compact"/>
        <w:numPr>
          <w:ilvl w:val="0"/>
          <w:numId w:val="66"/>
        </w:numPr>
        <w:rPr/>
      </w:pPr>
      <w:r>
        <w:rPr>
          <w:b/>
          <w:bCs/>
        </w:rPr>
        <w:t>Delta classes:</w:t>
      </w:r>
      <w:r>
        <w:rPr/>
        <w:t xml:space="preserve"> Δ ≤ 120 mm → 300 mm ramp; Δ 121–240 mm → 450 mm ramp; Δ &gt; 240 mm → </w:t>
      </w:r>
      <w:r>
        <w:rPr>
          <w:b/>
          <w:bCs/>
        </w:rPr>
        <w:t>stepped cap</w:t>
      </w:r>
      <w:r>
        <w:rPr/>
        <w:t xml:space="preserve"> (two mini-plateaus), because a single ramp would exceed ~28° and anything set on it slides.</w:t>
      </w:r>
    </w:p>
    <w:p>
      <w:pPr>
        <w:pStyle w:val="Compact"/>
        <w:numPr>
          <w:ilvl w:val="0"/>
          <w:numId w:val="67"/>
        </w:numPr>
        <w:rPr/>
      </w:pPr>
      <w:r>
        <w:rPr>
          <w:b/>
          <w:bCs/>
        </w:rPr>
        <w:t>No-set-down zone:</w:t>
      </w:r>
      <w:r>
        <w:rPr/>
        <w:t xml:space="preserve"> any cap steeper than 10° carries a molded ridge texture and contrast band — a visual/tactile “don’t park your drink here” cue (and a cane-detectable edge).</w:t>
      </w:r>
    </w:p>
    <w:p>
      <w:pPr>
        <w:pStyle w:val="Compact"/>
        <w:numPr>
          <w:ilvl w:val="0"/>
          <w:numId w:val="68"/>
        </w:numPr>
        <w:rPr/>
      </w:pPr>
      <w:r>
        <w:rPr>
          <w:b/>
          <w:bCs/>
        </w:rPr>
        <w:t>Safety integration:</w:t>
      </w:r>
      <w:r>
        <w:rPr/>
        <w:t xml:space="preserve"> caps span the inter-table seam with zero entrapment gaps (B12), add ≤1 mm surface step, and cannot be lifted without tool release (child-safe).</w:t>
      </w:r>
    </w:p>
    <w:p>
      <w:pPr>
        <w:pStyle w:val="Compact"/>
        <w:numPr>
          <w:ilvl w:val="0"/>
          <w:numId w:val="69"/>
        </w:numPr>
        <w:rPr/>
      </w:pPr>
      <w:r>
        <w:rPr>
          <w:b/>
          <w:bCs/>
        </w:rPr>
        <w:t>Material:</w:t>
      </w:r>
      <w:r>
        <w:rPr/>
        <w:t xml:space="preserve"> same solid-surface family as tops, colorway-matched or deliberately contrast-banded (configurator choice); underside GF-nylon chassis with the latch interface.</w:t>
      </w:r>
    </w:p>
    <w:p>
      <w:pPr>
        <w:pStyle w:val="Compact"/>
        <w:numPr>
          <w:ilvl w:val="0"/>
          <w:numId w:val="70"/>
        </w:numPr>
        <w:rPr/>
      </w:pPr>
      <w:r>
        <w:rPr>
          <w:b/>
          <w:bCs/>
        </w:rPr>
        <w:t>Count per arrangement:</w:t>
      </w:r>
      <w:r>
        <w:rPr/>
        <w:t xml:space="preserve"> Racetrack ≈ 8–10 caps + 0–2 ECs; Hex ≈ 6 corner caps; Ring ≈ 8 RCs. Caps are the highest-count SKU in the system — tooled early, injection/compression molded at volume.</w:t>
      </w:r>
    </w:p>
    <w:p>
      <w:pPr>
        <w:pStyle w:val="FirstParagraph"/>
        <w:rPr/>
      </w:pPr>
      <w:r>
        <w:rPr>
          <w:b/>
          <w:bCs/>
        </w:rPr>
        <w:t>Spec impact — B13 (new): transition pieces.</w:t>
      </w:r>
      <w:r>
        <w:rPr/>
        <w:t xml:space="preserve"> Every docked height change carries a cap of the correct delta class; caps meet B12 gap/step limits; ≥10° caps carry the no-set-down treatment; caps removable only by tool; arrangement is non-compliant if any dock face is left open without an EC.</w:t>
      </w:r>
      <w:bookmarkEnd w:id="41"/>
      <w:bookmarkEnd w:id="59"/>
    </w:p>
    <w:p>
      <w:pPr>
        <w:pStyle w:val="Heading1"/>
        <w:rPr/>
      </w:pPr>
      <w:bookmarkStart w:id="61" w:name="X1e84aa7f94809abc61cd8580eb7a19e92f7e8ae"/>
      <w:r>
        <w:rPr/>
        <w:t>Part 6 — Shape Options (history: Ring &amp; Hex · fixed focal)</w:t>
      </w:r>
      <w:bookmarkEnd w:id="61"/>
    </w:p>
    <w:p>
      <w:pPr>
        <w:pStyle w:val="Heading1"/>
        <w:rPr/>
      </w:pPr>
      <w:bookmarkStart w:id="62" w:name="ribbon-shape-options-addendum-ring-hex"/>
      <w:r>
        <w:rPr/>
        <w:t>RIBBON — Shape Options Addendum: Ring &amp; Hex</w:t>
      </w:r>
    </w:p>
    <w:p>
      <w:pPr>
        <w:pStyle w:val="Heading3"/>
        <w:rPr/>
      </w:pPr>
      <w:bookmarkStart w:id="63" w:name="X01d0cabf46a9fccec2eef92636ae70fd790f74d"/>
      <w:r>
        <w:rPr/>
        <w:t>Rev D companion — extends the racetrack flagship with two geometries</w:t>
      </w:r>
    </w:p>
    <w:p>
      <w:pPr>
        <w:pStyle w:val="FirstParagraph"/>
        <w:rPr/>
      </w:pPr>
      <w:r>
        <w:rPr/>
        <w:t xml:space="preserve">The height system (560–1100 mm), base requirements B1–B10, colorways, and trough/insert logic are unchanged; only the plan geometry varies. Companion drawing: </w:t>
      </w:r>
      <w:r>
        <w:rPr>
          <w:rStyle w:val="VerbatimChar"/>
        </w:rPr>
        <w:t>RIBBON-shape-options-plan-view.svg</w:t>
      </w:r>
      <w:r>
        <w:rPr/>
        <w:t>.</w:t>
      </w:r>
    </w:p>
    <w:p>
      <w:pPr>
        <w:pStyle w:val="Normal"/>
        <w:rPr/>
      </w:pPr>
      <w:bookmarkStart w:id="64" w:name="X01d0cabf46a9fccec2eef92636ae70fd790f74d"/>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p>
    <w:p>
      <w:pPr>
        <w:pStyle w:val="Heading2"/>
        <w:rPr/>
      </w:pPr>
      <w:bookmarkStart w:id="65" w:name="ribbon-ring-circular"/>
      <w:r>
        <w:rPr/>
        <w:t>1 · RIBBON Ring (circular)</w:t>
      </w:r>
    </w:p>
    <w:p>
      <w:pPr>
        <w:pStyle w:val="Compact"/>
        <w:numPr>
          <w:ilvl w:val="0"/>
          <w:numId w:val="71"/>
        </w:numPr>
        <w:rPr/>
      </w:pPr>
      <w:r>
        <w:rPr>
          <w:b/>
          <w:bCs/>
        </w:rPr>
        <w:t>Geometry:</w:t>
      </w:r>
      <w:r>
        <w:rPr/>
        <w:t xml:space="preserve"> Ø ≈ 2.95 m annulus; </w:t>
      </w:r>
      <w:r>
        <w:rPr>
          <w:b/>
          <w:bCs/>
        </w:rPr>
        <w:t>ring depth 500 mm</w:t>
      </w:r>
      <w:r>
        <w:rPr/>
        <w:t>; center core Ø ≈ 1.1 m (the unreachable middle becomes the feature: planter, ice well, or supply hub). 14 positions on ~9.2 m of circumference.</w:t>
      </w:r>
    </w:p>
    <w:p>
      <w:pPr>
        <w:pStyle w:val="Compact"/>
        <w:numPr>
          <w:ilvl w:val="0"/>
          <w:numId w:val="72"/>
        </w:numPr>
        <w:rPr/>
      </w:pPr>
      <w:r>
        <w:rPr>
          <w:b/>
          <w:bCs/>
        </w:rPr>
        <w:t>Wave:</w:t>
      </w:r>
      <w:r>
        <w:rPr/>
        <w:t xml:space="preserve"> rises and falls </w:t>
      </w:r>
      <w:r>
        <w:rPr>
          <w:b/>
          <w:bCs/>
        </w:rPr>
        <w:t>twice</w:t>
      </w:r>
      <w:r>
        <w:rPr/>
        <w:t xml:space="preserve"> around the circle (two mirrored gradients), so the surface returns to its start height — a continuous helical rim with no step.</w:t>
      </w:r>
    </w:p>
    <w:p>
      <w:pPr>
        <w:pStyle w:val="Compact"/>
        <w:numPr>
          <w:ilvl w:val="0"/>
          <w:numId w:val="73"/>
        </w:numPr>
        <w:rPr/>
      </w:pPr>
      <w:r>
        <w:rPr>
          <w:b/>
          <w:bCs/>
        </w:rPr>
        <w:t>Accessibility:</w:t>
      </w:r>
      <w:r>
        <w:rPr/>
        <w:t xml:space="preserve"> a </w:t>
      </w:r>
      <w:r>
        <w:rPr>
          <w:b/>
          <w:bCs/>
        </w:rPr>
        <w:t>flattened chord</w:t>
      </w:r>
      <w:r>
        <w:rPr/>
        <w:t xml:space="preserve"> on the low arc creates the knee-clear 740 mm bays (a pure circle can’t hold a wheelchair square-on); B5 clearances preserved.</w:t>
      </w:r>
    </w:p>
    <w:p>
      <w:pPr>
        <w:pStyle w:val="Compact"/>
        <w:numPr>
          <w:ilvl w:val="0"/>
          <w:numId w:val="74"/>
        </w:numPr>
        <w:rPr/>
      </w:pPr>
      <w:r>
        <w:rPr>
          <w:b/>
          <w:bCs/>
        </w:rPr>
        <w:t>Trough:</w:t>
      </w:r>
      <w:r>
        <w:rPr/>
        <w:t xml:space="preserve"> becomes a concentric </w:t>
      </w:r>
      <w:r>
        <w:rPr>
          <w:b/>
          <w:bCs/>
        </w:rPr>
        <w:t>ring trough</w:t>
      </w:r>
      <w:r>
        <w:rPr/>
        <w:t xml:space="preserve"> mid-annulus; inserts are arc segments.</w:t>
      </w:r>
    </w:p>
    <w:p>
      <w:pPr>
        <w:pStyle w:val="Compact"/>
        <w:numPr>
          <w:ilvl w:val="0"/>
          <w:numId w:val="75"/>
        </w:numPr>
        <w:rPr/>
      </w:pPr>
      <w:r>
        <w:rPr>
          <w:b/>
          <w:bCs/>
        </w:rPr>
        <w:t>Trade-offs (honest):</w:t>
      </w:r>
      <w:r>
        <w:rPr/>
        <w:t xml:space="preserve"> compound-curved thermoforming is the hardest of the three shapes (higher mold cost, more scrap); no straight module joints, so </w:t>
      </w:r>
      <w:r>
        <w:rPr>
          <w:b/>
          <w:bCs/>
        </w:rPr>
        <w:t>Ring does not fold</w:t>
      </w:r>
      <w:r>
        <w:rPr/>
        <w:t xml:space="preserve"> and modularizes worst; everyone faces inward — the most social geometry, the least workable for laptops-in-rows.</w:t>
      </w:r>
    </w:p>
    <w:p>
      <w:pPr>
        <w:pStyle w:val="Compact"/>
        <w:numPr>
          <w:ilvl w:val="0"/>
          <w:numId w:val="76"/>
        </w:numPr>
        <w:rPr/>
      </w:pPr>
      <w:r>
        <w:rPr>
          <w:b/>
          <w:bCs/>
        </w:rPr>
        <w:t>Best for:</w:t>
      </w:r>
      <w:r>
        <w:rPr/>
        <w:t xml:space="preserve"> lobbies, museums, story-circles, tasting rooms — occasions, not workstations.</w:t>
      </w:r>
      <w:bookmarkEnd w:id="65"/>
    </w:p>
    <w:p>
      <w:pPr>
        <w:pStyle w:val="Heading2"/>
        <w:rPr/>
      </w:pPr>
      <w:bookmarkStart w:id="66" w:name="ribbon-hex-hexagonal"/>
      <w:r>
        <w:rPr/>
        <w:t>2 · RIBBON Hex (hexagonal)</w:t>
      </w:r>
    </w:p>
    <w:p>
      <w:pPr>
        <w:pStyle w:val="Compact"/>
        <w:numPr>
          <w:ilvl w:val="0"/>
          <w:numId w:val="77"/>
        </w:numPr>
        <w:rPr/>
      </w:pPr>
      <w:r>
        <w:rPr>
          <w:b/>
          <w:bCs/>
        </w:rPr>
        <w:t>Geometry:</w:t>
      </w:r>
      <w:r>
        <w:rPr/>
        <w:t xml:space="preserve"> 2.65 m across flats; six ~1.53 m edges; positions 2-2-3-2-2-3 = </w:t>
      </w:r>
      <w:r>
        <w:rPr>
          <w:b/>
          <w:bCs/>
        </w:rPr>
        <w:t>14</w:t>
      </w:r>
      <w:r>
        <w:rPr/>
        <w:t>. Center hex well (or turntable) solves the deep middle.</w:t>
      </w:r>
    </w:p>
    <w:p>
      <w:pPr>
        <w:pStyle w:val="Compact"/>
        <w:numPr>
          <w:ilvl w:val="0"/>
          <w:numId w:val="78"/>
        </w:numPr>
        <w:rPr/>
      </w:pPr>
      <w:r>
        <w:rPr>
          <w:b/>
          <w:bCs/>
        </w:rPr>
        <w:t>Heights:</w:t>
      </w:r>
      <w:r>
        <w:rPr/>
        <w:t xml:space="preserve"> </w:t>
      </w:r>
      <w:r>
        <w:rPr>
          <w:b/>
          <w:bCs/>
        </w:rPr>
        <w:t>one plateau per edge</w:t>
      </w:r>
      <w:r>
        <w:rPr/>
        <w:t xml:space="preserve"> — six clean height zones (toddler → bar), with short ramped corners handling every transition. The simplest possible statement of the multi-height idea.</w:t>
      </w:r>
    </w:p>
    <w:p>
      <w:pPr>
        <w:pStyle w:val="Compact"/>
        <w:numPr>
          <w:ilvl w:val="0"/>
          <w:numId w:val="79"/>
        </w:numPr>
        <w:rPr/>
      </w:pPr>
      <w:r>
        <w:rPr>
          <w:b/>
          <w:bCs/>
        </w:rPr>
        <w:t>Accessibility:</w:t>
      </w:r>
      <w:r>
        <w:rPr/>
        <w:t xml:space="preserve"> one full edge (plus part of a second) at 740 mm knee-clear — flat edges make Hex the easiest shape to roll up to.</w:t>
      </w:r>
    </w:p>
    <w:p>
      <w:pPr>
        <w:pStyle w:val="Compact"/>
        <w:numPr>
          <w:ilvl w:val="0"/>
          <w:numId w:val="80"/>
        </w:numPr>
        <w:rPr/>
      </w:pPr>
      <w:r>
        <w:rPr>
          <w:b/>
          <w:bCs/>
        </w:rPr>
        <w:t>Engineering win:</w:t>
      </w:r>
      <w:r>
        <w:rPr/>
        <w:t xml:space="preserve"> all-straight segments — </w:t>
      </w:r>
      <w:r>
        <w:rPr>
          <w:b/>
          <w:bCs/>
        </w:rPr>
        <w:t>no compound curves</w:t>
      </w:r>
      <w:r>
        <w:rPr/>
        <w:t xml:space="preserve">, simplest thermoform (or even flat stock + ramped corner pieces), cleanest module kit, and the natural </w:t>
      </w:r>
      <w:r>
        <w:rPr>
          <w:b/>
          <w:bCs/>
        </w:rPr>
        <w:t>Fold</w:t>
      </w:r>
      <w:r>
        <w:rPr/>
        <w:t xml:space="preserve"> candidate (two hinge lines across the width fold it like a pie case).</w:t>
      </w:r>
    </w:p>
    <w:p>
      <w:pPr>
        <w:pStyle w:val="Compact"/>
        <w:numPr>
          <w:ilvl w:val="0"/>
          <w:numId w:val="81"/>
        </w:numPr>
        <w:rPr/>
      </w:pPr>
      <w:r>
        <w:rPr>
          <w:b/>
          <w:bCs/>
        </w:rPr>
        <w:t>Scaling story:</w:t>
      </w:r>
      <w:r>
        <w:rPr/>
        <w:t xml:space="preserve"> hexes </w:t>
      </w:r>
      <w:r>
        <w:rPr>
          <w:b/>
          <w:bCs/>
        </w:rPr>
        <w:t>tessellate</w:t>
      </w:r>
      <w:r>
        <w:rPr/>
        <w:t xml:space="preserve"> — venues can tile two or three RIBBON Hexes into honeycomb clusters, which no other shape offers. This turns a table into a floorplan system.</w:t>
      </w:r>
    </w:p>
    <w:p>
      <w:pPr>
        <w:pStyle w:val="Compact"/>
        <w:numPr>
          <w:ilvl w:val="0"/>
          <w:numId w:val="82"/>
        </w:numPr>
        <w:rPr/>
      </w:pPr>
      <w:r>
        <w:rPr>
          <w:b/>
          <w:bCs/>
        </w:rPr>
        <w:t>Best for:</w:t>
      </w:r>
      <w:r>
        <w:rPr/>
        <w:t xml:space="preserve"> schools and libraries (clusters!), makerspaces, cafeterias, coworking.</w:t>
      </w:r>
      <w:bookmarkEnd w:id="66"/>
    </w:p>
    <w:p>
      <w:pPr>
        <w:pStyle w:val="Heading2"/>
        <w:rPr/>
      </w:pPr>
      <w:r>
        <w:rPr/>
        <w:t>3 · The shape family, summarized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Racetrack</w:t>
            </w:r>
            <w:r>
              <w:rPr>
                <w:rFonts w:eastAsia="Cambria" w:cs=""/>
                <w:kern w:val="0"/>
                <w:sz w:val="24"/>
                <w:szCs w:val="24"/>
                <w:lang w:val="en-US" w:eastAsia="en-US" w:bidi="ar-SA"/>
              </w:rPr>
              <w:t xml:space="preserve"> (flagship)</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Ring</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Hex</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Footprint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3.9 × 1.2 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Ø 2.95 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2.65 m A/F</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Wave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Continuous, 2 long runs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Helical, rises/falls ×2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 plateaus, ramped corners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bays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(both ends)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(flattened chord)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(flat edges)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Fold variant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 (tri-fold)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Yes — best folder</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Thermoform difficulty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Hardest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Easiest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Modularity / kit fit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Good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Poor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Best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Sociability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Linear + ends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(all face in)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Unique power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Length &amp; flow</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gathering circle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Tessellation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Price posture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Premium (+mold, +scrap)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At/below baseline</w:t>
            </w:r>
            <w:bookmarkStart w:id="67" w:name="the-shape-family-summarized"/>
            <w:bookmarkEnd w:id="67"/>
          </w:p>
        </w:tc>
      </w:tr>
    </w:tbl>
    <w:p>
      <w:pPr>
        <w:pStyle w:val="Heading2"/>
        <w:rPr/>
      </w:pPr>
      <w:r>
        <w:rPr/>
        <w:t>4 · Ripple effects across the project</w:t>
      </w:r>
    </w:p>
    <w:p>
      <w:pPr>
        <w:pStyle w:val="Compact"/>
        <w:numPr>
          <w:ilvl w:val="0"/>
          <w:numId w:val="83"/>
        </w:numPr>
        <w:rPr/>
      </w:pPr>
      <w:r>
        <w:rPr>
          <w:b/>
          <w:bCs/>
        </w:rPr>
        <w:t>Configurator:</w:t>
      </w:r>
      <w:r>
        <w:rPr/>
        <w:t xml:space="preserve"> shape becomes the </w:t>
      </w:r>
      <w:r>
        <w:rPr>
          <w:i/>
          <w:iCs/>
        </w:rPr>
        <w:t>first</w:t>
      </w:r>
      <w:r>
        <w:rPr/>
        <w:t xml:space="preserve"> dimension: </w:t>
      </w:r>
      <w:r>
        <w:rPr>
          <w:b/>
          <w:bCs/>
        </w:rPr>
        <w:t>Racetrack · Ring · Hex</w:t>
      </w:r>
      <w:r>
        <w:rPr/>
        <w:t xml:space="preserve"> → then variant (One/Fold, where offered) → height mix → colorway → inserts. Still one parametric file per order.</w:t>
      </w:r>
    </w:p>
    <w:p>
      <w:pPr>
        <w:pStyle w:val="Compact"/>
        <w:numPr>
          <w:ilvl w:val="0"/>
          <w:numId w:val="84"/>
        </w:numPr>
        <w:rPr/>
      </w:pPr>
      <w:r>
        <w:rPr>
          <w:b/>
          <w:bCs/>
        </w:rPr>
        <w:t>Build spec:</w:t>
      </w:r>
      <w:r>
        <w:rPr/>
        <w:t xml:space="preserve"> B1–B10 apply per shape; Ring adds a chord-flat requirement; Hex adds corner-ramp and tessellation-edge specs.</w:t>
      </w:r>
    </w:p>
    <w:p>
      <w:pPr>
        <w:pStyle w:val="Compact"/>
        <w:numPr>
          <w:ilvl w:val="0"/>
          <w:numId w:val="85"/>
        </w:numPr>
        <w:rPr/>
      </w:pPr>
      <w:r>
        <w:rPr>
          <w:b/>
          <w:bCs/>
        </w:rPr>
        <w:t>Crossover model:</w:t>
      </w:r>
      <w:r>
        <w:rPr/>
        <w:t xml:space="preserve"> Hex slightly </w:t>
      </w:r>
      <w:r>
        <w:rPr>
          <w:i/>
          <w:iCs/>
        </w:rPr>
        <w:t>lowers</w:t>
      </w:r>
      <w:r>
        <w:rPr/>
        <w:t xml:space="preserve"> materials/tooling vs. baseline; Ring raises them (~+10–20% at pilot volume, mold-driven). Test via the Materials and Tooling yellow cells.</w:t>
      </w:r>
    </w:p>
    <w:p>
      <w:pPr>
        <w:pStyle w:val="Compact"/>
        <w:numPr>
          <w:ilvl w:val="0"/>
          <w:numId w:val="86"/>
        </w:numPr>
        <w:rPr/>
      </w:pPr>
      <w:r>
        <w:rPr>
          <w:b/>
          <w:bCs/>
        </w:rPr>
        <w:t>Roadmap:</w:t>
      </w:r>
      <w:r>
        <w:rPr/>
        <w:t xml:space="preserve"> Racetrack stays the Phase 0–1 flagship (deepest validation value). </w:t>
      </w:r>
      <w:r>
        <w:rPr>
          <w:b/>
          <w:bCs/>
        </w:rPr>
        <w:t>Hex prototypes in Phase 1–2</w:t>
      </w:r>
      <w:r>
        <w:rPr/>
        <w:t xml:space="preserve"> — it’s the volume/education play and the LFAM-friendliest geometry. </w:t>
      </w:r>
      <w:r>
        <w:rPr>
          <w:b/>
          <w:bCs/>
        </w:rPr>
        <w:t>Ring waits for Phase 2+</w:t>
      </w:r>
      <w:r>
        <w:rPr/>
        <w:t xml:space="preserve"> as the premium statement piece once mold economics are proven.</w:t>
      </w:r>
    </w:p>
    <w:p>
      <w:pPr>
        <w:pStyle w:val="Compact"/>
        <w:numPr>
          <w:ilvl w:val="0"/>
          <w:numId w:val="87"/>
        </w:numPr>
        <w:rPr/>
      </w:pPr>
      <w:r>
        <w:rPr>
          <w:b/>
          <w:bCs/>
        </w:rPr>
        <w:t>Pilots:</w:t>
      </w:r>
      <w:r>
        <w:rPr/>
        <w:t xml:space="preserve"> the education pilot should see a </w:t>
      </w:r>
      <w:r>
        <w:rPr>
          <w:b/>
          <w:bCs/>
        </w:rPr>
        <w:t>Hex cluster</w:t>
      </w:r>
      <w:r>
        <w:rPr/>
        <w:t xml:space="preserve"> (two tessellated units) — that tests the shape </w:t>
      </w:r>
      <w:r>
        <w:rPr>
          <w:i/>
          <w:iCs/>
        </w:rPr>
        <w:t>and</w:t>
      </w:r>
      <w:r>
        <w:rPr/>
        <w:t xml:space="preserve"> the floorplan-system pitch in one site.</w:t>
      </w:r>
    </w:p>
    <w:p>
      <w:pPr>
        <w:pStyle w:val="Compact"/>
        <w:numPr>
          <w:ilvl w:val="0"/>
          <w:numId w:val="88"/>
        </w:numPr>
        <w:rPr/>
      </w:pPr>
      <w:r>
        <w:rPr>
          <w:b/>
          <w:bCs/>
        </w:rPr>
        <w:t>Deck &amp; one-pager:</w:t>
      </w:r>
      <w:r>
        <w:rPr/>
        <w:t xml:space="preserve"> shape family added; deck gains a shape-family slide.</w:t>
      </w:r>
    </w:p>
    <w:p>
      <w:pPr>
        <w:pStyle w:val="Compact"/>
        <w:numPr>
          <w:ilvl w:val="0"/>
          <w:numId w:val="89"/>
        </w:numPr>
        <w:rPr/>
      </w:pPr>
      <w:r>
        <w:rPr>
          <w:b/>
          <w:bCs/>
        </w:rPr>
        <w:t>Market angle:</w:t>
      </w:r>
      <w:r>
        <w:rPr/>
        <w:t xml:space="preserve"> Hex clusters open a per-site multi-unit sale (2–4 tables/room), materially raising average order value in education — worth reflecting in the financial refresh when real quotes land.</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8" w:name="Xf1cc486b99a177cc200b5c41b4417deb39b83d1"/>
      <w:r>
        <w:rPr/>
        <w:t>5 · Rev D.1 — the center becomes fixed (Ring &amp; Hex)</w:t>
      </w:r>
    </w:p>
    <w:p>
      <w:pPr>
        <w:pStyle w:val="FirstParagraph"/>
        <w:rPr/>
      </w:pPr>
      <w:r>
        <w:rPr/>
        <w:t xml:space="preserve">The center core (Ring) and center well (Hex) are now </w:t>
      </w:r>
      <w:r>
        <w:rPr>
          <w:b/>
          <w:bCs/>
        </w:rPr>
        <w:t>fixed, permanent elements configured at order time</w:t>
      </w:r>
      <w:r>
        <w:rPr/>
        <w:t xml:space="preserve"> — not swappable fixtures. Four center types in the configurator: </w:t>
      </w:r>
      <w:r>
        <w:rPr>
          <w:b/>
          <w:bCs/>
        </w:rPr>
        <w:t>Planted</w:t>
      </w:r>
      <w:r>
        <w:rPr/>
        <w:t xml:space="preserve"> (living greenery, integrated irrigation reservoir), </w:t>
      </w:r>
      <w:r>
        <w:rPr>
          <w:b/>
          <w:bCs/>
        </w:rPr>
        <w:t>Service</w:t>
      </w:r>
      <w:r>
        <w:rPr/>
        <w:t xml:space="preserve"> (power/USB riser + storage), </w:t>
      </w:r>
      <w:r>
        <w:rPr>
          <w:b/>
          <w:bCs/>
        </w:rPr>
        <w:t>Ice/beverage</w:t>
      </w:r>
      <w:r>
        <w:rPr/>
        <w:t xml:space="preserve"> (plumbed, drained), or </w:t>
      </w:r>
      <w:r>
        <w:rPr>
          <w:b/>
          <w:bCs/>
        </w:rPr>
        <w:t>Solid</w:t>
      </w:r>
      <w:r>
        <w:rPr/>
        <w:t xml:space="preserve"> (closed sculptural cap). Chosen once, built in.</w:t>
      </w:r>
    </w:p>
    <w:p>
      <w:pPr>
        <w:pStyle w:val="BodyText"/>
        <w:rPr/>
      </w:pPr>
      <w:r>
        <w:rPr>
          <w:b/>
          <w:bCs/>
        </w:rPr>
        <w:t>Why this improves the engineering:</w:t>
      </w:r>
      <w:r>
        <w:rPr/>
        <w:t xml:space="preserve"> - </w:t>
      </w:r>
      <w:r>
        <w:rPr>
          <w:b/>
          <w:bCs/>
        </w:rPr>
        <w:t>The center becomes the structure.</w:t>
      </w:r>
      <w:r>
        <w:rPr/>
        <w:t xml:space="preserve"> A fixed center permits a single central mast/column through the core, with radial arms carrying the top — replacing (Ring) or supplementing (Hex) the twin weighted pedestals. Anti-tip (B3) improves: the load path runs to the exact centroid, and the floor is clear at </w:t>
      </w:r>
      <w:r>
        <w:rPr>
          <w:i/>
          <w:iCs/>
        </w:rPr>
        <w:t>every</w:t>
      </w:r>
      <w:r>
        <w:rPr/>
        <w:t xml:space="preserve"> position, extending true roll-up access beyond the flattened chord/flat edges. - </w:t>
      </w:r>
      <w:r>
        <w:rPr>
          <w:b/>
          <w:bCs/>
        </w:rPr>
        <w:t>Services route up the core.</w:t>
      </w:r>
      <w:r>
        <w:rPr/>
        <w:t xml:space="preserve"> Power, data, irrigation, or drainage rise inside the mast — no floor trenching, one clean umbilical. - </w:t>
      </w:r>
      <w:r>
        <w:rPr>
          <w:b/>
          <w:bCs/>
        </w:rPr>
        <w:t>Cost and QA drop.</w:t>
      </w:r>
      <w:r>
        <w:rPr/>
        <w:t xml:space="preserve"> No center-insert tooling, no removable-fixture tolerances, one fewer moving system to inspect at distributed nodes.</w:t>
      </w:r>
    </w:p>
    <w:p>
      <w:pPr>
        <w:pStyle w:val="BodyText"/>
        <w:rPr/>
      </w:pPr>
      <w:r>
        <w:rPr>
          <w:b/>
          <w:bCs/>
        </w:rPr>
        <w:t>The honest trade-off:</w:t>
      </w:r>
      <w:r>
        <w:rPr/>
        <w:t xml:space="preserve"> the center’s </w:t>
      </w:r>
      <w:r>
        <w:rPr>
          <w:i/>
          <w:iCs/>
        </w:rPr>
        <w:t>function</w:t>
      </w:r>
      <w:r>
        <w:rPr/>
        <w:t xml:space="preserve"> is committed at purchase — a venue can’t flip a planted core to an ice well for an event. Mode-switching now lives entirely in the (unchanged) perimeter trough inserts and activity wells. Fixed-center choice is added to the pilot intercept survey to confirm buyers accept the commitment.</w:t>
      </w:r>
    </w:p>
    <w:p>
      <w:pPr>
        <w:pStyle w:val="BodyText"/>
        <w:rPr/>
      </w:pPr>
      <w:r>
        <w:rPr>
          <w:b/>
          <w:bCs/>
        </w:rPr>
        <w:t>Ripple:</w:t>
      </w:r>
      <w:r>
        <w:rPr/>
        <w:t xml:space="preserve"> configurator order becomes shape → </w:t>
      </w:r>
      <w:r>
        <w:rPr>
          <w:b/>
          <w:bCs/>
        </w:rPr>
        <w:t>center type (Ring/Hex, fixed)</w:t>
      </w:r>
      <w:r>
        <w:rPr/>
        <w:t xml:space="preserve"> → variant → height mix → colorway → inserts. B-series adds </w:t>
      </w:r>
      <w:r>
        <w:rPr>
          <w:b/>
          <w:bCs/>
        </w:rPr>
        <w:t>B11: center mast</w:t>
      </w:r>
      <w:r>
        <w:rPr/>
        <w:t xml:space="preserve"> — vertical load ≥200 kg, services routed internally, no exposed conductors or water lines within child reach. Racetrack is unaffected (no center; trough inserts remain swappable on all shapes).</w:t>
      </w:r>
    </w:p>
    <w:p>
      <w:pPr>
        <w:pStyle w:val="Normal"/>
        <w:rPr/>
      </w:pPr>
      <w:bookmarkStart w:id="69" w:name="Xf1cc486b99a177cc200b5c41b4417deb39b83d1"/>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rPr/>
      </w:pPr>
      <w:bookmarkStart w:id="70" w:name="X7e1223006ae79b35edc5102006cf87296f0e6ce"/>
      <w:r>
        <w:rPr/>
        <w:t>6 · Rev D.2 — the Fixed Focal Section becomes a family-wide design law</w:t>
      </w:r>
    </w:p>
    <w:p>
      <w:pPr>
        <w:pStyle w:val="FirstParagraph"/>
        <w:rPr/>
      </w:pPr>
      <w:r>
        <w:rPr/>
        <w:t xml:space="preserve">Every RIBBON shape now carries a </w:t>
      </w:r>
      <w:r>
        <w:rPr>
          <w:b/>
          <w:bCs/>
        </w:rPr>
        <w:t>fixed focal section</w:t>
      </w:r>
      <w:r>
        <w:rPr/>
        <w:t xml:space="preserve">: one permanent, structural, service-carrying element that is the visual and functional heart of the table, </w:t>
      </w:r>
      <w:r>
        <w:rPr>
          <w:b/>
          <w:bCs/>
        </w:rPr>
        <w:t>typed at order</w:t>
      </w:r>
      <w:r>
        <w:rPr/>
        <w:t xml:space="preserve"> (Planted · Service · Ice/beverage · Solid) and never swapped.</w:t>
      </w:r>
    </w:p>
    <w:p>
      <w:pPr>
        <w:pStyle w:val="Compact"/>
        <w:numPr>
          <w:ilvl w:val="0"/>
          <w:numId w:val="90"/>
        </w:numPr>
        <w:rPr/>
      </w:pPr>
      <w:r>
        <w:rPr>
          <w:b/>
          <w:bCs/>
        </w:rPr>
        <w:t>Ring:</w:t>
      </w:r>
      <w:r>
        <w:rPr/>
        <w:t xml:space="preserve"> the center core (as in Rev D.1) — mast + radial arms.</w:t>
      </w:r>
    </w:p>
    <w:p>
      <w:pPr>
        <w:pStyle w:val="Compact"/>
        <w:numPr>
          <w:ilvl w:val="0"/>
          <w:numId w:val="91"/>
        </w:numPr>
        <w:rPr/>
      </w:pPr>
      <w:r>
        <w:rPr>
          <w:b/>
          <w:bCs/>
        </w:rPr>
        <w:t>Hex:</w:t>
      </w:r>
      <w:r>
        <w:rPr/>
        <w:t xml:space="preserve"> the center hub (as in Rev D.1) — mast-supplemented.</w:t>
      </w:r>
    </w:p>
    <w:p>
      <w:pPr>
        <w:pStyle w:val="Compact"/>
        <w:numPr>
          <w:ilvl w:val="0"/>
          <w:numId w:val="92"/>
        </w:numPr>
        <w:rPr/>
      </w:pPr>
      <w:r>
        <w:rPr>
          <w:b/>
          <w:bCs/>
        </w:rPr>
        <w:t>Racetrack (new):</w:t>
      </w:r>
      <w:r>
        <w:rPr/>
        <w:t xml:space="preserve"> the </w:t>
      </w:r>
      <w:r>
        <w:rPr>
          <w:b/>
          <w:bCs/>
        </w:rPr>
        <w:t>middle ~700 mm of the central trough</w:t>
      </w:r>
      <w:r>
        <w:rPr/>
        <w:t xml:space="preserve"> becomes the fixed focal section, seated directly over the spine at mid-span between the two pedestals — the strongest point of the structure. Services (power riser, irrigation, or drain) route through the spine to it. The trough segments flanking it on either side remain fully swappable, as do all activity wells.</w:t>
      </w:r>
    </w:p>
    <w:p>
      <w:pPr>
        <w:pStyle w:val="FirstParagraph"/>
        <w:rPr/>
      </w:pPr>
      <w:r>
        <w:rPr>
          <w:b/>
          <w:bCs/>
        </w:rPr>
        <w:t>Why one law across the family:</w:t>
      </w:r>
      <w:r>
        <w:rPr/>
        <w:t xml:space="preserve"> - </w:t>
      </w:r>
      <w:r>
        <w:rPr>
          <w:b/>
          <w:bCs/>
        </w:rPr>
        <w:t>Identity:</w:t>
      </w:r>
      <w:r>
        <w:rPr/>
        <w:t xml:space="preserve"> every RIBBON has a recognizable heart — the thing you see first and gather around — which gives the brand a signature across three very different geometries. - </w:t>
      </w:r>
      <w:r>
        <w:rPr>
          <w:b/>
          <w:bCs/>
        </w:rPr>
        <w:t>Structure &amp; services:</w:t>
      </w:r>
      <w:r>
        <w:rPr/>
        <w:t xml:space="preserve"> the focal section always sits on the strongest load path (mast centroid or spine mid-span), so it is the natural riser for power and water on every shape. - </w:t>
      </w:r>
      <w:r>
        <w:rPr>
          <w:b/>
          <w:bCs/>
        </w:rPr>
        <w:t>Clear split of permanence:</w:t>
      </w:r>
      <w:r>
        <w:rPr/>
        <w:t xml:space="preserve"> </w:t>
      </w:r>
      <w:r>
        <w:rPr>
          <w:i/>
          <w:iCs/>
        </w:rPr>
        <w:t>focal section = committed at order; perimeter inserts + wells = the swappable mode layer.</w:t>
      </w:r>
      <w:r>
        <w:rPr/>
        <w:t xml:space="preserve"> One sentence explains the whole product logic to a buyer.</w:t>
      </w:r>
    </w:p>
    <w:p>
      <w:pPr>
        <w:pStyle w:val="BodyText"/>
        <w:rPr/>
      </w:pPr>
      <w:r>
        <w:rPr>
          <w:b/>
          <w:bCs/>
        </w:rPr>
        <w:t>Spec impact:</w:t>
      </w:r>
      <w:r>
        <w:rPr/>
        <w:t xml:space="preserve"> B11 is generalized from “center mast” to </w:t>
      </w:r>
      <w:r>
        <w:rPr>
          <w:b/>
          <w:bCs/>
        </w:rPr>
        <w:t>“fixed focal section”</w:t>
      </w:r>
      <w:r>
        <w:rPr/>
        <w:t xml:space="preserve"> and applies to all shapes: ≥200 kg service load, internal-only routing, no exposed conductors or water lines within child reach, anti-tip (B3) verified with the focal load in place. Racetrack’s focal section additionally may not reduce the swappable trough run below 1.0 m per side.</w:t>
      </w:r>
      <w:bookmarkEnd w:id="62"/>
      <w:bookmarkEnd w:id="70"/>
    </w:p>
    <w:p>
      <w:pPr>
        <w:pStyle w:val="Heading1"/>
        <w:rPr/>
      </w:pPr>
      <w:bookmarkStart w:id="71" w:name="part-7-master-prd-set-prd-01-prd-14"/>
      <w:r>
        <w:rPr/>
        <w:t>Part 7 — Master PRD Set (PRD-01 – PRD-14)</w:t>
      </w:r>
      <w:bookmarkEnd w:id="71"/>
    </w:p>
    <w:p>
      <w:pPr>
        <w:pStyle w:val="Heading1"/>
        <w:rPr/>
      </w:pPr>
      <w:bookmarkStart w:id="72" w:name="ribbon-master-prd-set-rev-f"/>
      <w:r>
        <w:rPr/>
        <w:t>RIBBON — Master PRD Set (Rev F)</w:t>
      </w:r>
    </w:p>
    <w:p>
      <w:pPr>
        <w:pStyle w:val="Heading3"/>
        <w:rPr/>
      </w:pPr>
      <w:bookmarkStart w:id="73" w:name="X1a093a1cc1dfede34b294cf798165ffcd07d8b8"/>
      <w:r>
        <w:rPr/>
        <w:t>One PRD per part · plus strategic PRDs · Ribbon Segment architecture (Level-as-Ribbon) is the ratified architecture</w:t>
      </w:r>
    </w:p>
    <w:p>
      <w:pPr>
        <w:pStyle w:val="FirstParagraph"/>
        <w:rPr/>
      </w:pPr>
      <w:r>
        <w:rPr/>
        <w:t>Format per PRD: Problem → Goals → Non-Goals → Key user stories → Requirements (P0/P1/P2 with acceptance criteria) → Success metrics → Open questions. Shared context: buyers are institutions (schools, museums/libraries, family hospitality, coworking, senior living); end users span toddlers to seniors including wheelchair users; production is configurator-driven and distributed-capable.</w:t>
      </w:r>
    </w:p>
    <w:p>
      <w:pPr>
        <w:pStyle w:val="Normal"/>
        <w:rPr/>
      </w:pPr>
      <w:bookmarkStart w:id="74" w:name="X1a093a1cc1dfede34b294cf798165ffcd07d8b8"/>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2"/>
        <w:rPr/>
      </w:pPr>
      <w:bookmarkStart w:id="75" w:name="part-prds"/>
      <w:r>
        <w:rPr/>
        <w:t>PART PRDs</w:t>
      </w:r>
    </w:p>
    <w:p>
      <w:pPr>
        <w:pStyle w:val="Heading3"/>
        <w:rPr/>
      </w:pPr>
      <w:bookmarkStart w:id="76" w:name="Xe2272708dd63cc34d85a4d94f848822cf8e702d"/>
      <w:r>
        <w:rPr/>
        <w:t>PRD-01 · L-Ribbon Platform (the common chassis)</w:t>
      </w:r>
    </w:p>
    <w:p>
      <w:pPr>
        <w:pStyle w:val="FirstParagraph"/>
        <w:rPr/>
      </w:pPr>
      <w:r>
        <w:rPr>
          <w:b/>
          <w:bCs/>
        </w:rPr>
        <w:t>Problem.</w:t>
      </w:r>
      <w:r>
        <w:rPr/>
        <w:t xml:space="preserve"> Fourteen mixed users can’t share one fixed-height surface; monolithic multi-height tables are unshippable and unrepairable. Every ribbon segment must share one chassis so the system stays manufacturable and interoperable. </w:t>
      </w:r>
      <w:r>
        <w:rPr>
          <w:b/>
          <w:bCs/>
        </w:rPr>
        <w:t>Goals.</w:t>
      </w:r>
      <w:r>
        <w:rPr/>
        <w:t xml:space="preserve"> One chassis serves all heights 560–1100 mm; any two tables dock in &lt;2 min; per-table freight ≤ standard LTL parcel/pallet class; single-table replacement possible in field. </w:t>
      </w:r>
      <w:r>
        <w:rPr>
          <w:b/>
          <w:bCs/>
        </w:rPr>
        <w:t>Non-Goals.</w:t>
      </w:r>
      <w:r>
        <w:rPr/>
        <w:t xml:space="preserve"> Motorized height adjustment (complexity/cost, v2+); outdoor-rated version (separate line); seating integration (chair-free is the product). </w:t>
      </w:r>
      <w:r>
        <w:rPr>
          <w:b/>
          <w:bCs/>
        </w:rPr>
        <w:t>Stories.</w:t>
      </w:r>
      <w:r>
        <w:rPr/>
        <w:t xml:space="preserve"> As a facilities manager, I want any damaged table swapped without touching the rest of the arrangement so downtime is minutes. As a teacher, I want to undock three tables for group work so the room reconfigures without tools beyond the release key. </w:t>
      </w:r>
      <w:r>
        <w:rPr>
          <w:b/>
          <w:bCs/>
        </w:rPr>
        <w:t>Requirements.</w:t>
      </w:r>
      <w:r>
        <w:rPr/>
        <w:t xml:space="preserve"> - P0: Common dock interface on all four (Hex: six) edges; B1–B13 compliance per table; top of any height mounts the same chassis; serialized digital twin per table. </w:t>
      </w:r>
      <w:r>
        <w:rPr>
          <w:i/>
          <w:iCs/>
        </w:rPr>
        <w:t>AC: any L-table docks to any other with ≤1 mm top misalignment; 350 N anti-tip passes undocked (B3).</w:t>
      </w:r>
      <w:r>
        <w:rPr/>
        <w:t xml:space="preserve"> - P1: Integrated leveling readout (bubble/indicator); tool-free glide adjustment. - P2: Sensor-ready mount (occupancy analytics) — design the cavity now, ship empty. </w:t>
      </w:r>
      <w:r>
        <w:rPr>
          <w:b/>
          <w:bCs/>
        </w:rPr>
        <w:t>Metrics.</w:t>
      </w:r>
      <w:r>
        <w:rPr/>
        <w:t xml:space="preserve"> Dock time (target &lt;2 min, stretch &lt;1 min); field-swap time &lt;15 min; warranty claims &lt;2%/yr. </w:t>
      </w:r>
      <w:r>
        <w:rPr>
          <w:b/>
          <w:bCs/>
        </w:rPr>
        <w:t>Open questions.</w:t>
      </w:r>
      <w:r>
        <w:rPr/>
        <w:t xml:space="preserve"> Engineering: one chassis size or two (standard + bar-width base)? Data: serialization format shared with configurator (PRD-09)?</w:t>
      </w:r>
      <w:bookmarkEnd w:id="76"/>
    </w:p>
    <w:p>
      <w:pPr>
        <w:pStyle w:val="Heading3"/>
        <w:rPr/>
      </w:pPr>
      <w:bookmarkStart w:id="77" w:name="X57fe443340c0e0a67a17c3f80c5289fd3f71c88"/>
      <w:r>
        <w:rPr/>
        <w:t>PRD-02 · L-Ribbons L560–L1100 (height variants)</w:t>
      </w:r>
    </w:p>
    <w:p>
      <w:pPr>
        <w:pStyle w:val="FirstParagraph"/>
        <w:rPr/>
      </w:pPr>
      <w:r>
        <w:rPr>
          <w:b/>
          <w:bCs/>
        </w:rPr>
        <w:t>Problem.</w:t>
      </w:r>
      <w:r>
        <w:rPr/>
        <w:t xml:space="preserve"> Each user class needs a correct working height with class-specific risks (toddler edges, bar-height tip). </w:t>
      </w:r>
      <w:r>
        <w:rPr>
          <w:b/>
          <w:bCs/>
        </w:rPr>
        <w:t>Goals.</w:t>
      </w:r>
      <w:r>
        <w:rPr/>
        <w:t xml:space="preserve"> Full ladder 560/650/680/740/780/820/950/1050/1100; each passes B3 undocked; toddler and bar variants carry class-specific safety features. </w:t>
      </w:r>
      <w:r>
        <w:rPr>
          <w:b/>
          <w:bCs/>
        </w:rPr>
        <w:t>Non-Goals.</w:t>
      </w:r>
      <w:r>
        <w:rPr/>
        <w:t xml:space="preserve"> Heights outside 560–1100 (no demand evidence); per-table custom heights at launch (P2 via configurator). </w:t>
      </w:r>
      <w:r>
        <w:rPr>
          <w:b/>
          <w:bCs/>
        </w:rPr>
        <w:t>Stories.</w:t>
      </w:r>
      <w:r>
        <w:rPr/>
        <w:t xml:space="preserve"> As a preschool director, I want the L560 safe for unsupervised toddlers so it can live in the free-play room. As a café owner, I want L1050s that can’t be pulled over so standing crowds are safe. </w:t>
      </w:r>
      <w:r>
        <w:rPr>
          <w:b/>
          <w:bCs/>
        </w:rPr>
        <w:t>Requirements.</w:t>
      </w:r>
      <w:r>
        <w:rPr/>
        <w:t xml:space="preserve"> - P0: L740-A accessible variant with B5 knee clearance on all open sides; bar heights (L950+) get widened base plates sized by B3 worst case; L560/L650 get R25 edges and zero reachable fasteners. </w:t>
      </w:r>
      <w:r>
        <w:rPr>
          <w:i/>
          <w:iCs/>
        </w:rPr>
        <w:t>AC: each height passes 350 N pull at worst edge; L740-A accepts a 760 mm wheelchair square-on at any open edge.</w:t>
      </w:r>
      <w:r>
        <w:rPr/>
        <w:t xml:space="preserve"> - P1: Footrail integral on L950+; weighted-skirt option for high-traffic venues. - P2: Configurator-set custom heights within class bands. </w:t>
      </w:r>
      <w:r>
        <w:rPr>
          <w:b/>
          <w:bCs/>
        </w:rPr>
        <w:t>Metrics.</w:t>
      </w:r>
      <w:r>
        <w:rPr/>
        <w:t xml:space="preserve"> Zero tip incidents in pilots; accessibility bay utilization ≥ weekly in every pilot. </w:t>
      </w:r>
      <w:r>
        <w:rPr>
          <w:b/>
          <w:bCs/>
        </w:rPr>
        <w:t>Open questions.</w:t>
      </w:r>
      <w:r>
        <w:rPr/>
        <w:t xml:space="preserve"> Engineering: does L1100 need a third foot or wider plate? Pilot data to decide.</w:t>
      </w:r>
      <w:bookmarkEnd w:id="77"/>
    </w:p>
    <w:p>
      <w:pPr>
        <w:pStyle w:val="Heading3"/>
        <w:rPr/>
      </w:pPr>
      <w:bookmarkStart w:id="78" w:name="Xe7b42e284227c44ded7acdae7e685e6125eb4ee"/>
      <w:r>
        <w:rPr/>
        <w:t>PRD-03 · The Knot (fixed focal segment, formerly F-Hub)</w:t>
      </w:r>
    </w:p>
    <w:p>
      <w:pPr>
        <w:pStyle w:val="FirstParagraph"/>
        <w:rPr/>
      </w:pPr>
      <w:r>
        <w:rPr>
          <w:b/>
          <w:bCs/>
        </w:rPr>
        <w:t>Problem.</w:t>
      </w:r>
      <w:r>
        <w:rPr/>
        <w:t xml:space="preserve"> Arrangements need a heart — structure, services, and identity — and wet/powered functions can’t fragment across spliced segments. </w:t>
      </w:r>
      <w:r>
        <w:rPr>
          <w:b/>
          <w:bCs/>
        </w:rPr>
        <w:t>Goals.</w:t>
      </w:r>
      <w:r>
        <w:rPr/>
        <w:t xml:space="preserve"> One hub per arrangement carries services (power/water/irrigation) up its own mast; typed at order (Planted · Service · Ice · Solid); recognizable brand signature. </w:t>
      </w:r>
      <w:r>
        <w:rPr>
          <w:b/>
          <w:bCs/>
        </w:rPr>
        <w:t>Non-Goals.</w:t>
      </w:r>
      <w:r>
        <w:rPr/>
        <w:t xml:space="preserve"> Field-swappable hub type (fixed-at-order is the law); hub-less arrangements at launch (P2 for pure same-height runs). </w:t>
      </w:r>
      <w:r>
        <w:rPr>
          <w:b/>
          <w:bCs/>
        </w:rPr>
        <w:t>Stories.</w:t>
      </w:r>
      <w:r>
        <w:rPr/>
        <w:t xml:space="preserve"> As an event manager, I want the Ice hub plumbed and drained so service runs without bus tubs. As a librarian, I want the Planted hub self-watering for two weeks so upkeep is trivial. </w:t>
      </w:r>
      <w:r>
        <w:rPr>
          <w:b/>
          <w:bCs/>
        </w:rPr>
        <w:t>Requirements.</w:t>
      </w:r>
      <w:r>
        <w:rPr/>
        <w:t xml:space="preserve"> - P0: B11 compliance (≥200 kg service load, internal routing, child-safe); docks to all shapes’ geometry; drain/valve serviceable from below. </w:t>
      </w:r>
      <w:r>
        <w:rPr>
          <w:i/>
          <w:iCs/>
        </w:rPr>
        <w:t>AC: hub-fed power run passes load test; no exposed conductor/water line &lt;1.4 m without tool access.</w:t>
      </w:r>
      <w:r>
        <w:rPr/>
        <w:t xml:space="preserve"> - P1: Quick-connect utility umbilical (one floor connection). - P2: Sensor/AV module type (screen or projector mount) for classrooms. </w:t>
      </w:r>
      <w:r>
        <w:rPr>
          <w:b/>
          <w:bCs/>
        </w:rPr>
        <w:t>Metrics.</w:t>
      </w:r>
      <w:r>
        <w:rPr/>
        <w:t xml:space="preserve"> Hub-type mix tracked at order; pilot photo-share rate (the hub is the marketing object). </w:t>
      </w:r>
      <w:r>
        <w:rPr>
          <w:b/>
          <w:bCs/>
        </w:rPr>
        <w:t>Open questions.</w:t>
      </w:r>
      <w:r>
        <w:rPr/>
        <w:t xml:space="preserve"> Stakeholder: which two hub types launch (packet decision)? Legal: plumbing code review for Ice hub by state.</w:t>
      </w:r>
      <w:bookmarkEnd w:id="78"/>
    </w:p>
    <w:p>
      <w:pPr>
        <w:pStyle w:val="Heading3"/>
        <w:rPr/>
      </w:pPr>
      <w:bookmarkStart w:id="79" w:name="prd-04-transition-pieces-tcrceclb-family"/>
      <w:r>
        <w:rPr/>
        <w:t>PRD-04 · Transition Pieces (TC/RC/EC/LB family)</w:t>
      </w:r>
    </w:p>
    <w:p>
      <w:pPr>
        <w:pStyle w:val="FirstParagraph"/>
        <w:rPr/>
      </w:pPr>
      <w:r>
        <w:rPr>
          <w:b/>
          <w:bCs/>
        </w:rPr>
        <w:t>Problem.</w:t>
      </w:r>
      <w:r>
        <w:rPr/>
        <w:t xml:space="preserve"> Docked tables of different heights create steps, seams, and finger gaps; without engineered transitions the system looks assembled and is unsafe. </w:t>
      </w:r>
      <w:r>
        <w:rPr>
          <w:b/>
          <w:bCs/>
        </w:rPr>
        <w:t>Goals.</w:t>
      </w:r>
      <w:r>
        <w:rPr/>
        <w:t xml:space="preserve"> Every height change bridged by a correct-delta cap; arrangement reads as one flowing surface; zero entrapment gaps. </w:t>
      </w:r>
      <w:r>
        <w:rPr>
          <w:b/>
          <w:bCs/>
        </w:rPr>
        <w:t>Non-Goals.</w:t>
      </w:r>
      <w:r>
        <w:rPr/>
        <w:t xml:space="preserve"> Walkable/loadable ramps (caps are surface flow, not stairs); universal one-size cap (delta classes exist for physics reasons). </w:t>
      </w:r>
      <w:r>
        <w:rPr>
          <w:b/>
          <w:bCs/>
        </w:rPr>
        <w:t>Stories.</w:t>
      </w:r>
      <w:r>
        <w:rPr/>
        <w:t xml:space="preserve"> As a parent, I want no gap a child’s finger fits into where tables meet. As a designer, I want contrast-banded caps so the height changes are legible to low-vision users. </w:t>
      </w:r>
      <w:r>
        <w:rPr>
          <w:b/>
          <w:bCs/>
        </w:rPr>
        <w:t>Requirements.</w:t>
      </w:r>
      <w:r>
        <w:rPr/>
        <w:t xml:space="preserve"> - P0: Delta classes per Rev F rules (300/450 mm ramps, stepped &gt;240 mm); B12 gap/step limits; ≥10° caps carry no-set-down ridge + contrast band; tool-only removal; EC required on any open dock face. </w:t>
      </w:r>
      <w:r>
        <w:rPr>
          <w:i/>
          <w:iCs/>
        </w:rPr>
        <w:t>AC: gauge test — no gap 8–25 mm anywhere along a seated cap; cap lift force without tool &gt;250 N.</w:t>
      </w:r>
      <w:r>
        <w:rPr/>
        <w:t xml:space="preserve"> - P1: Colorway-matched and contrast-band options in configurator. - P2: Integrated cable pass-through caps for Service-hub arrangements. </w:t>
      </w:r>
      <w:r>
        <w:rPr>
          <w:b/>
          <w:bCs/>
        </w:rPr>
        <w:t>Metrics.</w:t>
      </w:r>
      <w:r>
        <w:rPr/>
        <w:t xml:space="preserve"> Zero entrapment findings in pilot safety audit; cap misfit returns &lt;1%. </w:t>
      </w:r>
      <w:r>
        <w:rPr>
          <w:b/>
          <w:bCs/>
        </w:rPr>
        <w:t>Open questions.</w:t>
      </w:r>
      <w:r>
        <w:rPr/>
        <w:t xml:space="preserve"> Engineering: compression vs. injection molding crossover volume? (feeds make/buy matrix).</w:t>
      </w:r>
      <w:bookmarkEnd w:id="79"/>
    </w:p>
    <w:p>
      <w:pPr>
        <w:pStyle w:val="Heading3"/>
        <w:rPr/>
      </w:pPr>
      <w:bookmarkStart w:id="80" w:name="X93a3342433b8bafd0d2e2220310973a20f58300"/>
      <w:r>
        <w:rPr/>
        <w:t>PRD-05 · Splicing System (docking) (B12 subsystem)</w:t>
      </w:r>
    </w:p>
    <w:p>
      <w:pPr>
        <w:pStyle w:val="FirstParagraph"/>
        <w:rPr/>
      </w:pPr>
      <w:r>
        <w:rPr>
          <w:b/>
          <w:bCs/>
        </w:rPr>
        <w:t>Problem.</w:t>
      </w:r>
      <w:r>
        <w:rPr/>
        <w:t xml:space="preserve"> The entire architecture rests on tables joining rigidly, safely, and repeatedly without skilled labor. </w:t>
      </w:r>
      <w:r>
        <w:rPr>
          <w:b/>
          <w:bCs/>
        </w:rPr>
        <w:t>Goals.</w:t>
      </w:r>
      <w:r>
        <w:rPr/>
        <w:t xml:space="preserve"> &lt;2 min per joint, tool-release only, 500+ cycles without degradation, docked arrangement stiffer than any single table. </w:t>
      </w:r>
      <w:r>
        <w:rPr>
          <w:b/>
          <w:bCs/>
        </w:rPr>
        <w:t>Non-Goals.</w:t>
      </w:r>
      <w:r>
        <w:rPr/>
        <w:t xml:space="preserve"> Powered/auto docking (v3 fantasy); cross-brand compatibility. </w:t>
      </w:r>
      <w:r>
        <w:rPr>
          <w:b/>
          <w:bCs/>
        </w:rPr>
        <w:t>Stories.</w:t>
      </w:r>
      <w:r>
        <w:rPr/>
        <w:t xml:space="preserve"> As a facilities tech, I want one release key for every joint in the building so reconfiguration is a one-person job. </w:t>
      </w:r>
      <w:r>
        <w:rPr>
          <w:b/>
          <w:bCs/>
        </w:rPr>
        <w:t>Requirements.</w:t>
      </w:r>
      <w:r>
        <w:rPr/>
        <w:t xml:space="preserve"> - P0: Latched joint meeting B12 (zero entrapment, ≤1 mm step, no relative movement at 350 N); universal key; blind-mate alignment (self-guiding ±5 mm). </w:t>
      </w:r>
      <w:r>
        <w:rPr>
          <w:i/>
          <w:iCs/>
        </w:rPr>
        <w:t>AC: 500-cycle test retains spec; misdock impossible test (wrong-height joint refuses latch without correct cap).</w:t>
      </w:r>
      <w:r>
        <w:rPr/>
        <w:t xml:space="preserve"> - P1: Latch-state indicator (visual flag when not fully seated). - P2: Smart latch (sensed state to digital twin). </w:t>
      </w:r>
      <w:r>
        <w:rPr>
          <w:b/>
          <w:bCs/>
        </w:rPr>
        <w:t>Metrics.</w:t>
      </w:r>
      <w:r>
        <w:rPr/>
        <w:t xml:space="preserve"> Dock cycle time; latch failure rate &lt;0.1%/yr; zero pinch incidents. </w:t>
      </w:r>
      <w:r>
        <w:rPr>
          <w:b/>
          <w:bCs/>
        </w:rPr>
        <w:t>Open questions.</w:t>
      </w:r>
      <w:r>
        <w:rPr/>
        <w:t xml:space="preserve"> Engineering: license an existing industrial latch vs. custom? Blocking for Phase 0 BOM.</w:t>
      </w:r>
      <w:bookmarkEnd w:id="80"/>
    </w:p>
    <w:p>
      <w:pPr>
        <w:pStyle w:val="Heading3"/>
        <w:rPr/>
      </w:pPr>
      <w:bookmarkStart w:id="81" w:name="prd-06-trough-segments-insert-system"/>
      <w:r>
        <w:rPr/>
        <w:t>PRD-06 · Trough Segments &amp; Insert System</w:t>
      </w:r>
    </w:p>
    <w:p>
      <w:pPr>
        <w:pStyle w:val="FirstParagraph"/>
        <w:rPr/>
      </w:pPr>
      <w:r>
        <w:rPr>
          <w:b/>
          <w:bCs/>
        </w:rPr>
        <w:t>Problem.</w:t>
      </w:r>
      <w:r>
        <w:rPr/>
        <w:t xml:space="preserve"> The monolith’s continuous trough is gone; per-table segments must still deliver the swappable mode layer (social/dining/activity). </w:t>
      </w:r>
      <w:r>
        <w:rPr>
          <w:b/>
          <w:bCs/>
        </w:rPr>
        <w:t>Goals.</w:t>
      </w:r>
      <w:r>
        <w:rPr/>
        <w:t xml:space="preserve"> Segments align across docked same-height runs; inserts interchange across all tables of a class; wet functions live only in F-Hub. </w:t>
      </w:r>
      <w:r>
        <w:rPr>
          <w:b/>
          <w:bCs/>
        </w:rPr>
        <w:t>Non-Goals.</w:t>
      </w:r>
      <w:r>
        <w:rPr/>
        <w:t xml:space="preserve"> Cross-table continuous liquids (physics + safety); powered inserts (power is hub-only). </w:t>
      </w:r>
      <w:r>
        <w:rPr>
          <w:b/>
          <w:bCs/>
        </w:rPr>
        <w:t>Requirements.</w:t>
      </w:r>
      <w:r>
        <w:rPr/>
        <w:t xml:space="preserve"> - P0: Segment rebate standard across L-tables; insert families (caddy, planter, blank lid, activity bin) fit every segment of their class; lids flush ≤0.5 mm. </w:t>
      </w:r>
      <w:r>
        <w:rPr>
          <w:i/>
          <w:iCs/>
        </w:rPr>
        <w:t>AC: any insert seats in any same-class segment first try.</w:t>
      </w:r>
      <w:r>
        <w:rPr/>
        <w:t xml:space="preserve"> - P1: Seasonal insert packs (merchandising). - P2: Third-party insert spec (open a marketplace later — design the rebate as a published interface). </w:t>
      </w:r>
      <w:r>
        <w:rPr>
          <w:b/>
          <w:bCs/>
        </w:rPr>
        <w:t>Metrics.</w:t>
      </w:r>
      <w:r>
        <w:rPr/>
        <w:t xml:space="preserve"> Insert attach rate per order (target ≥2 packs); reorder rate. </w:t>
      </w:r>
      <w:r>
        <w:rPr>
          <w:b/>
          <w:bCs/>
        </w:rPr>
        <w:t>Open questions.</w:t>
      </w:r>
      <w:r>
        <w:rPr/>
        <w:t xml:space="preserve"> Design: publish rebate spec at launch or hold proprietary two years?</w:t>
      </w:r>
      <w:bookmarkEnd w:id="81"/>
    </w:p>
    <w:p>
      <w:pPr>
        <w:pStyle w:val="Heading3"/>
        <w:rPr/>
      </w:pPr>
      <w:bookmarkStart w:id="82" w:name="prd-07-base-mast-structure"/>
      <w:r>
        <w:rPr/>
        <w:t>PRD-07 · Base, Mast &amp; Structure</w:t>
      </w:r>
    </w:p>
    <w:p>
      <w:pPr>
        <w:pStyle w:val="FirstParagraph"/>
        <w:rPr/>
      </w:pPr>
      <w:r>
        <w:rPr>
          <w:b/>
          <w:bCs/>
        </w:rPr>
        <w:t>Problem.</w:t>
      </w:r>
      <w:r>
        <w:rPr/>
        <w:t xml:space="preserve"> Per-table stability (B3) and hub services (B11) now carry the whole safety case; bar heights are the worst case. </w:t>
      </w:r>
      <w:r>
        <w:rPr>
          <w:b/>
          <w:bCs/>
        </w:rPr>
        <w:t>Goals.</w:t>
      </w:r>
      <w:r>
        <w:rPr/>
        <w:t xml:space="preserve"> Every table passes undocked anti-tip; hub mast routes services; flat-pack ships in standard classes. </w:t>
      </w:r>
      <w:r>
        <w:rPr>
          <w:b/>
          <w:bCs/>
        </w:rPr>
        <w:t>Non-Goals.</w:t>
      </w:r>
      <w:r>
        <w:rPr/>
        <w:t xml:space="preserve"> Floor anchoring as default (rental/reconfig markets forbid it) — offered as option only. </w:t>
      </w:r>
      <w:r>
        <w:rPr>
          <w:b/>
          <w:bCs/>
        </w:rPr>
        <w:t>Requirements.</w:t>
      </w:r>
      <w:r>
        <w:rPr/>
        <w:t xml:space="preserve"> - P0: B1–B4, B6, B10 per table; B11 mast in F-Hub; knock-down base with numbered, tool-minimal assembly. </w:t>
      </w:r>
      <w:r>
        <w:rPr>
          <w:i/>
          <w:iCs/>
        </w:rPr>
        <w:t>AC: assembly by one untrained person &lt;20 min/table with printed+QR instructions.</w:t>
      </w:r>
      <w:r>
        <w:rPr/>
        <w:t xml:space="preserve"> - P1: Ballast options (sand/steel) by venue class. - P2: Recycled low-carbon steel line as default when supply qualifies. </w:t>
      </w:r>
      <w:r>
        <w:rPr>
          <w:b/>
          <w:bCs/>
        </w:rPr>
        <w:t>Metrics.</w:t>
      </w:r>
      <w:r>
        <w:rPr/>
        <w:t xml:space="preserve"> Assembly time and error rate at pilots; freight class achieved per table. </w:t>
      </w:r>
      <w:r>
        <w:rPr>
          <w:b/>
          <w:bCs/>
        </w:rPr>
        <w:t>Open questions.</w:t>
      </w:r>
      <w:r>
        <w:rPr/>
        <w:t xml:space="preserve"> Engineering: shared foot casting across all heights vs. two sizes (cost fork).</w:t>
      </w:r>
      <w:bookmarkEnd w:id="82"/>
    </w:p>
    <w:p>
      <w:pPr>
        <w:pStyle w:val="Heading3"/>
        <w:rPr/>
      </w:pPr>
      <w:bookmarkStart w:id="83" w:name="prd-08-colorway-system"/>
      <w:r>
        <w:rPr/>
        <w:t>PRD-08 · Colorway System</w:t>
      </w:r>
    </w:p>
    <w:p>
      <w:pPr>
        <w:pStyle w:val="FirstParagraph"/>
        <w:rPr/>
      </w:pPr>
      <w:r>
        <w:rPr>
          <w:b/>
          <w:bCs/>
        </w:rPr>
        <w:t>Problem.</w:t>
      </w:r>
      <w:r>
        <w:rPr/>
        <w:t xml:space="preserve"> Institutions need brand fit and wayfinding; color must add zero structural variance. </w:t>
      </w:r>
      <w:r>
        <w:rPr>
          <w:b/>
          <w:bCs/>
        </w:rPr>
        <w:t>Goals.</w:t>
      </w:r>
      <w:r>
        <w:rPr/>
        <w:t xml:space="preserve"> Cloud/Grove/Citrus/Slate + Custom; per-table colorway selection; height-legibility option (color = height, a wayfinding feature unique to Ribbon Segment architecture (Level-as-Ribbon)). </w:t>
      </w:r>
      <w:r>
        <w:rPr>
          <w:b/>
          <w:bCs/>
        </w:rPr>
        <w:t>Non-Goals.</w:t>
      </w:r>
      <w:r>
        <w:rPr/>
        <w:t xml:space="preserve"> Non-thermoformable palettes; per-unit custom without surcharge/minimums. </w:t>
      </w:r>
      <w:r>
        <w:rPr>
          <w:b/>
          <w:bCs/>
        </w:rPr>
        <w:t>Requirements.</w:t>
      </w:r>
      <w:r>
        <w:rPr/>
        <w:t xml:space="preserve"> - P0: All four launch colorways available on every part incl. caps; contrast band standard on ≥10° caps. </w:t>
      </w:r>
      <w:r>
        <w:rPr>
          <w:i/>
          <w:iCs/>
        </w:rPr>
        <w:t>AC: colorway swap = zero CAM change beyond material/finish codes.</w:t>
      </w:r>
      <w:r>
        <w:rPr/>
        <w:t xml:space="preserve"> - P1: “Height-coded” preset (each level a fixed hue) for schools. - P2: Institutional color-matching service. </w:t>
      </w:r>
      <w:r>
        <w:rPr>
          <w:b/>
          <w:bCs/>
        </w:rPr>
        <w:t>Metrics.</w:t>
      </w:r>
      <w:r>
        <w:rPr/>
        <w:t xml:space="preserve"> Colorway mix; % orders using height-coded preset. </w:t>
      </w:r>
      <w:r>
        <w:rPr>
          <w:b/>
          <w:bCs/>
        </w:rPr>
        <w:t>Open questions.</w:t>
      </w:r>
      <w:r>
        <w:rPr/>
        <w:t xml:space="preserve"> Design: is height-coding a safety win (legibility) worth making default in education? Pilot A/B.</w:t>
      </w:r>
      <w:bookmarkEnd w:id="83"/>
    </w:p>
    <w:p>
      <w:pPr>
        <w:pStyle w:val="Heading3"/>
        <w:rPr/>
      </w:pPr>
      <w:bookmarkStart w:id="84" w:name="prd-09-configurator-digital-thread"/>
      <w:r>
        <w:rPr/>
        <w:t>PRD-09 · Configurator &amp; Digital Thread</w:t>
      </w:r>
    </w:p>
    <w:p>
      <w:pPr>
        <w:pStyle w:val="FirstParagraph"/>
        <w:rPr/>
      </w:pPr>
      <w:r>
        <w:rPr>
          <w:b/>
          <w:bCs/>
        </w:rPr>
        <w:t>Problem.</w:t>
      </w:r>
      <w:r>
        <w:rPr/>
        <w:t xml:space="preserve"> Mass customization only works if the order file drives fabrication and every unit is traceable. </w:t>
      </w:r>
      <w:r>
        <w:rPr>
          <w:b/>
          <w:bCs/>
        </w:rPr>
        <w:t>Goals.</w:t>
      </w:r>
      <w:r>
        <w:rPr/>
        <w:t xml:space="preserve"> Order → parametric file → CAM at any node with zero manual CAD; per-table digital twin; arrangement-level BOM auto-generated (tables + caps + hub + inserts). </w:t>
      </w:r>
      <w:r>
        <w:rPr>
          <w:b/>
          <w:bCs/>
        </w:rPr>
        <w:t>Non-Goals.</w:t>
      </w:r>
      <w:r>
        <w:rPr/>
        <w:t xml:space="preserve"> Public 3D room-planner at launch (P1); e-commerce checkout for institutions (quote flow first). </w:t>
      </w:r>
      <w:r>
        <w:rPr>
          <w:b/>
          <w:bCs/>
        </w:rPr>
        <w:t>Requirements.</w:t>
      </w:r>
      <w:r>
        <w:rPr/>
        <w:t xml:space="preserve"> - P0: Configurator sequence shape → hub type → table set → variant/fold-legs → colorway → inserts; auto cap-count and EC insertion (an invalid arrangement cannot be ordered); serialized twin per part. </w:t>
      </w:r>
      <w:r>
        <w:rPr>
          <w:i/>
          <w:iCs/>
        </w:rPr>
        <w:t>AC: 100 random configs → 100 valid BOMs, zero manual fixes.</w:t>
      </w:r>
      <w:r>
        <w:rPr/>
        <w:t xml:space="preserve"> - P1: Room-fit visualizer; dealer/GPO quote export. - P2: Twin-fed service history and takeback valuation. </w:t>
      </w:r>
      <w:r>
        <w:rPr>
          <w:b/>
          <w:bCs/>
        </w:rPr>
        <w:t>Metrics.</w:t>
      </w:r>
      <w:r>
        <w:rPr/>
        <w:t xml:space="preserve"> Config-to-quote time &lt;10 min; BOM error rate zero; node CAM acceptance without edits ≥98%. </w:t>
      </w:r>
      <w:r>
        <w:rPr>
          <w:b/>
          <w:bCs/>
        </w:rPr>
        <w:t>Open questions.</w:t>
      </w:r>
      <w:r>
        <w:rPr/>
        <w:t xml:space="preserve"> Engineering: build on existing CPQ vs. custom (blocking for seed scope).</w:t>
      </w:r>
      <w:bookmarkEnd w:id="84"/>
    </w:p>
    <w:p>
      <w:pPr>
        <w:pStyle w:val="Heading3"/>
        <w:rPr/>
      </w:pPr>
      <w:bookmarkStart w:id="85" w:name="prd-14-ael-family-optional-seating"/>
      <w:r>
        <w:rPr/>
        <w:t>PRD-14 · AEL Family (optional seating)</w:t>
      </w:r>
    </w:p>
    <w:p>
      <w:pPr>
        <w:pStyle w:val="FirstParagraph"/>
        <w:rPr/>
      </w:pPr>
      <w:r>
        <w:rPr>
          <w:b/>
          <w:bCs/>
        </w:rPr>
        <w:t>Problem.</w:t>
      </w:r>
      <w:r>
        <w:rPr/>
        <w:t xml:space="preserve"> Venues want optional seating moments without refuting the chair-free thesis; unmanaged third-party stools would block bays, mismatch heights, and break safety discipline. </w:t>
      </w:r>
      <w:r>
        <w:rPr>
          <w:b/>
          <w:bCs/>
        </w:rPr>
        <w:t>Goals.</w:t>
      </w:r>
      <w:r>
        <w:rPr/>
        <w:t xml:space="preserve"> Level-matched optional seating for every height band; zero interference with knee-clear bays; second attach-revenue line after inserts. </w:t>
      </w:r>
      <w:r>
        <w:rPr>
          <w:b/>
          <w:bCs/>
        </w:rPr>
        <w:t>Non-Goals.</w:t>
      </w:r>
      <w:r>
        <w:rPr/>
        <w:t xml:space="preserve"> Required seating in any arrangement (the table stays complete empty); seating at the Knot (never); task chairs/office seating (different product). </w:t>
      </w:r>
      <w:r>
        <w:rPr>
          <w:b/>
          <w:bCs/>
        </w:rPr>
        <w:t>Stories.</w:t>
      </w:r>
      <w:r>
        <w:rPr/>
        <w:t xml:space="preserve"> As a librarian, I want wobble perches at the child ribbons so kids can move while they read. As a wheelchair user, I want the 740 bay always clear so I never have to move someone’s stool to sit at my own table. </w:t>
      </w:r>
      <w:r>
        <w:rPr>
          <w:b/>
          <w:bCs/>
        </w:rPr>
        <w:t>Requirements.</w:t>
      </w:r>
      <w:r>
        <w:rPr/>
        <w:t xml:space="preserve"> - P0: Family per the ratified concept — floor cushions + wobble perches (L560–L680), drop-in low-back perch (740 bays, slides fully under, printed “this seat yields”), leaning perch (950), tall wide-base perch stool (1050–1100), nothing at the Knot; every unit nests under its own ribbon; B-series safety per unit (anti-tip, child-safe edges, no pinch points); bays never blocked or used for storage. </w:t>
      </w:r>
      <w:r>
        <w:rPr>
          <w:i/>
          <w:iCs/>
        </w:rPr>
        <w:t>AC: arrangement passes full B-series with all AEL units deployed AND with zero units; bay-approach test passes with drop-in perch nested.</w:t>
      </w:r>
      <w:r>
        <w:rPr/>
        <w:t xml:space="preserve"> - P1: Colorway-matched and height-coded AEL packs per level; venue bundles (education pack, hospitality pack). - P2: Outdoor-rated AEL line (follows any outdoor table line, not before). </w:t>
      </w:r>
      <w:r>
        <w:rPr>
          <w:b/>
          <w:bCs/>
        </w:rPr>
        <w:t>Metrics.</w:t>
      </w:r>
      <w:r>
        <w:rPr/>
        <w:t xml:space="preserve"> AEL attach rate per order (target ≥1 pack); bay-yield compliance in pilots (zero blocked-bay observations); zero AEL tip incidents. </w:t>
      </w:r>
      <w:r>
        <w:rPr>
          <w:b/>
          <w:bCs/>
        </w:rPr>
        <w:t>Open questions.</w:t>
      </w:r>
      <w:r>
        <w:rPr/>
        <w:t xml:space="preserve"> Design: wobble-perch base geometry for L560 users (tip vs. movement trade) — resolve in Phase 1 pilot. Ops: make vs. buy for stool hardware (mirror the latch hybrid logic).</w:t>
      </w:r>
    </w:p>
    <w:p>
      <w:pPr>
        <w:pStyle w:val="Normal"/>
        <w:rPr/>
      </w:pPr>
      <w:bookmarkStart w:id="86" w:name="part-prds"/>
      <w:bookmarkStart w:id="87" w:name="prd-14-ael-family-optional-seating"/>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p>
    <w:p>
      <w:pPr>
        <w:pStyle w:val="Heading2"/>
        <w:rPr/>
      </w:pPr>
      <w:bookmarkStart w:id="88" w:name="strategic-prds"/>
      <w:r>
        <w:rPr/>
        <w:t>STRATEGIC PRDs</w:t>
      </w:r>
    </w:p>
    <w:p>
      <w:pPr>
        <w:pStyle w:val="Heading3"/>
        <w:rPr/>
      </w:pPr>
      <w:bookmarkStart w:id="89" w:name="X9218864751805e4f2065454095c0db5dca00809"/>
      <w:r>
        <w:rPr/>
        <w:t>PRD-10 · Product Roadmap (strategy as a product)</w:t>
      </w:r>
    </w:p>
    <w:p>
      <w:pPr>
        <w:pStyle w:val="FirstParagraph"/>
        <w:rPr/>
      </w:pPr>
      <w:r>
        <w:rPr>
          <w:b/>
          <w:bCs/>
        </w:rPr>
        <w:t>Problem.</w:t>
      </w:r>
      <w:r>
        <w:rPr/>
        <w:t xml:space="preserve"> Ribbon Segment architecture (Level-as-Ribbon) resets sequencing; without a ratified roadmap, engineering, sales, and supply chain will optimize different futures. </w:t>
      </w:r>
      <w:r>
        <w:rPr>
          <w:b/>
          <w:bCs/>
        </w:rPr>
        <w:t>Goals.</w:t>
      </w:r>
      <w:r>
        <w:rPr/>
        <w:t xml:space="preserve"> One committed sequence: Phase 0 docked-Racetrack prototype (+undock trials) → Phase 1 pilots (incl. one Hex cluster, one Fold-leg set) → Phase 2 production + configurator GA → Phase 3 scale; Ring enters at Phase 2+. </w:t>
      </w:r>
      <w:r>
        <w:rPr>
          <w:b/>
          <w:bCs/>
        </w:rPr>
        <w:t>Non-Goals.</w:t>
      </w:r>
      <w:r>
        <w:rPr/>
        <w:t xml:space="preserve"> Parallel monolith line (Rev E replaces it — packet decision closed unless reopened); international before national mesh. </w:t>
      </w:r>
      <w:r>
        <w:rPr>
          <w:b/>
          <w:bCs/>
        </w:rPr>
        <w:t>Requirements.</w:t>
      </w:r>
      <w:r>
        <w:rPr/>
        <w:t xml:space="preserve"> P0: stage-gate criteria per phase (Phase 0 exits on B3/B12/B13 pass + 14-user ergonomic validation; Phase 1 exits on pilot metrics + validated unit cost; Phase 2 exits on 98% CAM acceptance + margin ≥40%). P1: quarterly roadmap review cadence. P2: platform derivatives (desks? benches?) parked. </w:t>
      </w:r>
      <w:r>
        <w:rPr>
          <w:b/>
          <w:bCs/>
        </w:rPr>
        <w:t>Metrics.</w:t>
      </w:r>
      <w:r>
        <w:rPr/>
        <w:t xml:space="preserve"> Gate slippage &lt;1 quarter each; % scope added post-gate (target ~0 — scope law: additions require removals). </w:t>
      </w:r>
      <w:r>
        <w:rPr>
          <w:b/>
          <w:bCs/>
        </w:rPr>
        <w:t>Open questions.</w:t>
      </w:r>
      <w:r>
        <w:rPr/>
        <w:t xml:space="preserve"> Stakeholder: ratify monolith retirement formally.</w:t>
      </w:r>
      <w:bookmarkEnd w:id="89"/>
    </w:p>
    <w:p>
      <w:pPr>
        <w:pStyle w:val="Heading3"/>
        <w:rPr/>
      </w:pPr>
      <w:bookmarkStart w:id="90" w:name="X09527ead822ef986e63455f8846ec26165dd1b8"/>
      <w:r>
        <w:rPr/>
        <w:t>PRD-11 · Manufacturing Sequence (the build as a product)</w:t>
      </w:r>
    </w:p>
    <w:p>
      <w:pPr>
        <w:pStyle w:val="FirstParagraph"/>
        <w:rPr/>
      </w:pPr>
      <w:r>
        <w:rPr>
          <w:b/>
          <w:bCs/>
        </w:rPr>
        <w:t>Problem.</w:t>
      </w:r>
      <w:r>
        <w:rPr/>
        <w:t xml:space="preserve"> Ribbon Segment architecture (Level-as-Ribbon) re-orders what gets tooled when; wrong sequencing burns seed capital on molds the architecture no longer needs. </w:t>
      </w:r>
      <w:r>
        <w:rPr>
          <w:b/>
          <w:bCs/>
        </w:rPr>
        <w:t>Goals.</w:t>
      </w:r>
      <w:r>
        <w:rPr/>
        <w:t xml:space="preserve"> Tool in value order: (1) docking latch + chassis jigs, (2) transition-cap molds (highest-count SKU), (3) flat-top cutting programs (no molds), (4) F-Hub mast weldment, (5) simple-curve tops last. </w:t>
      </w:r>
      <w:r>
        <w:rPr>
          <w:b/>
          <w:bCs/>
        </w:rPr>
        <w:t>Non-Goals.</w:t>
      </w:r>
      <w:r>
        <w:rPr/>
        <w:t xml:space="preserve"> LFAM in the critical path (its case weakened; keep as Phase 3 upside); Ring tooling before Phase 2. </w:t>
      </w:r>
      <w:r>
        <w:rPr>
          <w:b/>
          <w:bCs/>
        </w:rPr>
        <w:t>Requirements.</w:t>
      </w:r>
      <w:r>
        <w:rPr/>
        <w:t xml:space="preserve"> P0: DFMA review before any tool cut; every part carries make/buy/print tag per volume (matrix maintained); QA gates at each node keyed to B-series. </w:t>
      </w:r>
      <w:r>
        <w:rPr>
          <w:i/>
          <w:iCs/>
        </w:rPr>
        <w:t>AC: no tooling PO without a signed DFMA + volume forecast.</w:t>
      </w:r>
      <w:r>
        <w:rPr/>
        <w:t xml:space="preserve"> P1: dual-source every mold. P2: robotic dock-hardware assembly cell at scale. </w:t>
      </w:r>
      <w:r>
        <w:rPr>
          <w:b/>
          <w:bCs/>
        </w:rPr>
        <w:t>Metrics.</w:t>
      </w:r>
      <w:r>
        <w:rPr/>
        <w:t xml:space="preserve"> Tooling $ per shipped table (declining each phase); first-pass yield ≥95% by Phase 2. </w:t>
      </w:r>
      <w:r>
        <w:rPr>
          <w:b/>
          <w:bCs/>
        </w:rPr>
        <w:t>Open questions.</w:t>
      </w:r>
      <w:r>
        <w:rPr/>
        <w:t xml:space="preserve"> Engineering: cap molds compression vs. injection (with PRD-04).</w:t>
      </w:r>
      <w:bookmarkEnd w:id="90"/>
    </w:p>
    <w:p>
      <w:pPr>
        <w:pStyle w:val="Heading3"/>
        <w:rPr/>
      </w:pPr>
      <w:bookmarkStart w:id="91" w:name="X9531626c8865e721a79894b6193ab80477946a1"/>
      <w:r>
        <w:rPr/>
        <w:t>PRD-12 · Supply Network (centralize/distribute as a product)</w:t>
      </w:r>
    </w:p>
    <w:p>
      <w:pPr>
        <w:pStyle w:val="FirstParagraph"/>
        <w:rPr/>
      </w:pPr>
      <w:r>
        <w:rPr>
          <w:b/>
          <w:bCs/>
        </w:rPr>
        <w:t>Problem.</w:t>
      </w:r>
      <w:r>
        <w:rPr/>
        <w:t xml:space="preserve"> Rev E’s freight collapse strengthens centralization; the network design must be re-decided on the new physics, not the old. </w:t>
      </w:r>
      <w:r>
        <w:rPr>
          <w:b/>
          <w:bCs/>
        </w:rPr>
        <w:t>Goals.</w:t>
      </w:r>
      <w:r>
        <w:rPr/>
        <w:t xml:space="preserve"> Re-run the crossover model with Rev E inputs; likely outcome: </w:t>
      </w:r>
      <w:r>
        <w:rPr>
          <w:b/>
          <w:bCs/>
        </w:rPr>
        <w:t>one central plant + regional final-assembly/QA partners</w:t>
      </w:r>
      <w:r>
        <w:rPr/>
        <w:t xml:space="preserve"> replaces full microfactories for longer; keep the distributed option as a real Phase 3 branch, not a commitment. </w:t>
      </w:r>
      <w:r>
        <w:rPr>
          <w:b/>
          <w:bCs/>
        </w:rPr>
        <w:t>Non-Goals.</w:t>
      </w:r>
      <w:r>
        <w:rPr/>
        <w:t xml:space="preserve"> Committing microfactory licenses before Rev E crossover data; overseas manufacture before national demand proof. </w:t>
      </w:r>
      <w:r>
        <w:rPr>
          <w:b/>
          <w:bCs/>
        </w:rPr>
        <w:t>Requirements.</w:t>
      </w:r>
      <w:r>
        <w:rPr/>
        <w:t xml:space="preserve"> P0: updated model run with quoted freight (stackable classes) and docking-labor adders before any node decision; supplier shortlist re-scored for flat-top + latch + cap competence. P1: parts-hub RFQ (Midwest) in Phase 1. P2: continental replication playbook. </w:t>
      </w:r>
      <w:r>
        <w:rPr>
          <w:b/>
          <w:bCs/>
        </w:rPr>
        <w:t>Metrics.</w:t>
      </w:r>
      <w:r>
        <w:rPr/>
        <w:t xml:space="preserve"> Landed cost per arrangement; node decision reversals (target zero — decide on data once). </w:t>
      </w:r>
      <w:r>
        <w:rPr>
          <w:b/>
          <w:bCs/>
        </w:rPr>
        <w:t>Open questions.</w:t>
      </w:r>
      <w:r>
        <w:rPr/>
        <w:t xml:space="preserve"> Data: real LTL quotes for stacked L-tables (blocking for the model re-run).</w:t>
      </w:r>
      <w:bookmarkEnd w:id="91"/>
    </w:p>
    <w:p>
      <w:pPr>
        <w:pStyle w:val="Heading3"/>
        <w:rPr/>
      </w:pPr>
      <w:bookmarkStart w:id="92" w:name="X2becd3d16f3b7d414265379c521ef499753e006"/>
      <w:r>
        <w:rPr/>
        <w:t>PRD-13 · GTM &amp; Pilot Program (learning as a product)</w:t>
      </w:r>
    </w:p>
    <w:p>
      <w:pPr>
        <w:pStyle w:val="FirstParagraph"/>
        <w:rPr/>
      </w:pPr>
      <w:r>
        <w:rPr>
          <w:b/>
          <w:bCs/>
        </w:rPr>
        <w:t>Problem.</w:t>
      </w:r>
      <w:r>
        <w:rPr/>
        <w:t xml:space="preserve"> Pilots must now validate a </w:t>
      </w:r>
      <w:r>
        <w:rPr>
          <w:i/>
          <w:iCs/>
        </w:rPr>
        <w:t>system</w:t>
      </w:r>
      <w:r>
        <w:rPr/>
        <w:t xml:space="preserve"> (docking, caps, growth-over-time) not just a table — and produce the evidence that closes institutional sales. </w:t>
      </w:r>
      <w:r>
        <w:rPr>
          <w:b/>
          <w:bCs/>
        </w:rPr>
        <w:t>Goals.</w:t>
      </w:r>
      <w:r>
        <w:rPr/>
        <w:t xml:space="preserve"> 3–5 SoCal pilots incl. one education </w:t>
      </w:r>
      <w:r>
        <w:rPr>
          <w:b/>
          <w:bCs/>
        </w:rPr>
        <w:t>Hex cluster</w:t>
      </w:r>
      <w:r>
        <w:rPr/>
        <w:t xml:space="preserve"> and one grow-from-three-tables site; instrumented protocol incl. dock cycles, seam wear, cap safety gauge audits, focal-type preference; every pilot yields a reference + a validation report. </w:t>
      </w:r>
      <w:r>
        <w:rPr>
          <w:b/>
          <w:bCs/>
        </w:rPr>
        <w:t>Non-Goals.</w:t>
      </w:r>
      <w:r>
        <w:rPr/>
        <w:t xml:space="preserve"> Paid pilots (friction kills speed — subsidized in exchange for data/reference); consumer/residential channel. </w:t>
      </w:r>
      <w:r>
        <w:rPr>
          <w:b/>
          <w:bCs/>
        </w:rPr>
        <w:t>Requirements.</w:t>
      </w:r>
      <w:r>
        <w:rPr/>
        <w:t xml:space="preserve"> P0: pilot MOU template (observation rights, reference rights, safety reporting); protocol per validation packet + Rev E additions; monthly data pull into the twin. </w:t>
      </w:r>
      <w:r>
        <w:rPr>
          <w:i/>
          <w:iCs/>
        </w:rPr>
        <w:t>AC: each pilot produces the report deck section within 2 weeks of close.</w:t>
      </w:r>
      <w:r>
        <w:rPr/>
        <w:t xml:space="preserve"> P1: architect/designer preview event per metro. P2: GPO listing post-BIFMA. </w:t>
      </w:r>
      <w:r>
        <w:rPr>
          <w:b/>
          <w:bCs/>
        </w:rPr>
        <w:t>Metrics.</w:t>
      </w:r>
      <w:r>
        <w:rPr/>
        <w:t xml:space="preserve"> Pilot→paid conversion ≥60%; reference use in ≥80% of subsequent proposals; zero safety incidents. </w:t>
      </w:r>
      <w:r>
        <w:rPr>
          <w:b/>
          <w:bCs/>
        </w:rPr>
        <w:t>Open questions.</w:t>
      </w:r>
      <w:r>
        <w:rPr/>
        <w:t xml:space="preserve"> Stakeholder: first outreach wave order (packet email ready — send is yours).</w:t>
      </w:r>
    </w:p>
    <w:p>
      <w:pPr>
        <w:pStyle w:val="Normal"/>
        <w:rPr/>
      </w:pPr>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bookmarkStart w:id="93" w:name="ribbon-master-prd-set-rev-f"/>
      <w:bookmarkStart w:id="94" w:name="strategic-prds"/>
      <w:bookmarkStart w:id="95" w:name="X2becd3d16f3b7d414265379c521ef499753e006"/>
      <w:r>
        <w:rPr>
          <w:i/>
          <w:iCs/>
        </w:rPr>
        <w:t>Every PRD inherits the shared constraints: B-series spec compliance, child-safety-first, accessibility as core function, illustrative economics until quotes land. PRDs are living documents — revise at each stage gate (PRD-10).</w:t>
      </w:r>
      <w:bookmarkEnd w:id="93"/>
      <w:bookmarkEnd w:id="94"/>
      <w:bookmarkEnd w:id="95"/>
    </w:p>
    <w:p>
      <w:pPr>
        <w:pStyle w:val="Heading1"/>
        <w:rPr/>
      </w:pPr>
      <w:bookmarkStart w:id="96" w:name="Xaee80235d5ffcc8701e13748d0b50045c1cc341"/>
      <w:r>
        <w:rPr/>
        <w:t>Part 8 — Productionization Playbook (superseded in part — see banner)</w:t>
      </w:r>
      <w:bookmarkEnd w:id="96"/>
    </w:p>
    <w:p>
      <w:pPr>
        <w:pStyle w:val="Heading1"/>
        <w:rPr/>
      </w:pPr>
      <w:bookmarkStart w:id="97" w:name="X9148dbf60b0e01e8666b7156ce5962334ca3cb6"/>
      <w:r>
        <w:rPr/>
        <w:t>Multi-Height Table — Productionization Playbook</w:t>
      </w:r>
    </w:p>
    <w:p>
      <w:pPr>
        <w:pStyle w:val="BlockText"/>
        <w:rPr/>
      </w:pPr>
      <w:r>
        <w:rPr>
          <w:b/>
          <w:bCs/>
        </w:rPr>
        <w:t xml:space="preserve">⚠ </w:t>
      </w:r>
      <w:r>
        <w:rPr>
          <w:b/>
          <w:bCs/>
        </w:rPr>
        <w:t>SUPERSEDED IN PART (Rev H.1).</w:t>
      </w:r>
      <w:r>
        <w:rPr/>
        <w:t xml:space="preserve"> This document predates Rev E (Level-as-Table / ribbon segments). Its freight assumptions (oversized monolith, ~class 400) and its distributed-microfactory recommendation no longer hold: stacked-segment freight (~class 85) strengthens the CENTRALIZED case — current guidance lives in PRD-12 and the crossover model, and the network decision waits on real quotes (Freight RFQ package). Phasing logic, DFMA principles, and make/buy/print reasoning remain useful history.</w:t>
      </w:r>
    </w:p>
    <w:p>
      <w:pPr>
        <w:pStyle w:val="Heading3"/>
        <w:rPr/>
      </w:pPr>
      <w:bookmarkStart w:id="98" w:name="X2c1a8c5b2701977cb930534943675d544d8b390"/>
      <w:r>
        <w:rPr/>
        <w:t>Phased roadmap · make/buy/print sourcing matrix · factory-model brief</w:t>
      </w:r>
    </w:p>
    <w:p>
      <w:pPr>
        <w:pStyle w:val="BlockText"/>
        <w:rPr/>
      </w:pPr>
      <w:r>
        <w:rPr>
          <w:b/>
          <w:bCs/>
        </w:rPr>
        <w:t>Assumptions.</w:t>
      </w:r>
      <w:r>
        <w:rPr/>
        <w:t xml:space="preserve"> All unit costs are rough order-of-magnitude, fully-loaded (materials + labor + amortized tooling + overhead), ±30%, in USD — planning figures, not quotes. Product = the 3900 × 1200 mm racetrack table from the build spec: bulky, low-density, heavy steel base, inherently configurable (parametric height mix + swappable inserts). Freight is a first-order cost because an assembled unit is oversized. Target region assumed </w:t>
      </w:r>
      <w:r>
        <w:rPr>
          <w:b/>
          <w:bCs/>
        </w:rPr>
        <w:t>Southern California / US West Coast</w:t>
      </w:r>
      <w:r>
        <w:rPr/>
        <w:t>; substitute your own and the structure holds.</w:t>
      </w:r>
    </w:p>
    <w:p>
      <w:pPr>
        <w:pStyle w:val="Normal"/>
        <w:rPr/>
      </w:pPr>
      <w:bookmarkStart w:id="99" w:name="X2c1a8c5b2701977cb930534943675d544d8b390"/>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p>
    <w:p>
      <w:pPr>
        <w:pStyle w:val="Heading2"/>
        <w:rPr/>
      </w:pPr>
      <w:bookmarkStart w:id="100" w:name="phased-roadmap"/>
      <w:r>
        <w:rPr/>
        <w:t>1 · Phased roadmap</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Volume</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goal</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Core process &amp; tooling</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Unit cost (loaded)</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Lead time</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Freight note</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0 — Prototype</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Prove the ergonomics; retire design risk</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Parametric model (Rhino+Grasshopper / Fusion); 5-axis CNC core; hand thermoform; waterjet base; 3D-printed inserts; </w:t>
            </w:r>
            <w:r>
              <w:rPr>
                <w:rFonts w:eastAsia="Cambria" w:cs=""/>
                <w:b/>
                <w:bCs/>
                <w:kern w:val="0"/>
                <w:sz w:val="24"/>
                <w:szCs w:val="24"/>
                <w:lang w:val="en-US" w:eastAsia="en-US" w:bidi="ar-SA"/>
              </w:rPr>
              <w:t>instrumented 14-person testing</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$12k–20k</w:t>
            </w:r>
            <w:r>
              <w:rPr>
                <w:rFonts w:eastAsia="Cambria" w:cs=""/>
                <w:kern w:val="0"/>
                <w:sz w:val="24"/>
                <w:szCs w:val="24"/>
                <w:lang w:val="en-US" w:eastAsia="en-US" w:bidi="ar-SA"/>
              </w:rPr>
              <w:t xml:space="preserve"> (≈80–90% one-time NRE; marginal build ≈$5k–8k)</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8–16 wks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 (built on site)</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1 — Pilot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10–50</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Prove repeatability &amp; true cost; DFMA + flat-pack</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Reusable CNC molds + weld/assembly jigs; knock-down base; </w:t>
            </w:r>
            <w:r>
              <w:rPr>
                <w:rFonts w:eastAsia="Cambria" w:cs=""/>
                <w:b/>
                <w:bCs/>
                <w:kern w:val="0"/>
                <w:sz w:val="24"/>
                <w:szCs w:val="24"/>
                <w:lang w:val="en-US" w:eastAsia="en-US" w:bidi="ar-SA"/>
              </w:rPr>
              <w:t>configurator → CAM</w:t>
            </w:r>
            <w:r>
              <w:rPr>
                <w:rFonts w:eastAsia="Cambria" w:cs=""/>
                <w:kern w:val="0"/>
                <w:sz w:val="24"/>
                <w:szCs w:val="24"/>
                <w:lang w:val="en-US" w:eastAsia="en-US" w:bidi="ar-SA"/>
              </w:rPr>
              <w:t>; 3–5 real beachhead sites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$4.5k–7k</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6–10 wk tooling setup, then 4–8 wk/unit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KD base + 2-pc top → standard LTL; ≈$150–500</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 — Production</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100–500 / yr</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Mass-customization at margin; modular kit-of-parts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Decompose wave into standard height segments + 2 end caps; jigged/contract-mfg assembly; make-to-order (no finished-goods inventory)</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$2.8k–4k</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3–5 wk/unit (configurator-driven)</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Palletized flat-pack; ≈$150–400</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3 — Distributed scale</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1,000+ / yr</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Make-near-demand; lowest landed cost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Robotic CNC/sand/polish + auto-adhesive/weld; </w:t>
            </w:r>
            <w:r>
              <w:rPr>
                <w:rFonts w:eastAsia="Cambria" w:cs=""/>
                <w:b/>
                <w:bCs/>
                <w:kern w:val="0"/>
                <w:sz w:val="24"/>
                <w:szCs w:val="24"/>
                <w:lang w:val="en-US" w:eastAsia="en-US" w:bidi="ar-SA"/>
              </w:rPr>
              <w:t>LFAM near-net-shape top (recycled pellet)</w:t>
            </w:r>
            <w:r>
              <w:rPr>
                <w:rFonts w:eastAsia="Cambria" w:cs=""/>
                <w:kern w:val="0"/>
                <w:sz w:val="24"/>
                <w:szCs w:val="24"/>
                <w:lang w:val="en-US" w:eastAsia="en-US" w:bidi="ar-SA"/>
              </w:rPr>
              <w:t>; digital thread + per-unit digital twin; regional microfactories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$2k–3k ex-works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1–3 wk + short-haul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Collapses via local build; often the largest single saving</w:t>
            </w:r>
          </w:p>
        </w:tc>
      </w:tr>
    </w:tbl>
    <w:p>
      <w:pPr>
        <w:pStyle w:val="BodyText"/>
        <w:rPr/>
      </w:pPr>
      <w:r>
        <w:rPr>
          <w:b/>
          <w:bCs/>
        </w:rPr>
        <w:t>Cost-curve driver:</w:t>
      </w:r>
      <w:r>
        <w:rPr/>
        <w:t xml:space="preserve"> the drop from Phase 0→1 is </w:t>
      </w:r>
      <w:r>
        <w:rPr>
          <w:i/>
          <w:iCs/>
        </w:rPr>
        <w:t>tooling amortization</w:t>
      </w:r>
      <w:r>
        <w:rPr/>
        <w:t xml:space="preserve">; 1→2 is </w:t>
      </w:r>
      <w:r>
        <w:rPr>
          <w:i/>
          <w:iCs/>
        </w:rPr>
        <w:t>labor per unit</w:t>
      </w:r>
      <w:r>
        <w:rPr/>
        <w:t xml:space="preserve"> (kit-of-parts + jigs); 2→3 is </w:t>
      </w:r>
      <w:r>
        <w:rPr>
          <w:i/>
          <w:iCs/>
        </w:rPr>
        <w:t>freight and mold elimination</w:t>
      </w:r>
      <w:r>
        <w:rPr/>
        <w:t xml:space="preserve"> (distributed build + LFAM), not further fabrication savings. Beyond Phase 2, geography — not the shop floor — is where the money is.</w:t>
      </w:r>
    </w:p>
    <w:p>
      <w:pPr>
        <w:pStyle w:val="Normal"/>
        <w:rPr/>
      </w:pPr>
      <w:bookmarkStart w:id="101" w:name="phased-roadmap"/>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2"/>
        <w:rPr/>
      </w:pPr>
      <w:bookmarkStart w:id="102" w:name="X50d83bba92e36c029fcf8549204e777367247dc"/>
      <w:r>
        <w:rPr/>
        <w:t>2 · BOM sourcing matrix — make / buy / print by volume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Prototype (1)</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Pilot (10–50)</w:t>
            </w:r>
          </w:p>
        </w:tc>
        <w:tc>
          <w:tcPr>
            <w:tcW w:w="156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Production (100–500)</w:t>
            </w:r>
          </w:p>
        </w:tc>
        <w:tc>
          <w:tcPr>
            <w:tcW w:w="15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Mass (1,000+)</w:t>
            </w:r>
          </w:p>
        </w:tc>
        <w:tc>
          <w:tcPr>
            <w:tcW w:w="15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Logic</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Top skin</w:t>
            </w:r>
            <w:r>
              <w:rPr>
                <w:rFonts w:eastAsia="Cambria" w:cs=""/>
                <w:kern w:val="0"/>
                <w:sz w:val="24"/>
                <w:szCs w:val="24"/>
                <w:lang w:val="en-US" w:eastAsia="en-US" w:bidi="ar-SA"/>
              </w:rPr>
              <w:t xml:space="preserve"> (solid surface)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CNC mold + thermoform</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reusable mold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tooled thermoform</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Print – LFAM near-net-shape</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Print migrates </w:t>
            </w:r>
            <w:r>
              <w:rPr>
                <w:rFonts w:eastAsia="Cambria" w:cs=""/>
                <w:i/>
                <w:iCs/>
                <w:kern w:val="0"/>
                <w:sz w:val="24"/>
                <w:szCs w:val="24"/>
                <w:lang w:val="en-US" w:eastAsia="en-US" w:bidi="ar-SA"/>
              </w:rPr>
              <w:t>up</w:t>
            </w:r>
            <w:r>
              <w:rPr>
                <w:rFonts w:eastAsia="Cambria" w:cs=""/>
                <w:kern w:val="0"/>
                <w:sz w:val="24"/>
                <w:szCs w:val="24"/>
                <w:lang w:val="en-US" w:eastAsia="en-US" w:bidi="ar-SA"/>
              </w:rPr>
              <w:t xml:space="preserve"> to the biggest part once mold cost fights customization</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Top core (ply/bamboo)</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CNC cut</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CNC cut</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nested CNC</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Make / </w:t>
            </w:r>
            <w:r>
              <w:rPr>
                <w:rFonts w:eastAsia="Cambria" w:cs=""/>
                <w:i/>
                <w:iCs/>
                <w:kern w:val="0"/>
                <w:sz w:val="24"/>
                <w:szCs w:val="24"/>
                <w:lang w:val="en-US" w:eastAsia="en-US" w:bidi="ar-SA"/>
              </w:rPr>
              <w:t>eliminated</w:t>
            </w:r>
            <w:r>
              <w:rPr>
                <w:rFonts w:eastAsia="Cambria" w:cs=""/>
                <w:kern w:val="0"/>
                <w:sz w:val="24"/>
                <w:szCs w:val="24"/>
                <w:lang w:val="en-US" w:eastAsia="en-US" w:bidi="ar-SA"/>
              </w:rPr>
              <w:t xml:space="preserve"> if monolithic LFAM top</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Cheap to cut; may vanish at mass</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Steel spine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weld from stock</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jigged weld</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fabricated to file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robotic weld cell</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Buy-to-print once geometry is frozen</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 plates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waterjet to file</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laser/waterjet</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laser to file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few central hubs</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Dense, flat, standard → travels well; centralize</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Trough liner (316 SS)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sheet-metal shop</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to file</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to file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volume sheet metal</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Classic buy-to-print throughout</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Trough inserts / lids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Print – FDM/SLA</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Print</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thermoform/inject</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injection-molded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Print </w:t>
            </w:r>
            <w:r>
              <w:rPr>
                <w:rFonts w:eastAsia="Cambria" w:cs=""/>
                <w:i/>
                <w:iCs/>
                <w:kern w:val="0"/>
                <w:sz w:val="24"/>
                <w:szCs w:val="24"/>
                <w:lang w:val="en-US" w:eastAsia="en-US" w:bidi="ar-SA"/>
              </w:rPr>
              <w:t>down</w:t>
            </w:r>
            <w:r>
              <w:rPr>
                <w:rFonts w:eastAsia="Cambria" w:cs=""/>
                <w:kern w:val="0"/>
                <w:sz w:val="24"/>
                <w:szCs w:val="24"/>
                <w:lang w:val="en-US" w:eastAsia="en-US" w:bidi="ar-SA"/>
              </w:rPr>
              <w:t xml:space="preserve"> as volume justifies tooling — opposite of the top</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Activity tubs (HDPE)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off-the-shelf</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catalog</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custom molded</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custom molded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Standardize early, tool late</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Footrail (SS tube)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cut/bend</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Commodity</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Glides / fasteners / hardware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catalog</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Always buy</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Powder coat / finish</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service</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service</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 – service</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 – in-line line</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Insource only at true volume</w:t>
            </w:r>
          </w:p>
        </w:tc>
      </w:tr>
      <w:tr>
        <w:trPr/>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Adhesives / consumables</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6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Buy</w:t>
            </w:r>
          </w:p>
        </w:tc>
        <w:tc>
          <w:tcPr>
            <w:tcW w:w="15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Always buy</w:t>
            </w:r>
          </w:p>
        </w:tc>
      </w:tr>
    </w:tbl>
    <w:p>
      <w:pPr>
        <w:pStyle w:val="BodyText"/>
        <w:rPr/>
      </w:pPr>
      <w:r>
        <w:rPr>
          <w:b/>
          <w:bCs/>
        </w:rPr>
        <w:t>The two print stories run opposite directions.</w:t>
      </w:r>
      <w:r>
        <w:rPr/>
        <w:t xml:space="preserve"> Small complex parts (inserts) are </w:t>
      </w:r>
      <w:r>
        <w:rPr>
          <w:i/>
          <w:iCs/>
        </w:rPr>
        <w:t>printed early</w:t>
      </w:r>
      <w:r>
        <w:rPr/>
        <w:t xml:space="preserve"> for geometry variety, then </w:t>
      </w:r>
      <w:r>
        <w:rPr>
          <w:i/>
          <w:iCs/>
        </w:rPr>
        <w:t>bought</w:t>
      </w:r>
      <w:r>
        <w:rPr/>
        <w:t xml:space="preserve"> once volume pays for molds. The top is </w:t>
      </w:r>
      <w:r>
        <w:rPr>
          <w:i/>
          <w:iCs/>
        </w:rPr>
        <w:t>made with molds</w:t>
      </w:r>
      <w:r>
        <w:rPr/>
        <w:t xml:space="preserve"> early, then </w:t>
      </w:r>
      <w:r>
        <w:rPr>
          <w:i/>
          <w:iCs/>
        </w:rPr>
        <w:t>printed</w:t>
      </w:r>
      <w:r>
        <w:rPr/>
        <w:t xml:space="preserve"> at mass — because large-format additive kills tooling cost and re-enables true per-order customization. Everything dense, flat, and standard (base plates, trough kit, hardware) stays </w:t>
      </w:r>
      <w:r>
        <w:rPr>
          <w:b/>
          <w:bCs/>
        </w:rPr>
        <w:t>buy</w:t>
      </w:r>
      <w:r>
        <w:rPr/>
        <w:t xml:space="preserve"> and is the right thing to centralize.</w:t>
      </w:r>
    </w:p>
    <w:p>
      <w:pPr>
        <w:pStyle w:val="Normal"/>
        <w:rPr/>
      </w:pPr>
      <w:bookmarkStart w:id="103" w:name="X50d83bba92e36c029fcf8549204e777367247dc"/>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p>
    <w:p>
      <w:pPr>
        <w:pStyle w:val="Heading2"/>
        <w:rPr/>
      </w:pPr>
      <w:bookmarkStart w:id="104" w:name="Xb9394ccf57385abb06dd43ffa71ee0b30be8a27"/>
      <w:r>
        <w:rPr/>
        <w:t>3 · Decision brief — centralized factory vs. distributed microfactory</w:t>
      </w:r>
    </w:p>
    <w:p>
      <w:pPr>
        <w:pStyle w:val="FirstParagraph"/>
        <w:rPr/>
      </w:pPr>
      <w:r>
        <w:rPr>
          <w:b/>
          <w:bCs/>
        </w:rPr>
        <w:t>Recommendation: run a hybrid, distributed-leaning model — and centralize only the parts that ship well.</w:t>
      </w:r>
    </w:p>
    <w:p>
      <w:pPr>
        <w:pStyle w:val="BodyText"/>
        <w:rPr/>
      </w:pPr>
      <w:r>
        <w:rPr/>
        <w:t xml:space="preserve">The product’s economics point away from one central mega-plant. It’s bulky, low-density, heavy, high-mix (configurable), and — early on — low-volume-per-site with geographically dispersed demand. Every one of those attributes favors building </w:t>
      </w:r>
      <w:r>
        <w:rPr>
          <w:i/>
          <w:iCs/>
        </w:rPr>
        <w:t>near</w:t>
      </w:r>
      <w:r>
        <w:rPr/>
        <w:t xml:space="preserve"> the customer:</w:t>
      </w:r>
    </w:p>
    <w:p>
      <w:pPr>
        <w:pStyle w:val="Compact"/>
        <w:numPr>
          <w:ilvl w:val="0"/>
          <w:numId w:val="93"/>
        </w:numPr>
        <w:rPr/>
      </w:pPr>
      <w:r>
        <w:rPr>
          <w:b/>
          <w:bCs/>
        </w:rPr>
        <w:t>Freight dominates.</w:t>
      </w:r>
      <w:r>
        <w:rPr/>
        <w:t xml:space="preserve"> Long-haul, oversized transport on an assembled 3.9 m table runs ≈$400–1,500/unit domestically and is brutal internationally. Distributed fabrication collapses that to short-haul. Centralization only wins when per-unit </w:t>
      </w:r>
      <w:r>
        <w:rPr>
          <w:i/>
          <w:iCs/>
        </w:rPr>
        <w:t>scale savings exceed added freight</w:t>
      </w:r>
      <w:r>
        <w:rPr/>
        <w:t xml:space="preserve"> — and for an object this bulky, the marginal fabrication a good regional shop gives up is usually </w:t>
      </w:r>
      <w:r>
        <w:rPr>
          <w:b/>
          <w:bCs/>
        </w:rPr>
        <w:t>smaller than the freight it saves</w:t>
      </w:r>
      <w:r>
        <w:rPr/>
        <w:t xml:space="preserve">, so the crossover favors distributed until volume is both very high </w:t>
      </w:r>
      <w:r>
        <w:rPr>
          <w:i/>
          <w:iCs/>
        </w:rPr>
        <w:t>and</w:t>
      </w:r>
      <w:r>
        <w:rPr/>
        <w:t xml:space="preserve"> geographically concentrated.</w:t>
      </w:r>
    </w:p>
    <w:p>
      <w:pPr>
        <w:pStyle w:val="Compact"/>
        <w:numPr>
          <w:ilvl w:val="0"/>
          <w:numId w:val="94"/>
        </w:numPr>
        <w:rPr/>
      </w:pPr>
      <w:r>
        <w:rPr>
          <w:b/>
          <w:bCs/>
        </w:rPr>
        <w:t>The product is made for distribution.</w:t>
      </w:r>
      <w:r>
        <w:rPr/>
        <w:t xml:space="preserve"> A parametric file + a kit of standard modules is exactly what a network of regional CNC / solid-surface / metal shops (or an on-demand platform like Xometry or Fictiv) can execute. High-mix customization is a distributed strength and a centralized headache.</w:t>
      </w:r>
    </w:p>
    <w:p>
      <w:pPr>
        <w:pStyle w:val="Compact"/>
        <w:numPr>
          <w:ilvl w:val="0"/>
          <w:numId w:val="95"/>
        </w:numPr>
        <w:rPr/>
      </w:pPr>
      <w:r>
        <w:rPr>
          <w:b/>
          <w:bCs/>
        </w:rPr>
        <w:t>Capex &amp; speed.</w:t>
      </w:r>
      <w:r>
        <w:rPr/>
        <w:t xml:space="preserve"> Licensing the design to existing fabricators (the Opendesk / Fab-City pattern) avoids a plant’s capital and cuts lead times to 1–3 weeks. Resilience improves too — no single point of failure.</w:t>
      </w:r>
    </w:p>
    <w:p>
      <w:pPr>
        <w:pStyle w:val="FirstParagraph"/>
        <w:rPr/>
      </w:pPr>
      <w:r>
        <w:rPr>
          <w:b/>
          <w:bCs/>
        </w:rPr>
        <w:t>The crossover rule:</w:t>
      </w:r>
      <w:r>
        <w:rPr/>
        <w:t xml:space="preserve"> </w:t>
      </w:r>
      <w:r>
        <w:rPr>
          <w:i/>
          <w:iCs/>
        </w:rPr>
        <w:t>centralize the flat, dense, standard, low-mix parts; distribute the bulky, custom, final-assembly parts.</w:t>
      </w:r>
      <w:r>
        <w:rPr/>
        <w:t xml:space="preserve"> Produce base plates, trough kits, and hardware at one or two hubs and ship them compact; localize the top and final assembly.</w:t>
      </w:r>
    </w:p>
    <w:p>
      <w:pPr>
        <w:pStyle w:val="BodyText"/>
        <w:rPr/>
      </w:pPr>
      <w:r>
        <w:rPr>
          <w:b/>
          <w:bCs/>
        </w:rPr>
        <w:t>Why this fits Southern California specifically:</w:t>
      </w:r>
      <w:r>
        <w:rPr/>
        <w:t xml:space="preserve"> - A deep existing base of architectural millwork, sign, solid-surface, and metal-fabrication shops — you can source a single anchor “microfactory” partner in-metro for Phase 0–1 with no new plant. - Dense beachhead demand (very large K-12 + higher-ed, museums, libraries, and family-style hospitality) within short-haul range, so a single-metro distributed node serves real volume before you replicate. - High regional labor cost argues </w:t>
      </w:r>
      <w:r>
        <w:rPr>
          <w:i/>
          <w:iCs/>
        </w:rPr>
        <w:t>against</w:t>
      </w:r>
      <w:r>
        <w:rPr/>
        <w:t xml:space="preserve"> owning a labor-heavy central plant early — favor on-demand capacity and, later, automation. - Ports supply solid-surface sheet and steel efficiently; CARB / Prop 65 / procurement sustainability expectations reward low-VOC finishes and recycled/LFAM feedstock — a genuine bid advantage with public buyers.</w:t>
      </w:r>
    </w:p>
    <w:p>
      <w:pPr>
        <w:pStyle w:val="BodyText"/>
        <w:rPr/>
      </w:pPr>
      <w:r>
        <w:rPr>
          <w:b/>
          <w:bCs/>
        </w:rPr>
        <w:t>Sequence:</w:t>
      </w:r>
      <w:r>
        <w:rPr/>
        <w:t xml:space="preserve"> Phase 0–1, one in-region anchor fabricator (effectively your first microfactory) for tight iteration. Phase 2–3, replicate the microfactory </w:t>
      </w:r>
      <w:r>
        <w:rPr>
          <w:i/>
          <w:iCs/>
        </w:rPr>
        <w:t>pattern</w:t>
      </w:r>
      <w:r>
        <w:rPr/>
        <w:t xml:space="preserve"> metro-by-metro via licensing / on-demand rather than building a central plant, while consolidating the dense standard parts at a hub or two.</w:t>
      </w:r>
    </w:p>
    <w:p>
      <w:pPr>
        <w:pStyle w:val="BodyText"/>
        <w:rPr/>
      </w:pPr>
      <w:r>
        <w:rPr>
          <w:b/>
          <w:bCs/>
        </w:rPr>
        <w:t>Watch-outs:</w:t>
      </w:r>
      <w:r>
        <w:rPr/>
        <w:t xml:space="preserve"> quality consistency across independent shops (mitigate with the digital thread, fixed CAM, jigs, and QA gates); IP leakage under licensing (mitigate with per-unit serialized files and controlled toolpaths); and don’t over-distribute the standard parts, where you’d forfeit real scale economies for no freight benefit.</w:t>
      </w:r>
    </w:p>
    <w:p>
      <w:pPr>
        <w:pStyle w:val="Normal"/>
        <w:rPr/>
      </w:pP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bookmarkStart w:id="105" w:name="X9148dbf60b0e01e8666b7156ce5962334ca3cb6"/>
      <w:bookmarkStart w:id="106" w:name="Xb9394ccf57385abb06dd43ffa71ee0b30be8a27"/>
      <w:r>
        <w:rPr>
          <w:i/>
          <w:iCs/>
        </w:rPr>
        <w:t>Pairs with the plan-view drawing and build spec. Figures are planning ROM (±30%) for internal modeling, not vendor quotes.</w:t>
      </w:r>
      <w:bookmarkEnd w:id="105"/>
      <w:bookmarkEnd w:id="106"/>
    </w:p>
    <w:p>
      <w:pPr>
        <w:pStyle w:val="Heading1"/>
        <w:rPr/>
      </w:pPr>
      <w:bookmarkStart w:id="107" w:name="X508915cc87b69983cd9916f77616df37aa6b287"/>
      <w:r>
        <w:rPr/>
        <w:t>Part 9 — Geographic Scale-Up Roadmap (superseded in part — see banner)</w:t>
      </w:r>
      <w:bookmarkEnd w:id="107"/>
    </w:p>
    <w:p>
      <w:pPr>
        <w:pStyle w:val="Heading1"/>
        <w:rPr/>
      </w:pPr>
      <w:bookmarkStart w:id="108" w:name="X4deae8acca545b3562dcf03007654fc549868f5"/>
      <w:r>
        <w:rPr/>
        <w:t>RIBBON — Manufacturing &amp; Distribution Scale-Up Roadmap</w:t>
      </w:r>
    </w:p>
    <w:p>
      <w:pPr>
        <w:pStyle w:val="BlockText"/>
        <w:rPr/>
      </w:pPr>
      <w:r>
        <w:rPr>
          <w:b/>
          <w:bCs/>
        </w:rPr>
        <w:t xml:space="preserve">⚠ </w:t>
      </w:r>
      <w:r>
        <w:rPr>
          <w:b/>
          <w:bCs/>
        </w:rPr>
        <w:t>SUPERSEDED IN PART (Rev H.1).</w:t>
      </w:r>
      <w:r>
        <w:rPr/>
        <w:t xml:space="preserve"> This document predates Rev E (Level-as-Table / ribbon segments). Its freight assumptions (oversized monolith, ~class 400) and its distributed-microfactory recommendation no longer hold: stacked-segment freight (~class 85) strengthens the CENTRALIZED case — current guidance lives in PRD-12 and the crossover model, and the network decision waits on real quotes (Freight RFQ package). Phasing logic, DFMA principles, and make/buy/print reasoning remain useful history.</w:t>
      </w:r>
    </w:p>
    <w:p>
      <w:pPr>
        <w:pStyle w:val="Heading3"/>
        <w:rPr/>
      </w:pPr>
      <w:bookmarkStart w:id="109" w:name="west-east-national-global"/>
      <w:r>
        <w:rPr/>
        <w:t>West → East → National → Global</w:t>
      </w:r>
    </w:p>
    <w:p>
      <w:pPr>
        <w:pStyle w:val="BlockText"/>
        <w:rPr/>
      </w:pPr>
      <w:r>
        <w:rPr/>
        <w:t>Builds on the distributed-leaning hybrid from the productionization playbook. All figures are rough order-of-magnitude planning assumptions (±30–40%), not quotes.</w:t>
      </w:r>
    </w:p>
    <w:p>
      <w:pPr>
        <w:pStyle w:val="Normal"/>
        <w:rPr/>
      </w:pPr>
      <w:bookmarkStart w:id="110" w:name="west-east-national-global"/>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p>
    <w:p>
      <w:pPr>
        <w:pStyle w:val="Heading2"/>
        <w:rPr/>
      </w:pPr>
      <w:bookmarkStart w:id="111" w:name="operating-principle"/>
      <w:r>
        <w:rPr/>
        <w:t>Operating principle</w:t>
      </w:r>
    </w:p>
    <w:p>
      <w:pPr>
        <w:pStyle w:val="FirstParagraph"/>
        <w:rPr/>
      </w:pPr>
      <w:r>
        <w:rPr/>
        <w:t xml:space="preserve">Optimize </w:t>
      </w:r>
      <w:r>
        <w:rPr>
          <w:b/>
          <w:bCs/>
        </w:rPr>
        <w:t>landed cost + lead time</w:t>
      </w:r>
      <w:r>
        <w:rPr/>
        <w:t>, not ex-works fabrication cost. For an oversized, heavy, high-mix product, freight and lead time dominate — so:</w:t>
      </w:r>
    </w:p>
    <w:p>
      <w:pPr>
        <w:pStyle w:val="Compact"/>
        <w:numPr>
          <w:ilvl w:val="0"/>
          <w:numId w:val="96"/>
        </w:numPr>
        <w:rPr/>
      </w:pPr>
      <w:r>
        <w:rPr>
          <w:b/>
          <w:bCs/>
        </w:rPr>
        <w:t>Centralize</w:t>
      </w:r>
      <w:r>
        <w:rPr/>
        <w:t xml:space="preserve"> the flat, dense, standard, low-mix parts (base plates, spine, trough kits, hardware) at a few </w:t>
      </w:r>
      <w:r>
        <w:rPr>
          <w:b/>
          <w:bCs/>
        </w:rPr>
        <w:t>parts hubs</w:t>
      </w:r>
      <w:r>
        <w:rPr/>
        <w:t>; make them in volume and ship them compact.</w:t>
      </w:r>
    </w:p>
    <w:p>
      <w:pPr>
        <w:pStyle w:val="Compact"/>
        <w:numPr>
          <w:ilvl w:val="0"/>
          <w:numId w:val="97"/>
        </w:numPr>
        <w:rPr/>
      </w:pPr>
      <w:r>
        <w:rPr>
          <w:b/>
          <w:bCs/>
        </w:rPr>
        <w:t>Distribute</w:t>
      </w:r>
      <w:r>
        <w:rPr/>
        <w:t xml:space="preserve"> the bulky, custom work (top skin, core, insert kitting, final assembly, QA) to </w:t>
      </w:r>
      <w:r>
        <w:rPr>
          <w:b/>
          <w:bCs/>
        </w:rPr>
        <w:t>regional microfactories</w:t>
      </w:r>
      <w:r>
        <w:rPr/>
        <w:t xml:space="preserve"> near demand, fed by the parametric file + a hub kit.</w:t>
      </w:r>
    </w:p>
    <w:p>
      <w:pPr>
        <w:pStyle w:val="Compact"/>
        <w:numPr>
          <w:ilvl w:val="0"/>
          <w:numId w:val="98"/>
        </w:numPr>
        <w:rPr/>
      </w:pPr>
      <w:r>
        <w:rPr>
          <w:b/>
          <w:bCs/>
        </w:rPr>
        <w:t>License</w:t>
      </w:r>
      <w:r>
        <w:rPr/>
        <w:t xml:space="preserve"> to add nodes fast once a region proves out. Never long-haul an assembled 3.9 m table — and never ship one across an ocean.</w:t>
      </w:r>
    </w:p>
    <w:p>
      <w:pPr>
        <w:pStyle w:val="Compact"/>
        <w:numPr>
          <w:ilvl w:val="0"/>
          <w:numId w:val="99"/>
        </w:numPr>
        <w:rPr/>
      </w:pPr>
      <w:r>
        <w:rPr/>
        <w:t xml:space="preserve">The </w:t>
      </w:r>
      <w:r>
        <w:rPr>
          <w:b/>
          <w:bCs/>
        </w:rPr>
        <w:t>digital thread</w:t>
      </w:r>
      <w:r>
        <w:rPr/>
        <w:t xml:space="preserve"> (one configurator → CAD/CAM → QA standard) is the connective tissue that keeps quality consistent across every node without central manufacturing.</w:t>
      </w:r>
    </w:p>
    <w:p>
      <w:pPr>
        <w:pStyle w:val="Heading3"/>
        <w:rPr/>
      </w:pPr>
      <w:bookmarkStart w:id="112" w:name="network-roles"/>
      <w:r>
        <w:rPr/>
        <w:t>Network roles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Makes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Traits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Placement</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Parts hub</w:t>
            </w:r>
            <w:r>
              <w:rPr>
                <w:rFonts w:eastAsia="Cambria" w:cs=""/>
                <w:kern w:val="0"/>
                <w:sz w:val="24"/>
                <w:szCs w:val="24"/>
                <w:lang w:val="en-US" w:eastAsia="en-US" w:bidi="ar-SA"/>
              </w:rPr>
              <w:t xml:space="preserve"> (centralized)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 plates, steel spine, trough kits, hardware, power modules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Flat, dense, standard, low-mix — travels well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Few, central to the regions they feed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Regional microfactory</w:t>
            </w:r>
            <w:r>
              <w:rPr>
                <w:rFonts w:eastAsia="Cambria" w:cs=""/>
                <w:kern w:val="0"/>
                <w:sz w:val="24"/>
                <w:szCs w:val="24"/>
                <w:lang w:val="en-US" w:eastAsia="en-US" w:bidi="ar-SA"/>
              </w:rPr>
              <w:t xml:space="preserve"> (distributed)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Top skin (thermoform → LFAM), core, insert kitting, assembly, QA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Bulky, custom, final assembly — must be local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Many, near demand</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Design/Ops HQ</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Parametric engine, configurator, digital thread, QA + licensing</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Asset-light IP core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w:t>
            </w:r>
          </w:p>
        </w:tc>
      </w:tr>
    </w:tbl>
    <w:p>
      <w:pPr>
        <w:pStyle w:val="Normal"/>
        <w:rPr/>
      </w:pPr>
      <w:bookmarkStart w:id="113" w:name="operating-principle"/>
      <w:bookmarkStart w:id="114" w:name="network-roles"/>
      <w:r>
        <w:rPr/>
        <mc:AlternateContent>
          <mc:Choice Requires="wps">
            <w:drawing>
              <wp:inline distT="0" distB="0" distL="0" distR="0">
                <wp:extent cx="635"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3"/>
      <w:bookmarkEnd w:id="114"/>
    </w:p>
    <w:p>
      <w:pPr>
        <w:pStyle w:val="Heading2"/>
        <w:rPr/>
      </w:pPr>
      <w:bookmarkStart w:id="115" w:name="phased-geographic-roadmap"/>
      <w:r>
        <w:rPr/>
        <w:t>Phased geographic roadmap</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Timeframe</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Nodes added</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Made local vs. shipped in</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Landed cost trend</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Lead time</w:t>
            </w:r>
          </w:p>
        </w:tc>
        <w:tc>
          <w:tcPr>
            <w:tcW w:w="1337"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Primary risk</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 — West anchor</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Yr 1–2</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SoCal microfactory (LA metro)</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Everything local at first; dense parts sourced regionally</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Baseline</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3–8 wks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Single point of failure</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 — East node</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Yr 2–3</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Southeast microfactory </w:t>
            </w:r>
            <w:r>
              <w:rPr>
                <w:rFonts w:eastAsia="Cambria" w:cs=""/>
                <w:b/>
                <w:bCs/>
                <w:kern w:val="0"/>
                <w:sz w:val="24"/>
                <w:szCs w:val="24"/>
                <w:lang w:val="en-US" w:eastAsia="en-US" w:bidi="ar-SA"/>
              </w:rPr>
              <w:t>+ central parts hub (Midwest)</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Coasts finish/assemble locally; hub ships compact dense parts to both</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(freight ~halved nationally)</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3–6 wks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Two-node quality consistency</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 — National mesh</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Yr 3–4</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licensed microfactories (TX, Mid-Atlantic, +1)</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Last-mile finishing local; LFAM tops begin at high-volume nodes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(freight minimized)</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1–3 wks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Partner onboarding &amp; QA at scale</w:t>
            </w:r>
          </w:p>
        </w:tc>
      </w:tr>
      <w:tr>
        <w:trPr/>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 — Global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Yr 4–6+</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Continental nodes: Canada → Europe → APAC → MEA</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Export the </w:t>
            </w:r>
            <w:r>
              <w:rPr>
                <w:rFonts w:eastAsia="Cambria" w:cs=""/>
                <w:b/>
                <w:bCs/>
                <w:kern w:val="0"/>
                <w:sz w:val="24"/>
                <w:szCs w:val="24"/>
                <w:lang w:val="en-US" w:eastAsia="en-US" w:bidi="ar-SA"/>
              </w:rPr>
              <w:t>design</w:t>
            </w:r>
            <w:r>
              <w:rPr>
                <w:rFonts w:eastAsia="Cambria" w:cs=""/>
                <w:kern w:val="0"/>
                <w:sz w:val="24"/>
                <w:szCs w:val="24"/>
                <w:lang w:val="en-US" w:eastAsia="en-US" w:bidi="ar-SA"/>
              </w:rPr>
              <w:t>, qualify regional fabricators; ship only specialized components</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Region-local</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In-region</w:t>
            </w:r>
          </w:p>
        </w:tc>
        <w:tc>
          <w:tcPr>
            <w:tcW w:w="1337"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Tariffs, standards, IP</w:t>
            </w:r>
          </w:p>
        </w:tc>
      </w:tr>
    </w:tbl>
    <w:p>
      <w:pPr>
        <w:pStyle w:val="Heading3"/>
        <w:rPr/>
      </w:pPr>
      <w:r>
        <w:rPr/>
        <w:t>Phase W — West anchor (Yr 1–2)</w:t>
      </w:r>
    </w:p>
    <w:p>
      <w:pPr>
        <w:pStyle w:val="FirstParagraph"/>
        <w:rPr/>
      </w:pPr>
      <w:r>
        <w:rPr/>
        <w:t>One SoCal finishing/assembly microfactory serving CA, the Pacific Northwest, Arizona, Nevada, and the mountain west. Dense parts are sourced regionally on an interim basis. Goal: prove the product, the configurator→CAM path, and the first references. Short-haul LTL keeps landed cost low across the West.</w:t>
      </w:r>
    </w:p>
    <w:p>
      <w:pPr>
        <w:pStyle w:val="Heading3"/>
        <w:rPr/>
      </w:pPr>
      <w:bookmarkStart w:id="116" w:name="phase-e-east-node-coast-to-coast-yr-23"/>
      <w:r>
        <w:rPr/>
        <w:t>Phase E — East node → coast-to-coast (Yr 2–3)</w:t>
      </w:r>
    </w:p>
    <w:p>
      <w:pPr>
        <w:pStyle w:val="FirstParagraph"/>
        <w:rPr/>
      </w:pPr>
      <w:r>
        <w:rPr/>
        <w:t xml:space="preserve">Stand up a </w:t>
      </w:r>
      <w:r>
        <w:rPr>
          <w:b/>
          <w:bCs/>
        </w:rPr>
        <w:t>Southeast microfactory</w:t>
      </w:r>
      <w:r>
        <w:rPr/>
        <w:t xml:space="preserve"> — recommended in the </w:t>
      </w:r>
      <w:r>
        <w:rPr>
          <w:b/>
          <w:bCs/>
        </w:rPr>
        <w:t>Piedmont/Triad of North Carolina</w:t>
      </w:r>
      <w:r>
        <w:rPr/>
        <w:t xml:space="preserve"> (deep furniture-manufacturing cluster around High Point) or </w:t>
      </w:r>
      <w:r>
        <w:rPr>
          <w:b/>
          <w:bCs/>
        </w:rPr>
        <w:t>Atlanta</w:t>
      </w:r>
      <w:r>
        <w:rPr/>
        <w:t xml:space="preserve"> (logistics depth + Savannah port) — serving the Eastern Seaboard, Southeast, and into the Mid-Atlantic/Northeast. Simultaneously open a </w:t>
      </w:r>
      <w:r>
        <w:rPr>
          <w:b/>
          <w:bCs/>
        </w:rPr>
        <w:t>central parts hub in the Midwest metal-fab corridor</w:t>
      </w:r>
      <w:r>
        <w:rPr/>
        <w:t xml:space="preserve"> (Ohio/Indiana/Chicago) that makes base plates and spines in volume and ships them compact to </w:t>
      </w:r>
      <w:r>
        <w:rPr>
          <w:i/>
          <w:iCs/>
        </w:rPr>
        <w:t>both</w:t>
      </w:r>
      <w:r>
        <w:rPr/>
        <w:t xml:space="preserve"> coasts, minimizing dense-part freight from a central point. Result: two finishing microfactories + one parts hub put ~90% of US institutional demand within medium-haul of a node, roughly halving national freight versus a single West node.</w:t>
      </w:r>
      <w:bookmarkEnd w:id="116"/>
    </w:p>
    <w:p>
      <w:pPr>
        <w:pStyle w:val="Heading3"/>
        <w:rPr/>
      </w:pPr>
      <w:bookmarkStart w:id="117" w:name="phase-n-national-mesh-yr-34"/>
      <w:r>
        <w:rPr/>
        <w:t>Phase N — National mesh (Yr 3–4)</w:t>
      </w:r>
    </w:p>
    <w:p>
      <w:pPr>
        <w:pStyle w:val="FirstParagraph"/>
        <w:rPr/>
      </w:pPr>
      <w:r>
        <w:rPr/>
        <w:t xml:space="preserve">Add 2–3 more regional microfactories to erase the last freight miles — Texas/South-Central (Dallas), Mid-Atlantic/Northeast (PA/NJ), and one more as volume warrants — onboarded via </w:t>
      </w:r>
      <w:r>
        <w:rPr>
          <w:b/>
          <w:bCs/>
        </w:rPr>
        <w:t>licensing and on-demand networks</w:t>
      </w:r>
      <w:r>
        <w:rPr/>
        <w:t xml:space="preserve"> (regional solid-surface + metal shops, Xometry-type capacity) rather than owned plants. </w:t>
      </w:r>
      <w:r>
        <w:rPr>
          <w:b/>
          <w:bCs/>
        </w:rPr>
        <w:t>Large-format additive (LFAM) tops</w:t>
      </w:r>
      <w:r>
        <w:rPr/>
        <w:t xml:space="preserve"> come online at the highest-volume nodes, eliminating mold cost and re-enabling true per-order geometry. Coverage becomes asset-light, fast (1–3 wk lead), and resilient.</w:t>
      </w:r>
      <w:bookmarkEnd w:id="117"/>
    </w:p>
    <w:p>
      <w:pPr>
        <w:pStyle w:val="Heading3"/>
        <w:rPr/>
      </w:pPr>
      <w:bookmarkStart w:id="118" w:name="phase-g-global-yr-46"/>
      <w:r>
        <w:rPr/>
        <w:t>Phase G — Global (Yr 4–6+)</w:t>
      </w:r>
    </w:p>
    <w:p>
      <w:pPr>
        <w:pStyle w:val="FirstParagraph"/>
        <w:rPr/>
      </w:pPr>
      <w:r>
        <w:rPr/>
        <w:t xml:space="preserve">Replicate make-near-demand internationally by </w:t>
      </w:r>
      <w:r>
        <w:rPr>
          <w:b/>
          <w:bCs/>
        </w:rPr>
        <w:t>exporting the design, not the table</w:t>
      </w:r>
      <w:r>
        <w:rPr/>
        <w:t>: qualify regional fabricators, stand up continental parts hubs, and ship only specialized components where needed. Sequence by attractiveness × ease of entry:</w:t>
      </w:r>
    </w:p>
    <w:p>
      <w:pPr>
        <w:pStyle w:val="Compact"/>
        <w:numPr>
          <w:ilvl w:val="0"/>
          <w:numId w:val="100"/>
        </w:numPr>
        <w:rPr/>
      </w:pPr>
      <w:r>
        <w:rPr>
          <w:b/>
          <w:bCs/>
        </w:rPr>
        <w:t>Canada (Yr 4)</w:t>
      </w:r>
      <w:r>
        <w:rPr/>
        <w:t xml:space="preserve"> — adjacency and USMCA; serve from US nodes first, then a Toronto/Vancouver microfactory.</w:t>
      </w:r>
    </w:p>
    <w:p>
      <w:pPr>
        <w:pStyle w:val="Compact"/>
        <w:numPr>
          <w:ilvl w:val="0"/>
          <w:numId w:val="101"/>
        </w:numPr>
        <w:rPr/>
      </w:pPr>
      <w:r>
        <w:rPr>
          <w:b/>
          <w:bCs/>
        </w:rPr>
        <w:t>Europe (Yr 4–5)</w:t>
      </w:r>
      <w:r>
        <w:rPr/>
        <w:t xml:space="preserve"> — strong education/institutional/design demand and sustainability alignment; metric-native. A Benelux/Germany microfactory + continental parts hub. </w:t>
      </w:r>
      <w:r>
        <w:rPr>
          <w:b/>
          <w:bCs/>
        </w:rPr>
        <w:t>Our multi-height wave maps naturally onto EN 1729 educational-furniture size marks</w:t>
      </w:r>
      <w:r>
        <w:rPr/>
        <w:t xml:space="preserve"> — a credibility and spec advantage. Watch CE marking, accessibility norms, and ecodesign/EPR obligations; local content sidesteps EU furniture duties.</w:t>
      </w:r>
    </w:p>
    <w:p>
      <w:pPr>
        <w:pStyle w:val="Compact"/>
        <w:numPr>
          <w:ilvl w:val="0"/>
          <w:numId w:val="102"/>
        </w:numPr>
        <w:rPr/>
      </w:pPr>
      <w:r>
        <w:rPr>
          <w:b/>
          <w:bCs/>
        </w:rPr>
        <w:t>APAC (Yr 5–6)</w:t>
      </w:r>
      <w:r>
        <w:rPr/>
        <w:t xml:space="preserve"> — fastest-growing contract-furniture region but the most competitive and manufacturing-dense. </w:t>
      </w:r>
      <w:r>
        <w:rPr>
          <w:b/>
          <w:bCs/>
        </w:rPr>
        <w:t>License to strong regional manufacturers</w:t>
      </w:r>
      <w:r>
        <w:rPr/>
        <w:t>, localize aggressively, and protect IP carefully; premium nodes (Singapore/ANZ) vs. cost partners (Vietnam/China).</w:t>
      </w:r>
    </w:p>
    <w:p>
      <w:pPr>
        <w:pStyle w:val="Compact"/>
        <w:numPr>
          <w:ilvl w:val="0"/>
          <w:numId w:val="103"/>
        </w:numPr>
        <w:rPr/>
      </w:pPr>
      <w:r>
        <w:rPr>
          <w:b/>
          <w:bCs/>
        </w:rPr>
        <w:t>Middle East (Yr 5–6)</w:t>
      </w:r>
      <w:r>
        <w:rPr/>
        <w:t xml:space="preserve"> — hospitality and civic megaprojects; premium, partner-led.</w:t>
      </w:r>
    </w:p>
    <w:p>
      <w:pPr>
        <w:pStyle w:val="FirstParagraph"/>
        <w:rPr/>
      </w:pPr>
      <w:r>
        <w:rPr>
          <w:b/>
          <w:bCs/>
        </w:rPr>
        <w:t>Global considerations grid</w:t>
      </w:r>
      <w:r>
        <w:rPr/>
        <w:t xml:space="preserve"> - </w:t>
      </w:r>
      <w:r>
        <w:rPr>
          <w:b/>
          <w:bCs/>
        </w:rPr>
        <w:t>Tariffs/trade</w:t>
      </w:r>
      <w:r>
        <w:rPr/>
        <w:t xml:space="preserve"> — furniture carries meaningful import duties and trade actions; local make-near-demand avoids most of them, so distribution is a </w:t>
      </w:r>
      <w:r>
        <w:rPr>
          <w:i/>
          <w:iCs/>
        </w:rPr>
        <w:t>tariff</w:t>
      </w:r>
      <w:r>
        <w:rPr/>
        <w:t xml:space="preserve"> strategy, not just a logistics one. - </w:t>
      </w:r>
      <w:r>
        <w:rPr>
          <w:b/>
          <w:bCs/>
        </w:rPr>
        <w:t>Standards/certification</w:t>
      </w:r>
      <w:r>
        <w:rPr/>
        <w:t xml:space="preserve"> — US: BIFMA, Greenguard, ADA. EU: EN 1729 (education sizing), CE, accessibility, ecodesign/EPR. Each region needs local cert; the multi-height concept is a selling point against sizing standards. - </w:t>
      </w:r>
      <w:r>
        <w:rPr>
          <w:b/>
          <w:bCs/>
        </w:rPr>
        <w:t>IP</w:t>
      </w:r>
      <w:r>
        <w:rPr/>
        <w:t xml:space="preserve"> — register design rights per jurisdiction; serialized files, controlled toolpaths, staged disclosure to licensees; strongest caution in low-enforcement markets. - </w:t>
      </w:r>
      <w:r>
        <w:rPr>
          <w:b/>
          <w:bCs/>
        </w:rPr>
        <w:t>Supply resilience</w:t>
      </w:r>
      <w:r>
        <w:rPr/>
        <w:t xml:space="preserve"> — qualify multi-region suppliers for solid surface, steel, and stainless; prioritize recycled/low-carbon feedstock; nearshore where possible.</w:t>
      </w:r>
    </w:p>
    <w:p>
      <w:pPr>
        <w:pStyle w:val="Normal"/>
        <w:rPr/>
      </w:pPr>
      <w:bookmarkStart w:id="119" w:name="phased-geographic-roadmap"/>
      <w:bookmarkStart w:id="120" w:name="phase-g-global-yr-46"/>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rPr/>
      </w:pPr>
      <w:bookmarkStart w:id="121" w:name="make-buy-print-how-it-localizes"/>
      <w:r>
        <w:rPr/>
        <w:t>Make / buy / print — how it localizes</w:t>
      </w:r>
    </w:p>
    <w:p>
      <w:pPr>
        <w:pStyle w:val="Compact"/>
        <w:numPr>
          <w:ilvl w:val="0"/>
          <w:numId w:val="104"/>
        </w:numPr>
        <w:rPr/>
      </w:pPr>
      <w:r>
        <w:rPr>
          <w:b/>
          <w:bCs/>
        </w:rPr>
        <w:t>Top skin:</w:t>
      </w:r>
      <w:r>
        <w:rPr/>
        <w:t xml:space="preserve"> made-with-mold early in each new node → shifts to </w:t>
      </w:r>
      <w:r>
        <w:rPr>
          <w:b/>
          <w:bCs/>
        </w:rPr>
        <w:t>printed (LFAM)</w:t>
      </w:r>
      <w:r>
        <w:rPr/>
        <w:t xml:space="preserve"> once that node’s volume justifies it. Print capability rolls out node-by-node, west to east to global.</w:t>
      </w:r>
    </w:p>
    <w:p>
      <w:pPr>
        <w:pStyle w:val="Compact"/>
        <w:numPr>
          <w:ilvl w:val="0"/>
          <w:numId w:val="105"/>
        </w:numPr>
        <w:rPr/>
      </w:pPr>
      <w:r>
        <w:rPr>
          <w:b/>
          <w:bCs/>
        </w:rPr>
        <w:t>Dense standard parts</w:t>
      </w:r>
      <w:r>
        <w:rPr/>
        <w:t xml:space="preserve"> (base plates, spine, trough kits, hardware): consolidate to </w:t>
      </w:r>
      <w:r>
        <w:rPr>
          <w:b/>
          <w:bCs/>
        </w:rPr>
        <w:t>continental parts hubs</w:t>
      </w:r>
      <w:r>
        <w:rPr/>
        <w:t xml:space="preserve"> — each region </w:t>
      </w:r>
      <w:r>
        <w:rPr>
          <w:i/>
          <w:iCs/>
        </w:rPr>
        <w:t>buys from its hub</w:t>
      </w:r>
      <w:r>
        <w:rPr/>
        <w:t>, not from overseas.</w:t>
      </w:r>
    </w:p>
    <w:p>
      <w:pPr>
        <w:pStyle w:val="Compact"/>
        <w:numPr>
          <w:ilvl w:val="0"/>
          <w:numId w:val="106"/>
        </w:numPr>
        <w:rPr/>
      </w:pPr>
      <w:r>
        <w:rPr>
          <w:b/>
          <w:bCs/>
        </w:rPr>
        <w:t>Inserts/lids:</w:t>
      </w:r>
      <w:r>
        <w:rPr/>
        <w:t xml:space="preserve"> printed at any new/low-volume node; tooled (bought) per continent once regional volume pays for molds.</w:t>
      </w:r>
      <w:bookmarkEnd w:id="121"/>
    </w:p>
    <w:p>
      <w:pPr>
        <w:pStyle w:val="Heading2"/>
        <w:rPr/>
      </w:pPr>
      <w:bookmarkStart w:id="122" w:name="X611f84f871ca620a8a391066b36f5ac409988a4"/>
      <w:r>
        <w:rPr/>
        <w:t>When to open a node / centralize a part (rule of thumb)</w:t>
      </w:r>
    </w:p>
    <w:p>
      <w:pPr>
        <w:pStyle w:val="Compact"/>
        <w:numPr>
          <w:ilvl w:val="0"/>
          <w:numId w:val="107"/>
        </w:numPr>
        <w:rPr/>
      </w:pPr>
      <w:r>
        <w:rPr>
          <w:b/>
          <w:bCs/>
        </w:rPr>
        <w:t>Open a regional finishing node</w:t>
      </w:r>
      <w:r>
        <w:rPr/>
        <w:t xml:space="preserve"> when in-region annual volume × freight-saved-per-unit </w:t>
      </w:r>
      <w:r>
        <w:rPr>
          <w:b/>
          <w:bCs/>
        </w:rPr>
        <w:t>exceeds</w:t>
      </w:r>
      <w:r>
        <w:rPr/>
        <w:t xml:space="preserve"> node standup + fixed cost — for an oversized product that tends to land around </w:t>
      </w:r>
      <w:r>
        <w:rPr>
          <w:b/>
          <w:bCs/>
        </w:rPr>
        <w:t>~150–300 units/yr</w:t>
      </w:r>
      <w:r>
        <w:rPr/>
        <w:t xml:space="preserve"> in a region given the freight it saves.</w:t>
      </w:r>
    </w:p>
    <w:p>
      <w:pPr>
        <w:pStyle w:val="Compact"/>
        <w:numPr>
          <w:ilvl w:val="0"/>
          <w:numId w:val="108"/>
        </w:numPr>
        <w:rPr/>
      </w:pPr>
      <w:r>
        <w:rPr>
          <w:b/>
          <w:bCs/>
        </w:rPr>
        <w:t>Centralize a part</w:t>
      </w:r>
      <w:r>
        <w:rPr/>
        <w:t xml:space="preserve"> only when (per-unit scale saving × units) </w:t>
      </w:r>
      <w:r>
        <w:rPr>
          <w:b/>
          <w:bCs/>
        </w:rPr>
        <w:t>exceeds</w:t>
      </w:r>
      <w:r>
        <w:rPr/>
        <w:t xml:space="preserve"> the added freight of shipping it in. Flat/dense parts clear this easily; the bulky top never does — which is the whole reason the top stays distributed.</w:t>
      </w:r>
      <w:bookmarkEnd w:id="108"/>
      <w:bookmarkEnd w:id="122"/>
    </w:p>
    <w:p>
      <w:pPr>
        <w:pStyle w:val="Heading1"/>
        <w:rPr/>
      </w:pPr>
      <w:bookmarkStart w:id="123" w:name="X162c9f9e96819cc207538f974627d7c9217db24"/>
      <w:r>
        <w:rPr/>
        <w:t>Part 10 — Supplier Shortlist (re-score pending per PRD-12)</w:t>
      </w:r>
      <w:bookmarkEnd w:id="123"/>
    </w:p>
    <w:p>
      <w:pPr>
        <w:pStyle w:val="Heading1"/>
        <w:rPr/>
      </w:pPr>
      <w:bookmarkStart w:id="124" w:name="ribbon-supplier-shortlist-west-mid-east"/>
      <w:r>
        <w:rPr/>
        <w:t>RIBBON — Supplier Shortlist (West · Mid · East)</w:t>
      </w:r>
    </w:p>
    <w:p>
      <w:pPr>
        <w:pStyle w:val="Heading3"/>
        <w:rPr/>
      </w:pPr>
      <w:bookmarkStart w:id="125" w:name="Xc956221204b87e9eef2e6c3f45f4a941b572063"/>
      <w:r>
        <w:rPr/>
        <w:t>Starting candidates to qualify — not endorsements</w:t>
      </w:r>
    </w:p>
    <w:p>
      <w:pPr>
        <w:pStyle w:val="FirstParagraph"/>
        <w:rPr/>
      </w:pPr>
      <w:r>
        <w:rPr/>
        <w:t xml:space="preserve">Organized by the network roles from the scale-up roadmap: </w:t>
      </w:r>
      <w:r>
        <w:rPr>
          <w:b/>
          <w:bCs/>
        </w:rPr>
        <w:t>microfactories</w:t>
      </w:r>
      <w:r>
        <w:rPr/>
        <w:t xml:space="preserve"> (bulky, custom — solid-surface top + metal base + assembly, placed near demand) and a central </w:t>
      </w:r>
      <w:r>
        <w:rPr>
          <w:b/>
          <w:bCs/>
        </w:rPr>
        <w:t>parts hub</w:t>
      </w:r>
      <w:r>
        <w:rPr/>
        <w:t xml:space="preserve"> (flat, dense, standard parts made in volume, shipped compact). Verify capacity, certifications, references, and NDA/IP terms directly before committing.</w:t>
      </w:r>
    </w:p>
    <w:p>
      <w:pPr>
        <w:pStyle w:val="Normal"/>
        <w:rPr/>
      </w:pPr>
      <w:bookmarkStart w:id="126" w:name="Xc956221204b87e9eef2e6c3f45f4a941b572063"/>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
    </w:p>
    <w:p>
      <w:pPr>
        <w:pStyle w:val="Heading2"/>
        <w:rPr/>
      </w:pPr>
      <w:bookmarkStart w:id="127" w:name="Xc99e346ba55d4f721a43c2f1e7e6551ace07435"/>
      <w:r>
        <w:rPr/>
        <w:t>West node — Southern California microfactory (Phase W)</w:t>
      </w:r>
    </w:p>
    <w:p>
      <w:pPr>
        <w:pStyle w:val="FirstParagraph"/>
        <w:rPr/>
      </w:pPr>
      <w:r>
        <w:rPr>
          <w:b/>
          <w:bCs/>
        </w:rPr>
        <w:t>Solid-surface top (thermoform + CNC)</w:t>
      </w:r>
      <w:r>
        <w:rPr/>
        <w:t xml:space="preserve"> - </w:t>
      </w:r>
      <w:r>
        <w:rPr>
          <w:b/>
          <w:bCs/>
        </w:rPr>
        <w:t>Block Tops</w:t>
      </w:r>
      <w:r>
        <w:rPr/>
        <w:t xml:space="preserve"> — SoCal solid-surface &amp; Corian fabricator/installer (Northern &amp; Southern CA). Good first call for solid-surface capability and material sourcing. - </w:t>
      </w:r>
      <w:r>
        <w:rPr>
          <w:b/>
          <w:bCs/>
        </w:rPr>
        <w:t>Corian Solid Surface (coriansolidsurface.com)</w:t>
      </w:r>
      <w:r>
        <w:rPr/>
        <w:t xml:space="preserve"> — SoCal fabricator whose listed work includes conference tables, thermoforming, machining, and seaming. - </w:t>
      </w:r>
      <w:r>
        <w:rPr>
          <w:b/>
          <w:bCs/>
        </w:rPr>
        <w:t>Sterling Surfaces</w:t>
      </w:r>
      <w:r>
        <w:rPr/>
        <w:t xml:space="preserve"> </w:t>
      </w:r>
      <w:r>
        <w:rPr>
          <w:i/>
          <w:iCs/>
        </w:rPr>
        <w:t>(national specialist option)</w:t>
      </w:r>
      <w:r>
        <w:rPr/>
        <w:t xml:space="preserve"> — 30+ years of advanced solid-surface </w:t>
      </w:r>
      <w:r>
        <w:rPr>
          <w:b/>
          <w:bCs/>
        </w:rPr>
        <w:t>thermoforming</w:t>
      </w:r>
      <w:r>
        <w:rPr/>
        <w:t>, precision CNC, and digital fabrication across DuPont Corian, KRION, LG Hi-Macs. Strong fit for the complex wave top and early prototypes even if not in-region.</w:t>
      </w:r>
    </w:p>
    <w:p>
      <w:pPr>
        <w:pStyle w:val="BodyText"/>
        <w:rPr/>
      </w:pPr>
      <w:r>
        <w:rPr>
          <w:b/>
          <w:bCs/>
        </w:rPr>
        <w:t>Metal base / spine / stainless</w:t>
      </w:r>
      <w:r>
        <w:rPr/>
        <w:t xml:space="preserve"> - </w:t>
      </w:r>
      <w:r>
        <w:rPr>
          <w:b/>
          <w:bCs/>
        </w:rPr>
        <w:t>Arts Anvil Iron Works</w:t>
      </w:r>
      <w:r>
        <w:rPr/>
        <w:t xml:space="preserve"> — Gardena, CA; custom metal + acrylic fabrication for commercial, retail, and hospitality </w:t>
      </w:r>
      <w:r>
        <w:rPr>
          <w:b/>
          <w:bCs/>
        </w:rPr>
        <w:t>furniture and fixtures</w:t>
      </w:r>
      <w:r>
        <w:rPr/>
        <w:t xml:space="preserve">. Strong base + assembly fit. - </w:t>
      </w:r>
      <w:r>
        <w:rPr>
          <w:b/>
          <w:bCs/>
        </w:rPr>
        <w:t>CIF Steel</w:t>
      </w:r>
      <w:r>
        <w:rPr/>
        <w:t xml:space="preserve"> — Los Angeles; custom steel, stainless, and sheet metal with CNC cutting and quick turnaround. - </w:t>
      </w:r>
      <w:r>
        <w:rPr>
          <w:b/>
          <w:bCs/>
        </w:rPr>
        <w:t>All-Ways Metal</w:t>
      </w:r>
      <w:r>
        <w:rPr/>
        <w:t xml:space="preserve"> — Gardena, CA; sheet-metal CNC (laser, turret punch, bending, welding). - </w:t>
      </w:r>
      <w:r>
        <w:rPr>
          <w:b/>
          <w:bCs/>
        </w:rPr>
        <w:t>Hand Crafted Metalworks</w:t>
      </w:r>
      <w:r>
        <w:rPr/>
        <w:t xml:space="preserve"> — Southern California; custom metal furniture including bespoke commercial/hospitality pieces.</w:t>
      </w:r>
    </w:p>
    <w:p>
      <w:pPr>
        <w:pStyle w:val="Normal"/>
        <w:rPr/>
      </w:pPr>
      <w:bookmarkStart w:id="128" w:name="Xc99e346ba55d4f721a43c2f1e7e6551ace07435"/>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2"/>
        <w:rPr/>
      </w:pPr>
      <w:bookmarkStart w:id="129" w:name="X6d4d171bcc6f080e9625ccbfd99925110040ad8"/>
      <w:r>
        <w:rPr/>
        <w:t>Mid node — central parts hub (Phase E onward)</w:t>
      </w:r>
    </w:p>
    <w:p>
      <w:pPr>
        <w:pStyle w:val="FirstParagraph"/>
        <w:rPr/>
      </w:pPr>
      <w:r>
        <w:rPr/>
        <w:t xml:space="preserve">Purpose: make base plates, spine, and trough kits in volume and ship them </w:t>
      </w:r>
      <w:r>
        <w:rPr>
          <w:b/>
          <w:bCs/>
        </w:rPr>
        <w:t>compact</w:t>
      </w:r>
      <w:r>
        <w:rPr/>
        <w:t xml:space="preserve"> to both coasts. Best placed in the Midwest fabrication corridor (OH / IN / IL) — central to both coasts, deep metal-fab base.</w:t>
      </w:r>
    </w:p>
    <w:p>
      <w:pPr>
        <w:pStyle w:val="BodyText"/>
        <w:rPr/>
      </w:pPr>
      <w:r>
        <w:rPr>
          <w:b/>
          <w:bCs/>
        </w:rPr>
        <w:t>How to source (no single incumbent — qualify 3–4):</w:t>
      </w:r>
      <w:r>
        <w:rPr/>
        <w:t xml:space="preserve"> - </w:t>
      </w:r>
      <w:r>
        <w:rPr>
          <w:b/>
          <w:bCs/>
        </w:rPr>
        <w:t>Thomasnet</w:t>
      </w:r>
      <w:r>
        <w:rPr/>
        <w:t xml:space="preserve"> — filter metal fabricators by laser/waterjet + press brake + powder coat + capacity. - </w:t>
      </w:r>
      <w:r>
        <w:rPr>
          <w:b/>
          <w:bCs/>
        </w:rPr>
        <w:t>FMA (Fabricators &amp; Manufacturers Association)</w:t>
      </w:r>
      <w:r>
        <w:rPr/>
        <w:t xml:space="preserve"> member directory. - Target profile: structural + sheet-metal shop with in-house laser/waterjet, welding, and powder coat; tolerance to ±1 mm; ship-flat packaging; capacity for hundreds of sets/yr.</w:t>
      </w:r>
    </w:p>
    <w:p>
      <w:pPr>
        <w:pStyle w:val="Normal"/>
        <w:rPr/>
      </w:pPr>
      <w:bookmarkStart w:id="130" w:name="X6d4d171bcc6f080e9625ccbfd99925110040ad8"/>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p>
    <w:p>
      <w:pPr>
        <w:pStyle w:val="Heading2"/>
        <w:rPr/>
      </w:pPr>
      <w:bookmarkStart w:id="131" w:name="X6735c03d84b981dec531aad9928f144d57e7f84"/>
      <w:r>
        <w:rPr/>
        <w:t>East node — Piedmont NC / Atlanta microfactory (Phase E)</w:t>
      </w:r>
    </w:p>
    <w:p>
      <w:pPr>
        <w:pStyle w:val="FirstParagraph"/>
        <w:rPr/>
      </w:pPr>
      <w:r>
        <w:rPr>
          <w:b/>
          <w:bCs/>
        </w:rPr>
        <w:t>Contract-furniture assembly + casegoods</w:t>
      </w:r>
      <w:r>
        <w:rPr/>
        <w:t xml:space="preserve"> - </w:t>
      </w:r>
      <w:r>
        <w:rPr>
          <w:b/>
          <w:bCs/>
        </w:rPr>
        <w:t>HPFi (High Point Furniture Industries)</w:t>
      </w:r>
      <w:r>
        <w:rPr/>
        <w:t xml:space="preserve"> — High Point, NC; contract seating, </w:t>
      </w:r>
      <w:r>
        <w:rPr>
          <w:b/>
          <w:bCs/>
        </w:rPr>
        <w:t>tables</w:t>
      </w:r>
      <w:r>
        <w:rPr/>
        <w:t xml:space="preserve">, and casegoods for education, healthcare, and government. Strong assembly and contract-furniture partner in the heart of the furniture cluster. - </w:t>
      </w:r>
      <w:r>
        <w:rPr>
          <w:b/>
          <w:bCs/>
        </w:rPr>
        <w:t>Custom Contract Furnishings / Whitewood Industries</w:t>
      </w:r>
      <w:r>
        <w:rPr/>
        <w:t xml:space="preserve"> — High Point, NC; 80,000+ sq ft plant serving hospitality, healthcare, and senior living; customization from low MOQs.</w:t>
      </w:r>
    </w:p>
    <w:p>
      <w:pPr>
        <w:pStyle w:val="BodyText"/>
        <w:rPr/>
      </w:pPr>
      <w:r>
        <w:rPr>
          <w:b/>
          <w:bCs/>
        </w:rPr>
        <w:t>Solid-surface top (East)</w:t>
      </w:r>
      <w:r>
        <w:rPr/>
        <w:t xml:space="preserve"> - Qualify a Southeast solid-surface fabricator via </w:t>
      </w:r>
      <w:r>
        <w:rPr>
          <w:b/>
          <w:bCs/>
        </w:rPr>
        <w:t>ISFA</w:t>
      </w:r>
      <w:r>
        <w:rPr/>
        <w:t xml:space="preserve"> (below), or ship tops from a national thermoform specialist (e.g., Sterling Surfaces) during the East ramp until a local partner is qualified.</w:t>
      </w:r>
    </w:p>
    <w:p>
      <w:pPr>
        <w:pStyle w:val="Normal"/>
        <w:rPr/>
      </w:pPr>
      <w:bookmarkStart w:id="132" w:name="X6735c03d84b981dec531aad9928f144d57e7f84"/>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p>
    <w:p>
      <w:pPr>
        <w:pStyle w:val="Heading2"/>
        <w:rPr/>
      </w:pPr>
      <w:bookmarkStart w:id="133" w:name="cross-region-sourcing-directories"/>
      <w:r>
        <w:rPr/>
        <w:t>Cross-region sourcing directories</w:t>
      </w:r>
    </w:p>
    <w:p>
      <w:pPr>
        <w:pStyle w:val="Compact"/>
        <w:numPr>
          <w:ilvl w:val="0"/>
          <w:numId w:val="109"/>
        </w:numPr>
        <w:rPr/>
      </w:pPr>
      <w:r>
        <w:rPr>
          <w:b/>
          <w:bCs/>
        </w:rPr>
        <w:t>ISFA</w:t>
      </w:r>
      <w:r>
        <w:rPr/>
        <w:t xml:space="preserve"> — International Surface Fabricators Association: solid-surface fabricator directory.</w:t>
      </w:r>
    </w:p>
    <w:p>
      <w:pPr>
        <w:pStyle w:val="Compact"/>
        <w:numPr>
          <w:ilvl w:val="0"/>
          <w:numId w:val="110"/>
        </w:numPr>
        <w:rPr/>
      </w:pPr>
      <w:r>
        <w:rPr>
          <w:b/>
          <w:bCs/>
        </w:rPr>
        <w:t>DuPont Corian / LG HI-MACS “Quality Network”</w:t>
      </w:r>
      <w:r>
        <w:rPr/>
        <w:t xml:space="preserve"> — certified-fabricator locators.</w:t>
      </w:r>
    </w:p>
    <w:p>
      <w:pPr>
        <w:pStyle w:val="Compact"/>
        <w:numPr>
          <w:ilvl w:val="0"/>
          <w:numId w:val="111"/>
        </w:numPr>
        <w:rPr/>
      </w:pPr>
      <w:r>
        <w:rPr>
          <w:b/>
          <w:bCs/>
        </w:rPr>
        <w:t>Thomasnet</w:t>
      </w:r>
      <w:r>
        <w:rPr/>
        <w:t xml:space="preserve"> — metal fabrication sourcing.</w:t>
      </w:r>
    </w:p>
    <w:p>
      <w:pPr>
        <w:pStyle w:val="Compact"/>
        <w:numPr>
          <w:ilvl w:val="0"/>
          <w:numId w:val="112"/>
        </w:numPr>
        <w:rPr/>
      </w:pPr>
      <w:r>
        <w:rPr>
          <w:b/>
          <w:bCs/>
        </w:rPr>
        <w:t>BIFMA</w:t>
      </w:r>
      <w:r>
        <w:rPr/>
        <w:t xml:space="preserve"> — member directory + the contract-furniture standards you’ll certify to.</w:t>
      </w:r>
      <w:bookmarkEnd w:id="133"/>
    </w:p>
    <w:p>
      <w:pPr>
        <w:pStyle w:val="Heading2"/>
        <w:rPr/>
      </w:pPr>
      <w:bookmarkStart w:id="134" w:name="selection-criteria-by-role"/>
      <w:r>
        <w:rPr/>
        <w:t>Selection criteria by role</w:t>
      </w:r>
    </w:p>
    <w:p>
      <w:pPr>
        <w:pStyle w:val="Compact"/>
        <w:numPr>
          <w:ilvl w:val="0"/>
          <w:numId w:val="113"/>
        </w:numPr>
        <w:rPr/>
      </w:pPr>
      <w:r>
        <w:rPr>
          <w:b/>
          <w:bCs/>
        </w:rPr>
        <w:t>Solid-surface top:</w:t>
      </w:r>
      <w:r>
        <w:rPr/>
        <w:t xml:space="preserve"> thermoforming capability with an oven/press large enough for the 3.9 m top (or a panelized approach), 3-/5-axis CNC, DuPont or LG certification, clean seam quality, capacity in the hundreds/yr.</w:t>
      </w:r>
    </w:p>
    <w:p>
      <w:pPr>
        <w:pStyle w:val="Compact"/>
        <w:numPr>
          <w:ilvl w:val="0"/>
          <w:numId w:val="114"/>
        </w:numPr>
        <w:rPr/>
      </w:pPr>
      <w:r>
        <w:rPr>
          <w:b/>
          <w:bCs/>
        </w:rPr>
        <w:t>Metal base/spine:</w:t>
      </w:r>
      <w:r>
        <w:rPr/>
        <w:t xml:space="preserve"> in-house laser/waterjet + press brake + welding + powder coat, structural capability for the cantilevered spine, tight tolerance, flat-pack packaging.</w:t>
      </w:r>
    </w:p>
    <w:p>
      <w:pPr>
        <w:pStyle w:val="Compact"/>
        <w:numPr>
          <w:ilvl w:val="0"/>
          <w:numId w:val="115"/>
        </w:numPr>
        <w:rPr/>
      </w:pPr>
      <w:r>
        <w:rPr>
          <w:b/>
          <w:bCs/>
        </w:rPr>
        <w:t>Assembly / contract:</w:t>
      </w:r>
      <w:r>
        <w:rPr/>
        <w:t xml:space="preserve"> BIFMA + Greenguard familiarity, QC and installation, ability to work to our CAM / digital-thread files and jigs, MOQ aligned to pilot/production volumes.</w:t>
      </w:r>
    </w:p>
    <w:p>
      <w:pPr>
        <w:pStyle w:val="FirstParagraph"/>
        <w:rPr/>
      </w:pPr>
      <w:bookmarkStart w:id="135" w:name="ribbon-supplier-shortlist-west-mid-east"/>
      <w:bookmarkStart w:id="136" w:name="selection-criteria-by-role"/>
      <w:r>
        <w:rPr>
          <w:i/>
          <w:iCs/>
        </w:rPr>
        <w:t>Company details from public sources (company sites, industry listings). Treat as a qualification starting point — confirm current capability, certifications, capacity, and IP terms directly.</w:t>
      </w:r>
      <w:bookmarkEnd w:id="135"/>
      <w:bookmarkEnd w:id="136"/>
    </w:p>
    <w:p>
      <w:pPr>
        <w:pStyle w:val="Heading1"/>
        <w:rPr/>
      </w:pPr>
      <w:bookmarkStart w:id="137" w:name="part-11-latch-decision-brief"/>
      <w:r>
        <w:rPr/>
        <w:t>Part 11 — Latch Decision Brief</w:t>
      </w:r>
      <w:bookmarkEnd w:id="137"/>
    </w:p>
    <w:p>
      <w:pPr>
        <w:pStyle w:val="Heading1"/>
        <w:rPr/>
      </w:pPr>
      <w:bookmarkStart w:id="138" w:name="X5ea44911273a3c4e155e403c0e2e0d8291bbee6"/>
      <w:r>
        <w:rPr/>
        <w:t>RIBBON — Decision Brief: Docking Latch, Make vs. Buy vs. License</w:t>
      </w:r>
    </w:p>
    <w:p>
      <w:pPr>
        <w:pStyle w:val="Heading3"/>
        <w:rPr/>
      </w:pPr>
      <w:bookmarkStart w:id="139" w:name="unblocks-phase-0-bom-feeds-prd-05-rev-f"/>
      <w:r>
        <w:rPr/>
        <w:t>Unblocks Phase 0 BOM · feeds PRD-05 · Rev F</w:t>
      </w:r>
      <w:bookmarkEnd w:id="139"/>
    </w:p>
    <w:p>
      <w:pPr>
        <w:pStyle w:val="Heading2"/>
        <w:rPr/>
      </w:pPr>
      <w:bookmarkStart w:id="140" w:name="the-requirement-b12-recap"/>
      <w:r>
        <w:rPr/>
        <w:t>The requirement (B12 recap)</w:t>
      </w:r>
    </w:p>
    <w:p>
      <w:pPr>
        <w:pStyle w:val="FirstParagraph"/>
        <w:rPr/>
      </w:pPr>
      <w:r>
        <w:rPr/>
        <w:t xml:space="preserve">The latch must: blind-mate with ±5 mm self-guidance · draw two tables tight (zero relative movement at 350 N) · hold ≤1 mm top misalignment · create </w:t>
      </w:r>
      <w:r>
        <w:rPr>
          <w:b/>
          <w:bCs/>
        </w:rPr>
        <w:t>zero finger-entrapment gaps (≤8 mm or ≥25 mm, never between)</w:t>
      </w:r>
      <w:r>
        <w:rPr/>
        <w:t xml:space="preserve"> · release only by tool/key · survive 500+ cycles · refuse a misdock (wrong-height joint won’t latch without its cap) · be child-safe and blind to spills/crumbs.</w:t>
      </w:r>
      <w:bookmarkEnd w:id="140"/>
    </w:p>
    <w:p>
      <w:pPr>
        <w:pStyle w:val="Heading2"/>
        <w:rPr/>
      </w:pPr>
      <w:r>
        <w:rPr/>
        <w:t>What exists (the real landscape)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What it is</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vs. B12</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Lamello Clamex P-14</w:t>
            </w:r>
            <w:r>
              <w:rPr>
                <w:rFonts w:eastAsia="Cambria" w:cs=""/>
                <w:kern w:val="0"/>
                <w:sz w:val="24"/>
                <w:szCs w:val="24"/>
                <w:lang w:val="en-US" w:eastAsia="en-US" w:bidi="ar-SA"/>
              </w:rPr>
              <w:t xml:space="preserve"> (P-System)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Detachable furniture connector; anchors in a CNC-milled groove; tightened/released by lever through a 6 mm access hole; near-invisible; any angle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Closest off-the-shelf philosophy match: detachable, concealed, CNC-native — our tops already go through CNC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Tension rating is furniture-panel class, not 350 N structural; lever hole is small but a hex-key child could find it; no misdock refusal; cycle life unpublished for our duty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Southco R2/R5 panel-fastening draw latches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Industrial concealed butt-joint latches; pull large panels together with under one wrench turn; exceptional strength; built for assembly/disassembly of structures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Strongest structural match: concealed, tool-actuated, panel-joining is literally the use case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Sized for enclosure/panel work — needs housing integration into our chassis; no alignment funnel (we add blind-mate geometry); no misdock logic</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Southco quarter-turn compression latches (E9 etc.)</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90° actuation, ~4 mm compression draw, vibration-resistant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Simple, cheap, proven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stroke small; single-point — we’d need 2–3 per edge; aesthetic/actuation from below</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custom latch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Ground-up mechanism to B12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Perfect spec fit incl. misdock refusal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6–12 months, tooling $60–150k, unproven cycle life — exactly what Phase 0 shouldn’t carry</w:t>
            </w:r>
            <w:bookmarkStart w:id="141" w:name="what-exists-the-real-landscape"/>
            <w:bookmarkEnd w:id="141"/>
          </w:p>
        </w:tc>
      </w:tr>
    </w:tbl>
    <w:p>
      <w:pPr>
        <w:pStyle w:val="Heading2"/>
        <w:rPr/>
      </w:pPr>
      <w:r>
        <w:rPr/>
        <w:t xml:space="preserve">The decision: </w:t>
      </w:r>
      <w:r>
        <w:rPr>
          <w:b/>
          <w:bCs/>
        </w:rPr>
        <w:t>HYBRID — buy the mechanism, make the interface</w:t>
      </w:r>
      <w:r>
        <w:rPr/>
        <w:t xml:space="preserve"> (recommended)</w:t>
      </w:r>
    </w:p>
    <w:p>
      <w:pPr>
        <w:pStyle w:val="FirstParagraph"/>
        <w:rPr/>
      </w:pPr>
      <w:r>
        <w:rPr/>
        <w:t xml:space="preserve">Buy a proven industrial draw-latch core — </w:t>
      </w:r>
      <w:r>
        <w:rPr>
          <w:b/>
          <w:bCs/>
        </w:rPr>
        <w:t>Southco R2/R5 class as primary candidate, Clamex P-14 as the light-duty fallback for caps</w:t>
      </w:r>
      <w:r>
        <w:rPr/>
        <w:t xml:space="preserve"> — and design a custom </w:t>
      </w:r>
      <w:r>
        <w:rPr>
          <w:b/>
          <w:bCs/>
        </w:rPr>
        <w:t>dock chassis interface</w:t>
      </w:r>
      <w:r>
        <w:rPr/>
        <w:t xml:space="preserve"> around it that adds the three things nothing off-the-shelf provides: 1. </w:t>
      </w:r>
      <w:r>
        <w:rPr>
          <w:b/>
          <w:bCs/>
        </w:rPr>
        <w:t>Blind-mate funnel geometry</w:t>
      </w:r>
      <w:r>
        <w:rPr/>
        <w:t xml:space="preserve"> (molded GF-nylon guides in the chassis edge, ±5 mm capture), 2. </w:t>
      </w:r>
      <w:r>
        <w:rPr>
          <w:b/>
          <w:bCs/>
        </w:rPr>
        <w:t>Misdock refusal</w:t>
      </w:r>
      <w:r>
        <w:rPr/>
        <w:t xml:space="preserve"> (keyed funnel profiles per height class — a wrong pairing physically can’t seat), 3. </w:t>
      </w:r>
      <w:r>
        <w:rPr>
          <w:b/>
          <w:bCs/>
        </w:rPr>
        <w:t>Entrapment closure</w:t>
      </w:r>
      <w:r>
        <w:rPr/>
        <w:t xml:space="preserve"> (the transition cap / level bridge spans the seam, so the latch never defines the gap — B13 does).</w:t>
      </w:r>
    </w:p>
    <w:p>
      <w:pPr>
        <w:pStyle w:val="BodyText"/>
        <w:rPr/>
      </w:pPr>
      <w:r>
        <w:rPr>
          <w:b/>
          <w:bCs/>
        </w:rPr>
        <w:t>Why not pure buy:</w:t>
      </w:r>
      <w:r>
        <w:rPr/>
        <w:t xml:space="preserve"> no catalog latch does misdock refusal or our gap geometry. </w:t>
      </w:r>
      <w:r>
        <w:rPr>
          <w:b/>
          <w:bCs/>
        </w:rPr>
        <w:t>Why not pure make:</w:t>
      </w:r>
      <w:r>
        <w:rPr/>
        <w:t xml:space="preserve"> a custom mechanism is 6–12 months and $60–150k of tooling to reinvent draw-latch physics Southco has proven for decades — the risk sits exactly on Phase 0’s critical path. </w:t>
      </w:r>
      <w:r>
        <w:rPr>
          <w:b/>
          <w:bCs/>
        </w:rPr>
        <w:t>Why not license:</w:t>
      </w:r>
      <w:r>
        <w:rPr/>
        <w:t xml:space="preserve"> exclusive licensing of a latch design buys nothing a catalog purchase + custom housing doesn’t, at more legal cost; revisit licensing only if a partner’s </w:t>
      </w:r>
      <w:r>
        <w:rPr>
          <w:i/>
          <w:iCs/>
        </w:rPr>
        <w:t>misdock/alignment</w:t>
      </w:r>
      <w:r>
        <w:rPr/>
        <w:t xml:space="preserve"> IP emerges. The hybrid keeps the proven part proven and the novel part small, and the novel part (funnels + keying) is </w:t>
      </w:r>
      <w:r>
        <w:rPr>
          <w:b/>
          <w:bCs/>
        </w:rPr>
        <w:t>our</w:t>
      </w:r>
      <w:r>
        <w:rPr/>
        <w:t xml:space="preserve"> patentable surface.</w:t>
      </w:r>
    </w:p>
    <w:p>
      <w:pPr>
        <w:pStyle w:val="Heading2"/>
        <w:rPr/>
      </w:pPr>
      <w:bookmarkStart w:id="142" w:name="phase-0-bom-impact-unblocked"/>
      <w:r>
        <w:rPr/>
        <w:t>Phase 0 BOM impact (unblocked)</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Line</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Qty/joint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 cost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Southco R2/R5-class draw latch</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~$15–35 ea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Catalog; quote both zinc + stainless</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Molded funnel/guide set (custom)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pair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~$8–20 at proto (printed), &lt;$4 molded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Our IP; 3D-print for Phase 0, tool at Phase 1</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Keyed profile insert (per height class)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Printed Phase 0</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Release key (universal, building-level)</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SKU</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Per-joint total (Phase 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~$45–100</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 joints/arrangement → $450–1,000/arrangement</w:t>
            </w:r>
          </w:p>
        </w:tc>
      </w:tr>
    </w:tbl>
    <w:p>
      <w:pPr>
        <w:pStyle w:val="BodyText"/>
        <w:rPr/>
      </w:pPr>
      <w:r>
        <w:rPr>
          <w:b/>
          <w:bCs/>
        </w:rPr>
        <w:t>Validation plan (Phase 0 exit):</w:t>
      </w:r>
      <w:r>
        <w:rPr/>
        <w:t xml:space="preserve"> 500-cycle test on one joint · 350 N pull with dial-indicator movement log · gauge audit of every seam state (latched, half-latched, capped) · misdock refusal across all height pairs · child-panel test (no release without key by &lt;8s, per play-safety practice). Order both Southco and Lamello samples in week 1 — a $300 sample order retires the biggest open question in the whole BOM.</w:t>
      </w:r>
    </w:p>
    <w:p>
      <w:pPr>
        <w:pStyle w:val="BodyText"/>
        <w:rPr/>
      </w:pPr>
      <w:bookmarkStart w:id="143" w:name="X5ea44911273a3c4e155e403c0e2e0d8291bbee6"/>
      <w:bookmarkStart w:id="144" w:name="phase-0-bom-impact-unblocked"/>
      <w:r>
        <w:rPr>
          <w:i/>
          <w:iCs/>
        </w:rPr>
        <w:t>Costs are catalog-class estimates, not quotes; confirm load ratings against Southco/Lamello datasheets for the specific SKUs — public pages describe capability classes, not our duty cycle.</w:t>
      </w:r>
      <w:bookmarkEnd w:id="143"/>
      <w:bookmarkEnd w:id="144"/>
    </w:p>
    <w:p>
      <w:pPr>
        <w:pStyle w:val="Heading1"/>
        <w:rPr/>
      </w:pPr>
      <w:bookmarkStart w:id="145" w:name="part-12-freight-rfq-package"/>
      <w:r>
        <w:rPr/>
        <w:t>Part 12 — Freight RFQ Package</w:t>
      </w:r>
      <w:bookmarkEnd w:id="145"/>
    </w:p>
    <w:p>
      <w:pPr>
        <w:pStyle w:val="Heading1"/>
        <w:rPr/>
      </w:pPr>
      <w:bookmarkStart w:id="146" w:name="ribbon-stacked-ltl-freight-rfq-package"/>
      <w:r>
        <w:rPr/>
        <w:t>RIBBON — Stacked-LTL Freight RFQ Package</w:t>
      </w:r>
    </w:p>
    <w:p>
      <w:pPr>
        <w:pStyle w:val="Heading3"/>
        <w:rPr/>
      </w:pPr>
      <w:bookmarkStart w:id="147" w:name="X6200dd5403c9d442247ad00546460ddf7ab0199"/>
      <w:r>
        <w:rPr/>
        <w:t>Gets real quotes in days · unblocks the network re-decision (PRD-12)</w:t>
      </w:r>
    </w:p>
    <w:p>
      <w:pPr>
        <w:pStyle w:val="FirstParagraph"/>
        <w:rPr/>
      </w:pPr>
      <w:bookmarkStart w:id="148" w:name="X6200dd5403c9d442247ad00546460ddf7ab0199"/>
      <w:r>
        <w:rPr/>
        <w:t>Real quotes need a real shippable spec sent to real counterparties — this package is that spec. I can’t pull carrier rates for you, but with this document any broker portal returns numbers the same day.</w:t>
      </w:r>
      <w:bookmarkEnd w:id="148"/>
    </w:p>
    <w:p>
      <w:pPr>
        <w:pStyle w:val="Heading2"/>
        <w:rPr/>
      </w:pPr>
      <w:bookmarkStart w:id="149" w:name="the-shippable-unit-quote-this"/>
      <w:r>
        <w:rPr/>
        <w:t>1 · The shippable unit (quote THIS)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Item</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Spec</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Commodity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Knocked-down institutional tables (solid-surface top + steel base kit), cartoned, palletized, non-stackable pallets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Pallet</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48 × 40 in, height 41 in, </w:t>
            </w:r>
            <w:r>
              <w:rPr>
                <w:rFonts w:eastAsia="Cambria" w:cs=""/>
                <w:b/>
                <w:bCs/>
                <w:kern w:val="0"/>
                <w:sz w:val="24"/>
                <w:szCs w:val="24"/>
                <w:lang w:val="en-US" w:eastAsia="en-US" w:bidi="ar-SA"/>
              </w:rPr>
              <w:t>650 lb</w:t>
            </w:r>
            <w:r>
              <w:rPr>
                <w:rFonts w:eastAsia="Cambria" w:cs=""/>
                <w:kern w:val="0"/>
                <w:sz w:val="24"/>
                <w:szCs w:val="24"/>
                <w:lang w:val="en-US" w:eastAsia="en-US" w:bidi="ar-SA"/>
              </w:rPr>
              <w:t>, 5 table-kits per pallet</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Density (shown work)</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650 lb ÷ 45.9 ft³ = </w:t>
            </w:r>
            <w:r>
              <w:rPr>
                <w:rFonts w:eastAsia="Cambria" w:cs=""/>
                <w:b/>
                <w:bCs/>
                <w:kern w:val="0"/>
                <w:sz w:val="24"/>
                <w:szCs w:val="24"/>
                <w:lang w:val="en-US" w:eastAsia="en-US" w:bidi="ar-SA"/>
              </w:rPr>
              <w:t>14.2 lb/ft³</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Est. NMFC class</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Class 85</w:t>
            </w:r>
            <w:r>
              <w:rPr>
                <w:rFonts w:eastAsia="Cambria" w:cs=""/>
                <w:kern w:val="0"/>
                <w:sz w:val="24"/>
                <w:szCs w:val="24"/>
                <w:lang w:val="en-US" w:eastAsia="en-US" w:bidi="ar-SA"/>
              </w:rPr>
              <w:t xml:space="preserve"> (12–15 lb/ft³ band); quote alt at 92.5 if carrier reclasses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Typical order</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pallets per arrangement (10–12 tables + hub + caps)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Accessorials to price</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Liftgate delivery, inside delivery, school/limited-access surcharge, appointment</w:t>
            </w:r>
          </w:p>
        </w:tc>
      </w:tr>
    </w:tbl>
    <w:p>
      <w:pPr>
        <w:pStyle w:val="BodyText"/>
        <w:rPr/>
      </w:pPr>
      <w:r>
        <w:rPr>
          <w:b/>
          <w:bCs/>
        </w:rPr>
        <w:t>Why this changes everything:</w:t>
      </w:r>
      <w:r>
        <w:rPr/>
        <w:t xml:space="preserve"> the old monolith crated at 160 × 55 × 50 in / 420 lb = </w:t>
      </w:r>
      <w:r>
        <w:rPr>
          <w:b/>
          <w:bCs/>
        </w:rPr>
        <w:t>1.6 lb/ft³ ≈ class 400</w:t>
      </w:r>
      <w:r>
        <w:rPr/>
        <w:t xml:space="preserve"> — the worst class on the board. Level-as-Table moves us from class ~400 to ~85: same lane, the rate per hundredweight drops several-fold </w:t>
      </w:r>
      <w:r>
        <w:rPr>
          <w:i/>
          <w:iCs/>
        </w:rPr>
        <w:t>and</w:t>
      </w:r>
      <w:r>
        <w:rPr/>
        <w:t xml:space="preserve"> the billed weight basis improves. This is the quantitative heart of the network re-decision.</w:t>
      </w:r>
      <w:bookmarkEnd w:id="149"/>
    </w:p>
    <w:p>
      <w:pPr>
        <w:pStyle w:val="Heading2"/>
        <w:rPr/>
      </w:pPr>
      <w:bookmarkStart w:id="150" w:name="lanes-to-quote-origin-los-angeles-metro"/>
      <w:r>
        <w:rPr/>
        <w:t>2 · Lanes to quote (origin: Los Angeles metro)</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Lane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San Diego, CA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In-region short haul (distributed baseline)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Phoenix, AZ</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West medium haul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Denver, CO</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Mountain reach test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Dallas, TX</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Phase N node candidate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Chicago, IL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Parts-hub corridor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Atlanta, GA</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East node candidate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High Point, NC</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East node candidate (Piedmont)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Newark, NJ</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Coast-to-coast worst case</w:t>
            </w:r>
          </w:p>
        </w:tc>
      </w:tr>
    </w:tbl>
    <w:p>
      <w:pPr>
        <w:pStyle w:val="BodyText"/>
        <w:rPr/>
      </w:pPr>
      <w:r>
        <w:rPr/>
        <w:t xml:space="preserve">Also quote </w:t>
      </w:r>
      <w:r>
        <w:rPr>
          <w:b/>
          <w:bCs/>
        </w:rPr>
        <w:t>reverse lanes F→A and G→A</w:t>
      </w:r>
      <w:r>
        <w:rPr/>
        <w:t xml:space="preserve"> (an East plant serving West) and </w:t>
      </w:r>
      <w:r>
        <w:rPr>
          <w:b/>
          <w:bCs/>
        </w:rPr>
        <w:t>E→A + E→F</w:t>
      </w:r>
      <w:r>
        <w:rPr/>
        <w:t xml:space="preserve"> (central hub to both coasts) — those three numbers decide centralized vs. hub-and-spoke almost by themselves.</w:t>
      </w:r>
      <w:bookmarkEnd w:id="150"/>
    </w:p>
    <w:p>
      <w:pPr>
        <w:pStyle w:val="Heading2"/>
        <w:rPr/>
      </w:pPr>
      <w:bookmarkStart w:id="151" w:name="where-to-send-it-instant-brokered"/>
      <w:r>
        <w:rPr/>
        <w:t>3 · Where to send it (instant + brokered)</w:t>
      </w:r>
    </w:p>
    <w:p>
      <w:pPr>
        <w:pStyle w:val="Compact"/>
        <w:numPr>
          <w:ilvl w:val="0"/>
          <w:numId w:val="116"/>
        </w:numPr>
        <w:rPr/>
      </w:pPr>
      <w:r>
        <w:rPr>
          <w:b/>
          <w:bCs/>
        </w:rPr>
        <w:t>Instant-quote portals</w:t>
      </w:r>
      <w:r>
        <w:rPr/>
        <w:t xml:space="preserve"> (same-day numbers, no account friction): Freightos, uShip, FreightCenter, Echo, Coyote, TQL, Flexport — paste Section 1 verbatim.</w:t>
      </w:r>
    </w:p>
    <w:p>
      <w:pPr>
        <w:pStyle w:val="Compact"/>
        <w:numPr>
          <w:ilvl w:val="0"/>
          <w:numId w:val="117"/>
        </w:numPr>
        <w:rPr/>
      </w:pPr>
      <w:r>
        <w:rPr>
          <w:b/>
          <w:bCs/>
        </w:rPr>
        <w:t>Carrier direct</w:t>
      </w:r>
      <w:r>
        <w:rPr/>
        <w:t xml:space="preserve"> (once volume talk starts): FedEx Freight, XPO, Old Dominion, Estes, Saia — ask for an FAK (freight-all-kinds) agreement at class 85–92.5 given projected pallets/month.</w:t>
      </w:r>
    </w:p>
    <w:p>
      <w:pPr>
        <w:pStyle w:val="Compact"/>
        <w:numPr>
          <w:ilvl w:val="0"/>
          <w:numId w:val="118"/>
        </w:numPr>
        <w:rPr/>
      </w:pPr>
      <w:r>
        <w:rPr>
          <w:b/>
          <w:bCs/>
        </w:rPr>
        <w:t>Ask every counterparty:</w:t>
      </w:r>
      <w:r>
        <w:rPr/>
        <w:t xml:space="preserve"> class confirmation for the density shown · FAK availability · liftgate/inside/school accessorial schedule · transit days · volume breaks at 5/20/50 pallets/mo.</w:t>
      </w:r>
      <w:bookmarkEnd w:id="151"/>
    </w:p>
    <w:p>
      <w:pPr>
        <w:pStyle w:val="Heading2"/>
        <w:rPr/>
      </w:pPr>
      <w:bookmarkStart w:id="152" w:name="feeding-the-model-closes-the-loop"/>
      <w:r>
        <w:rPr/>
        <w:t>4 · Feeding the model (closes the loop)</w:t>
      </w:r>
    </w:p>
    <w:p>
      <w:pPr>
        <w:pStyle w:val="FirstParagraph"/>
        <w:rPr/>
      </w:pPr>
      <w:r>
        <w:rPr/>
        <w:t xml:space="preserve">Enter every quote in the new </w:t>
      </w:r>
      <w:r>
        <w:rPr>
          <w:b/>
          <w:bCs/>
        </w:rPr>
        <w:t>Freight Quotes</w:t>
      </w:r>
      <w:r>
        <w:rPr/>
        <w:t xml:space="preserve"> sheet of </w:t>
      </w:r>
      <w:r>
        <w:rPr>
          <w:rStyle w:val="VerbatimChar"/>
        </w:rPr>
        <w:t>RIBBON-crossover-model.xlsx</w:t>
      </w:r>
      <w:r>
        <w:rPr/>
        <w:t xml:space="preserve">. It computes $/table and $/arrangement per lane and tells you which cell of the Assumptions sheet each average feeds (centralized long-haul vs. distributed regional). Decision rule already in PRD-12: </w:t>
      </w:r>
      <w:r>
        <w:rPr>
          <w:b/>
          <w:bCs/>
        </w:rPr>
        <w:t>no node commitment until Lanes A–H are quoted</w:t>
      </w:r>
      <w:r>
        <w:rPr/>
        <w:t>; expect the data to strengthen the centralized/hub case — let it.</w:t>
      </w:r>
    </w:p>
    <w:p>
      <w:pPr>
        <w:pStyle w:val="BodyText"/>
        <w:rPr/>
      </w:pPr>
      <w:bookmarkStart w:id="153" w:name="ribbon-stacked-ltl-freight-rfq-package"/>
      <w:bookmarkStart w:id="154" w:name="feeding-the-model-closes-the-loop"/>
      <w:r>
        <w:rPr>
          <w:i/>
          <w:iCs/>
        </w:rPr>
        <w:t>Estimates above are engineering-derived (density math shown) — they set expectations, they are not rates. The quotes are.</w:t>
      </w:r>
      <w:bookmarkEnd w:id="153"/>
      <w:bookmarkEnd w:id="154"/>
    </w:p>
    <w:p>
      <w:pPr>
        <w:pStyle w:val="Heading1"/>
        <w:rPr/>
      </w:pPr>
      <w:bookmarkStart w:id="155" w:name="X4f0dbb035c71435301205bb7f9fe61beb666505"/>
      <w:r>
        <w:rPr/>
        <w:t>Part 13 — Pilot &amp; Ergonomic Validation Packet (incl. AEL/bay-yield)</w:t>
      </w:r>
      <w:bookmarkEnd w:id="155"/>
    </w:p>
    <w:p>
      <w:pPr>
        <w:pStyle w:val="Heading1"/>
        <w:rPr/>
      </w:pPr>
      <w:bookmarkStart w:id="156" w:name="X255d804ed153f5d6c0615b110aeb5ce9be4f497"/>
      <w:r>
        <w:rPr/>
        <w:t>RIBBON — First-Pilot &amp; Ergonomic Validation Packet</w:t>
      </w:r>
    </w:p>
    <w:p>
      <w:pPr>
        <w:pStyle w:val="FirstParagraph"/>
        <w:rPr/>
      </w:pPr>
      <w:r>
        <w:rPr>
          <w:b/>
          <w:bCs/>
        </w:rPr>
        <w:t>Goal:</w:t>
      </w:r>
      <w:r>
        <w:rPr/>
        <w:t xml:space="preserve"> place one instrumented flagship table in a real mixed-age setting to convert the design from research into evidence — validating that fourteen people of different heights, ages, and abilities actually use it comfortably, and de-risking both the product and the next sale.</w:t>
      </w:r>
    </w:p>
    <w:p>
      <w:pPr>
        <w:pStyle w:val="Normal"/>
        <w:rPr/>
      </w:pPr>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57" w:name="what-makes-a-good-first-pilot-site"/>
      <w:r>
        <w:rPr/>
        <w:t>What makes a good first pilot site</w:t>
      </w:r>
    </w:p>
    <w:p>
      <w:pPr>
        <w:pStyle w:val="Compact"/>
        <w:numPr>
          <w:ilvl w:val="0"/>
          <w:numId w:val="119"/>
        </w:numPr>
        <w:rPr/>
      </w:pPr>
      <w:r>
        <w:rPr>
          <w:b/>
          <w:bCs/>
        </w:rPr>
        <w:t>Mixed-age daily traffic</w:t>
      </w:r>
      <w:r>
        <w:rPr/>
        <w:t xml:space="preserve"> — children through older adults use the same space.</w:t>
      </w:r>
    </w:p>
    <w:p>
      <w:pPr>
        <w:pStyle w:val="Compact"/>
        <w:numPr>
          <w:ilvl w:val="0"/>
          <w:numId w:val="120"/>
        </w:numPr>
        <w:rPr/>
      </w:pPr>
      <w:r>
        <w:rPr>
          <w:b/>
          <w:bCs/>
        </w:rPr>
        <w:t>A genuine accessibility need</w:t>
      </w:r>
      <w:r>
        <w:rPr/>
        <w:t xml:space="preserve"> — wheelchair users and small children are regular visitors.</w:t>
      </w:r>
    </w:p>
    <w:p>
      <w:pPr>
        <w:pStyle w:val="Compact"/>
        <w:numPr>
          <w:ilvl w:val="0"/>
          <w:numId w:val="121"/>
        </w:numPr>
        <w:rPr/>
      </w:pPr>
      <w:r>
        <w:rPr>
          <w:b/>
          <w:bCs/>
        </w:rPr>
        <w:t>Visibility &amp; willingness</w:t>
      </w:r>
      <w:r>
        <w:rPr/>
        <w:t xml:space="preserve"> — a site happy to be a named reference and to let you observe and measure.</w:t>
      </w:r>
    </w:p>
    <w:p>
      <w:pPr>
        <w:pStyle w:val="Compact"/>
        <w:numPr>
          <w:ilvl w:val="0"/>
          <w:numId w:val="122"/>
        </w:numPr>
        <w:rPr/>
      </w:pPr>
      <w:r>
        <w:rPr>
          <w:b/>
          <w:bCs/>
        </w:rPr>
        <w:t>Manageable footprint</w:t>
      </w:r>
      <w:r>
        <w:rPr/>
        <w:t xml:space="preserve"> — space for one 3.9 m table plus circulation; ~8–12 week deployment.</w:t>
      </w:r>
    </w:p>
    <w:p>
      <w:pPr>
        <w:pStyle w:val="Compact"/>
        <w:numPr>
          <w:ilvl w:val="0"/>
          <w:numId w:val="123"/>
        </w:numPr>
        <w:rPr/>
      </w:pPr>
      <w:r>
        <w:rPr>
          <w:b/>
          <w:bCs/>
        </w:rPr>
        <w:t>A staff champion</w:t>
      </w:r>
      <w:r>
        <w:rPr/>
        <w:t xml:space="preserve"> — someone on-site who wants the data as much as you do.</w:t>
      </w:r>
      <w:bookmarkEnd w:id="157"/>
    </w:p>
    <w:p>
      <w:pPr>
        <w:pStyle w:val="Heading2"/>
        <w:rPr/>
      </w:pPr>
      <w:bookmarkStart w:id="158" w:name="X9252c0fee4634349b7d9cc7a773ff21a56f424b"/>
      <w:r>
        <w:rPr/>
        <w:t>SoCal candidate types (shortlist 5–8, then approach the best 3)</w:t>
      </w:r>
    </w:p>
    <w:p>
      <w:pPr>
        <w:pStyle w:val="Compact"/>
        <w:numPr>
          <w:ilvl w:val="0"/>
          <w:numId w:val="124"/>
        </w:numPr>
        <w:rPr/>
      </w:pPr>
      <w:r>
        <w:rPr>
          <w:b/>
          <w:bCs/>
        </w:rPr>
        <w:t>Children’s / discovery museums</w:t>
      </w:r>
      <w:r>
        <w:rPr/>
        <w:t xml:space="preserve"> — e.g., Kidspace Children’s Museum (Pasadena), Discovery Cube (LA/OC), California Science Center. Ideal: constant mixed-age, hands-on, accessibility-forward.</w:t>
      </w:r>
    </w:p>
    <w:p>
      <w:pPr>
        <w:pStyle w:val="Compact"/>
        <w:numPr>
          <w:ilvl w:val="0"/>
          <w:numId w:val="125"/>
        </w:numPr>
        <w:rPr/>
      </w:pPr>
      <w:r>
        <w:rPr>
          <w:b/>
          <w:bCs/>
        </w:rPr>
        <w:t>Public libraries</w:t>
      </w:r>
      <w:r>
        <w:rPr/>
        <w:t xml:space="preserve"> — LA Public Library and LA County Library teen/maker/family spaces. Strong on inclusion and community visibility.</w:t>
      </w:r>
    </w:p>
    <w:p>
      <w:pPr>
        <w:pStyle w:val="Compact"/>
        <w:numPr>
          <w:ilvl w:val="0"/>
          <w:numId w:val="126"/>
        </w:numPr>
        <w:rPr/>
      </w:pPr>
      <w:r>
        <w:rPr>
          <w:b/>
          <w:bCs/>
        </w:rPr>
        <w:t>Family-style restaurants / food halls</w:t>
      </w:r>
      <w:r>
        <w:rPr/>
        <w:t xml:space="preserve"> — a local group with a communal-table format. Tests dining mode and turnover.</w:t>
      </w:r>
    </w:p>
    <w:p>
      <w:pPr>
        <w:pStyle w:val="Compact"/>
        <w:numPr>
          <w:ilvl w:val="0"/>
          <w:numId w:val="127"/>
        </w:numPr>
        <w:rPr/>
      </w:pPr>
      <w:r>
        <w:rPr>
          <w:b/>
          <w:bCs/>
        </w:rPr>
        <w:t>Coworking with family or community programming</w:t>
      </w:r>
      <w:r>
        <w:rPr/>
        <w:t xml:space="preserve"> — tests working mode + power.</w:t>
      </w:r>
    </w:p>
    <w:p>
      <w:pPr>
        <w:pStyle w:val="Compact"/>
        <w:numPr>
          <w:ilvl w:val="0"/>
          <w:numId w:val="128"/>
        </w:numPr>
        <w:rPr/>
      </w:pPr>
      <w:r>
        <w:rPr>
          <w:b/>
          <w:bCs/>
        </w:rPr>
        <w:t>Intergenerational / senior + youth centers</w:t>
      </w:r>
      <w:r>
        <w:rPr/>
        <w:t xml:space="preserve"> — directly tests the multigenerational thesis.</w:t>
      </w:r>
    </w:p>
    <w:p>
      <w:pPr>
        <w:pStyle w:val="FirstParagraph"/>
        <w:rPr/>
      </w:pPr>
      <w:bookmarkStart w:id="159" w:name="X9252c0fee4634349b7d9cc7a773ff21a56f424b"/>
      <w:r>
        <w:rPr>
          <w:i/>
          <w:iCs/>
        </w:rPr>
        <w:t>(Named institutions are illustrative targets to research, not confirmed partners.)</w:t>
      </w:r>
      <w:bookmarkEnd w:id="159"/>
    </w:p>
    <w:p>
      <w:pPr>
        <w:pStyle w:val="Heading2"/>
        <w:rPr/>
      </w:pPr>
      <w:bookmarkStart w:id="160" w:name="ergonomic-validation-protocol"/>
      <w:r>
        <w:rPr/>
        <w:t>Ergonomic validation protocol</w:t>
      </w:r>
    </w:p>
    <w:p>
      <w:pPr>
        <w:pStyle w:val="FirstParagraph"/>
        <w:rPr/>
      </w:pPr>
      <w:r>
        <w:rPr/>
        <w:t>Run for 6–10 weeks; where possible, A/B against a standard fixed-height table nearby.</w:t>
      </w:r>
    </w:p>
    <w:p>
      <w:pPr>
        <w:pStyle w:val="BodyText"/>
        <w:rPr/>
      </w:pPr>
      <w:r>
        <w:rPr>
          <w:b/>
          <w:bCs/>
        </w:rPr>
        <w:t>Measure</w:t>
      </w:r>
      <w:r>
        <w:rPr/>
        <w:t xml:space="preserve"> - </w:t>
      </w:r>
      <w:r>
        <w:rPr>
          <w:b/>
          <w:bCs/>
        </w:rPr>
        <w:t>Zone utilization by user band</w:t>
      </w:r>
      <w:r>
        <w:rPr/>
        <w:t xml:space="preserve"> — which height positions (toddler → bar) and which of the four knee-clear bays actually get used, tallied by apparent age/mobility band via periodic observation. - </w:t>
      </w:r>
      <w:r>
        <w:rPr>
          <w:b/>
          <w:bCs/>
        </w:rPr>
        <w:t>Comfort &amp; reach</w:t>
      </w:r>
      <w:r>
        <w:rPr/>
        <w:t xml:space="preserve"> — short 3–5 question intercept survey (1–5 comfort, could-you-reach-what-you-needed, would-you-use-it-again). - </w:t>
      </w:r>
      <w:r>
        <w:rPr>
          <w:b/>
          <w:bCs/>
        </w:rPr>
        <w:t>Accessibility in practice</w:t>
      </w:r>
      <w:r>
        <w:rPr/>
        <w:t xml:space="preserve"> — wheelchair approach and knee-clearance use; any position a user couldn’t use. - </w:t>
      </w:r>
      <w:r>
        <w:rPr>
          <w:b/>
          <w:bCs/>
        </w:rPr>
        <w:t>Posture check</w:t>
      </w:r>
      <w:r>
        <w:rPr/>
        <w:t xml:space="preserve"> — quick RULA/REBA-style observational rating at a few positions. - </w:t>
      </w:r>
      <w:r>
        <w:rPr>
          <w:b/>
          <w:bCs/>
        </w:rPr>
        <w:t>Dwell time</w:t>
      </w:r>
      <w:r>
        <w:rPr/>
        <w:t xml:space="preserve"> — average time people stay vs. the comparison table. - </w:t>
      </w:r>
      <w:r>
        <w:rPr>
          <w:b/>
          <w:bCs/>
        </w:rPr>
        <w:t>Durability &amp; cleanability</w:t>
      </w:r>
      <w:r>
        <w:rPr/>
        <w:t xml:space="preserve"> — spill/clean cycles, surface wear, insert swaps. - </w:t>
      </w:r>
      <w:r>
        <w:rPr>
          <w:b/>
          <w:bCs/>
        </w:rPr>
        <w:t>Stability &amp; safety</w:t>
      </w:r>
      <w:r>
        <w:rPr/>
        <w:t xml:space="preserve"> — any tip, pinch, or edge incident (target: zero); mode-switch setup time. - </w:t>
      </w:r>
      <w:r>
        <w:rPr>
          <w:b/>
          <w:bCs/>
        </w:rPr>
        <w:t>AEL usage (Rev H)</w:t>
      </w:r>
      <w:r>
        <w:rPr/>
        <w:t xml:space="preserve"> — which AEL units get used, at which levels, for how long; whether units are returned to their nested position. - </w:t>
      </w:r>
      <w:r>
        <w:rPr>
          <w:b/>
          <w:bCs/>
        </w:rPr>
        <w:t>Bay yield (Rev H)</w:t>
      </w:r>
      <w:r>
        <w:rPr/>
        <w:t xml:space="preserve"> — the 740 knee-clear bays must stay available: log any observation of a bay blocked by an AEL unit, stored items, or anything else (target: zero), and whether the drop-in perch actually yields when a wheelchair user approaches.</w:t>
      </w:r>
    </w:p>
    <w:p>
      <w:pPr>
        <w:pStyle w:val="BodyText"/>
        <w:rPr/>
      </w:pPr>
      <w:r>
        <w:rPr>
          <w:b/>
          <w:bCs/>
        </w:rPr>
        <w:t>Success thresholds (starting targets — tune with the site)</w:t>
      </w:r>
      <w:r>
        <w:rPr/>
        <w:t xml:space="preserve"> - ≥80% of positions used across a session; all four accessible bays used at least weekly. - Mean comfort ≥4.0/5; “would use again” ≥85%. - Zero safety incidents; mode switch under ~5 minutes. - Cleanability rated acceptable by staff after real use.</w:t>
      </w:r>
    </w:p>
    <w:p>
      <w:pPr>
        <w:pStyle w:val="BodyText"/>
        <w:rPr/>
      </w:pPr>
      <w:r>
        <w:rPr>
          <w:b/>
          <w:bCs/>
        </w:rPr>
        <w:t>Outputs</w:t>
      </w:r>
      <w:r>
        <w:rPr/>
        <w:t xml:space="preserve"> - A short validation report (utilization heatmap, survey summary, accessibility findings, incident log) — reusable as the first slide of evidence for the next customer and for investors.</w:t>
      </w:r>
    </w:p>
    <w:p>
      <w:pPr>
        <w:pStyle w:val="Normal"/>
        <w:rPr/>
      </w:pPr>
      <w:bookmarkStart w:id="161" w:name="ergonomic-validation-protocol"/>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p>
    <w:p>
      <w:pPr>
        <w:pStyle w:val="Heading2"/>
        <w:rPr/>
      </w:pPr>
      <w:bookmarkStart w:id="162" w:name="outreach"/>
      <w:r>
        <w:rPr/>
        <w:t>Outreach</w:t>
      </w:r>
    </w:p>
    <w:p>
      <w:pPr>
        <w:pStyle w:val="FirstParagraph"/>
        <w:rPr/>
      </w:pPr>
      <w:bookmarkStart w:id="163" w:name="X255d804ed153f5d6c0615b110aeb5ce9be4f497"/>
      <w:bookmarkStart w:id="164" w:name="outreach"/>
      <w:r>
        <w:rPr/>
        <w:t>A ready-to-send draft email accompanies this packet (see the composed draft). Send it yourself — personalize the site name, the specific mixed-age angle for that venue, and your availability. Suggested sequence: email the staff champion → offer a 20-minute call → propose a no-cost or subsidized pilot in exchange for observation rights and a reference.</w:t>
      </w:r>
      <w:bookmarkEnd w:id="163"/>
      <w:bookmarkEnd w:id="164"/>
    </w:p>
    <w:p>
      <w:pPr>
        <w:pStyle w:val="Heading1"/>
        <w:rPr/>
      </w:pPr>
      <w:bookmarkStart w:id="165" w:name="X35a28d243fa82dfdb722d12538b227379a63f45"/>
      <w:r>
        <w:rPr/>
        <w:t>Part 14 — AEL Family: Optional Seating (Rev H, ratified)</w:t>
      </w:r>
      <w:bookmarkEnd w:id="165"/>
    </w:p>
    <w:p>
      <w:pPr>
        <w:pStyle w:val="Heading1"/>
        <w:rPr/>
      </w:pPr>
      <w:bookmarkStart w:id="166" w:name="X3e040fa400116d85f440e57dc35c9f40ce9274e"/>
      <w:r>
        <w:rPr/>
        <w:t>RIBBON — Seating System: The AEL Family (Rev H — RATIFIED)</w:t>
      </w:r>
    </w:p>
    <w:p>
      <w:pPr>
        <w:pStyle w:val="Heading3"/>
        <w:rPr/>
      </w:pPr>
      <w:bookmarkStart w:id="167" w:name="Xb60df0e95823bf76e7e89ebf24d4191f6946c35"/>
      <w:r>
        <w:rPr/>
        <w:t>Chairs that populate every table without refuting “chair-free”</w:t>
      </w:r>
    </w:p>
    <w:p>
      <w:pPr>
        <w:pStyle w:val="FirstParagraph"/>
        <w:rPr/>
      </w:pPr>
      <w:r>
        <w:rPr>
          <w:b/>
          <w:bCs/>
        </w:rPr>
        <w:t>Design law:</w:t>
      </w:r>
      <w:r>
        <w:rPr/>
        <w:t xml:space="preserve"> seating that visits, never lives. No arrangement requires a perch; every perch yields, nests, and matches its level. The wheelchair is the system’s first and most honored chair — the 740 mm bays exist for it, and no perch may occupy or block a bay.</w:t>
      </w:r>
      <w:bookmarkEnd w:id="167"/>
    </w:p>
    <w:p>
      <w:pPr>
        <w:pStyle w:val="Heading2"/>
        <w:rPr/>
      </w:pPr>
      <w:r>
        <w:rPr/>
        <w:t>The family</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Level</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Seating</w:t>
            </w:r>
          </w:p>
        </w:tc>
        <w:tc>
          <w:tcPr>
            <w:tcW w:w="31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Nature</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L560–L680</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Floor cushions · wobble perches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seating for kids; no leg traps; weighted rocker bases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740 bays</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Drop-in perch (low back)</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only true sitting; slides fully under the bay; shares the bay with wheelchairs and always yields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950 counter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Leaning perch</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Sit-stand support; minutes not hours; pairs with the footrail</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1050–1100 bar</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Tall perch stool</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Wide anti-tip base; same physics discipline as bar ribbons</w:t>
            </w:r>
          </w:p>
        </w:tc>
      </w:tr>
      <w:tr>
        <w:trPr/>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Knot</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gravity center stays open, always</w:t>
            </w:r>
            <w:bookmarkStart w:id="168" w:name="the-family-1"/>
            <w:bookmarkEnd w:id="168"/>
          </w:p>
        </w:tc>
      </w:tr>
    </w:tbl>
    <w:p>
      <w:pPr>
        <w:pStyle w:val="Heading2"/>
        <w:rPr/>
      </w:pPr>
      <w:r>
        <w:rPr/>
        <w:t>Rules</w:t>
      </w:r>
    </w:p>
    <w:p>
      <w:pPr>
        <w:pStyle w:val="Compact"/>
        <w:numPr>
          <w:ilvl w:val="0"/>
          <w:numId w:val="129"/>
        </w:numPr>
        <w:rPr/>
      </w:pPr>
      <w:r>
        <w:rPr/>
        <w:t>The table is complete with zero perches — chair-free remains true.</w:t>
      </w:r>
    </w:p>
    <w:p>
      <w:pPr>
        <w:pStyle w:val="Compact"/>
        <w:numPr>
          <w:ilvl w:val="0"/>
          <w:numId w:val="130"/>
        </w:numPr>
        <w:rPr/>
      </w:pPr>
      <w:r>
        <w:rPr/>
        <w:t>Every perch nests under its own ribbon; the floor reads clean.</w:t>
      </w:r>
    </w:p>
    <w:p>
      <w:pPr>
        <w:pStyle w:val="Compact"/>
        <w:numPr>
          <w:ilvl w:val="0"/>
          <w:numId w:val="131"/>
        </w:numPr>
        <w:rPr/>
      </w:pPr>
      <w:r>
        <w:rPr/>
        <w:t>Colorway-matched, height-coded to its level.</w:t>
      </w:r>
    </w:p>
    <w:p>
      <w:pPr>
        <w:pStyle w:val="Compact"/>
        <w:numPr>
          <w:ilvl w:val="0"/>
          <w:numId w:val="132"/>
        </w:numPr>
        <w:rPr/>
      </w:pPr>
      <w:r>
        <w:rPr/>
        <w:t>B-series discipline applies: child-safe edges, anti-tip per unit, no pinch points.</w:t>
      </w:r>
    </w:p>
    <w:p>
      <w:pPr>
        <w:pStyle w:val="Compact"/>
        <w:numPr>
          <w:ilvl w:val="0"/>
          <w:numId w:val="133"/>
        </w:numPr>
        <w:rPr/>
      </w:pPr>
      <w:r>
        <w:rPr/>
        <w:t>Bays are sacred: nothing parks in, or is stored in, a knee-clear bay.</w:t>
      </w:r>
    </w:p>
    <w:p>
      <w:pPr>
        <w:pStyle w:val="Heading2"/>
        <w:rPr/>
      </w:pPr>
      <w:bookmarkStart w:id="169" w:name="business-note"/>
      <w:r>
        <w:rPr/>
        <w:t>Business note</w:t>
      </w:r>
    </w:p>
    <w:p>
      <w:pPr>
        <w:pStyle w:val="FirstParagraph"/>
        <w:rPr/>
      </w:pPr>
      <w:r>
        <w:rPr/>
        <w:t>Perches sell as accessory packs per level — the second attach-revenue line after trough inserts (PRD-06 pattern). Ratified: PRD-14 (AEL family), pilot protocol adds perch-usage and bay-yield observations, and marketing language holds the line: “RIBBON needs no chairs. Perches are for the moments you want one.”</w:t>
      </w:r>
    </w:p>
    <w:p>
      <w:pPr>
        <w:pStyle w:val="BodyText"/>
        <w:rPr/>
      </w:pPr>
      <w:r>
        <w:rPr>
          <w:b/>
          <w:bCs/>
        </w:rPr>
        <w:t>Status: RATIFIED as Rev H by founder decision.</w:t>
      </w:r>
      <w:r>
        <w:rPr/>
        <w:t xml:space="preserve"> The AEL family enters the product line under the five laws above. The founding claim holds: the table is complete with zero AEL units; seating remains optional by design.</w:t>
      </w:r>
      <w:bookmarkEnd w:id="166"/>
      <w:bookmarkEnd w:id="169"/>
    </w:p>
    <w:p>
      <w:pPr>
        <w:pStyle w:val="Heading1"/>
        <w:rPr/>
      </w:pPr>
      <w:bookmarkStart w:id="170" w:name="Xe5117589c2f7f9e1335da7ba4dde0df5532faff"/>
      <w:r>
        <w:rPr/>
        <w:t>Part 15 — Pitch Deck Outline (reference; deck Design pass pending)</w:t>
      </w:r>
      <w:bookmarkEnd w:id="170"/>
    </w:p>
    <w:p>
      <w:pPr>
        <w:pStyle w:val="Heading1"/>
        <w:rPr/>
      </w:pPr>
      <w:bookmarkStart w:id="171" w:name="ribbon-pitch-deck-outline"/>
      <w:r>
        <w:rPr/>
        <w:t>RIBBON — Pitch Deck Outline</w:t>
      </w:r>
    </w:p>
    <w:p>
      <w:pPr>
        <w:pStyle w:val="Heading3"/>
        <w:rPr/>
      </w:pPr>
      <w:bookmarkStart w:id="172" w:name="Xad5e0d1c7dc85ae82bafe4605039f58998b2d25"/>
      <w:r>
        <w:rPr/>
        <w:t>12 core slides + appendix · built to paste into Claude Design</w:t>
      </w:r>
    </w:p>
    <w:p>
      <w:pPr>
        <w:pStyle w:val="FirstParagraph"/>
        <w:rPr/>
      </w:pPr>
      <w:r>
        <w:rPr>
          <w:b/>
          <w:bCs/>
        </w:rPr>
        <w:t>How to use:</w:t>
      </w:r>
      <w:r>
        <w:rPr/>
        <w:t xml:space="preserve"> paste each slide’s block into Claude Design (or upload this file + the business plan). The </w:t>
      </w:r>
      <w:r>
        <w:rPr>
          <w:i/>
          <w:iCs/>
        </w:rPr>
        <w:t>Design note</w:t>
      </w:r>
      <w:r>
        <w:rPr/>
        <w:t xml:space="preserve"> tells Claude what to draw. Suggested look: warm off-white background, deep navy (#1F2A44) headings, teal (#2A9D8F) accent, one idea per slide, generous whitespace.</w:t>
      </w:r>
    </w:p>
    <w:p>
      <w:pPr>
        <w:pStyle w:val="Normal"/>
        <w:rPr/>
      </w:pPr>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Slide 1 — Title / Vision</w:t>
      </w:r>
      <w:r>
        <w:rPr/>
        <w:t xml:space="preserve"> - Takeaway: </w:t>
      </w:r>
      <w:r>
        <w:rPr>
          <w:i/>
          <w:iCs/>
        </w:rPr>
        <w:t>The table everyone fits.</w:t>
      </w:r>
      <w:r>
        <w:rPr/>
        <w:t xml:space="preserve"> - Content: RIBBON wordmark · one line: “A single multi-height, chair-free communal table for every body, age, and ability.” · presenter, date. - Design note: full-bleed hero of the wave table; minimal text; logo top-left.</w:t>
      </w:r>
    </w:p>
    <w:p>
      <w:pPr>
        <w:pStyle w:val="BodyText"/>
        <w:rPr/>
      </w:pPr>
      <w:r>
        <w:rPr>
          <w:b/>
          <w:bCs/>
        </w:rPr>
        <w:t>Slide 2 — Problem</w:t>
      </w:r>
      <w:r>
        <w:rPr/>
        <w:t xml:space="preserve"> - Takeaway: Every shared table forces one height — and chairs paper over exclusion. - Content: fixed-height + chairs designs out small kids, tall adults, and wheelchair users; adds cost, clutter, and storage; institutions increasingly want flexible, inclusive spaces. - Design note: simple diagram of mismatched bodies at one flat table; a few icons, not a wall of text.</w:t>
      </w:r>
    </w:p>
    <w:p>
      <w:pPr>
        <w:pStyle w:val="BodyText"/>
        <w:rPr/>
      </w:pPr>
      <w:r>
        <w:rPr>
          <w:b/>
          <w:bCs/>
        </w:rPr>
        <w:t>Slide 3 — Solution</w:t>
      </w:r>
      <w:r>
        <w:rPr/>
        <w:t xml:space="preserve"> - Takeaway: One surface, fourteen people, any size — no chairs. - Content: continuous low→high wave; 14 positions at matched heights; flat knee-clear bays for wheelchairs; switches between social, dining/working, and activity modes. - Design note: the plan-view drawing (from the project files) with the three mode icons beside it.</w:t>
      </w:r>
    </w:p>
    <w:p>
      <w:pPr>
        <w:pStyle w:val="BodyText"/>
        <w:rPr/>
      </w:pPr>
      <w:r>
        <w:rPr>
          <w:b/>
          <w:bCs/>
        </w:rPr>
        <w:t>Slide 4 — How it works (Product)</w:t>
      </w:r>
      <w:r>
        <w:rPr/>
        <w:t xml:space="preserve"> - Takeaway: Bespoke feel, engineered for repeatable production. - Content: the wave + central swappable trough + flush activity wells; ~500 mm working depth; cantilevered spine keeps bays open; food-safe, wipe-clean surface. - Design note: plan view + a simple side elevation showing the height profile; call out one bay’s knee clearance.</w:t>
      </w:r>
    </w:p>
    <w:p>
      <w:pPr>
        <w:pStyle w:val="BodyText"/>
        <w:rPr/>
      </w:pPr>
      <w:r>
        <w:rPr>
          <w:b/>
          <w:bCs/>
        </w:rPr>
        <w:t>Slide 5 — Why now</w:t>
      </w:r>
      <w:r>
        <w:rPr/>
        <w:t xml:space="preserve"> - Takeaway: Five tailwinds are converging. - Content: flexible/collaborative layouts · inclusive &amp; sensory-friendly design · ergonomics &amp; wellbeing · sustainability &amp; circularity · multigenerational spaces. - Design note: five clean tiles with an icon and a 3-word label each.</w:t>
      </w:r>
    </w:p>
    <w:p>
      <w:pPr>
        <w:pStyle w:val="BodyText"/>
        <w:rPr/>
      </w:pPr>
      <w:r>
        <w:rPr>
          <w:b/>
          <w:bCs/>
        </w:rPr>
        <w:t>Slide 6 — Market</w:t>
      </w:r>
      <w:r>
        <w:rPr/>
        <w:t xml:space="preserve"> - Takeaway: A large, growing contract-furniture market — tables, our wedge. - Content: global contract furniture in the tens–hundreds of $B, ~5% CAGR, North America ~40%; US school furniture ~$2.1B alone; TAM ~$18–25B / SAM ~$2–4B / SOM ~$20–50M. - Design note: TAM→SAM→SOM funnel; cite sources in small footnote.</w:t>
      </w:r>
    </w:p>
    <w:p>
      <w:pPr>
        <w:pStyle w:val="BodyText"/>
        <w:rPr/>
      </w:pPr>
      <w:r>
        <w:rPr>
          <w:b/>
          <w:bCs/>
        </w:rPr>
        <w:t>Slide 7 — Business model</w:t>
      </w:r>
      <w:r>
        <w:rPr/>
        <w:t xml:space="preserve"> - Takeaway: Sell the table; compound with inserts, licensing, and service. - Content: make-to-order sales (~$7,500 blended ASP) → gross margin climbing toward ~50%; recurring insert/mode kits; design licensing to regional fabricators; takeback &amp; module upgrades. - Design note: four revenue-stream chips + a small rising gross-margin line.</w:t>
      </w:r>
    </w:p>
    <w:p>
      <w:pPr>
        <w:pStyle w:val="BodyText"/>
        <w:rPr/>
      </w:pPr>
      <w:r>
        <w:rPr>
          <w:b/>
          <w:bCs/>
        </w:rPr>
        <w:t>Slide 8 — Go-to-market</w:t>
      </w:r>
      <w:r>
        <w:rPr/>
        <w:t xml:space="preserve"> - Takeaway: Land in SoCal; prove; replicate. - Content: beachhead verticals (schools, museums/libraries, family hospitality, coworking, senior living); 3–5 lighthouse pilots that double as ergonomic R&amp;D; direct + architect/dealer/GPO channels. - Design note: a simple US map with a West star and dotted expansion path.</w:t>
      </w:r>
    </w:p>
    <w:p>
      <w:pPr>
        <w:pStyle w:val="BodyText"/>
        <w:rPr/>
      </w:pPr>
      <w:r>
        <w:rPr>
          <w:b/>
          <w:bCs/>
        </w:rPr>
        <w:t>Slide 9 — Operations &amp; supply chain</w:t>
      </w:r>
      <w:r>
        <w:rPr/>
        <w:t xml:space="preserve"> - Takeaway: Distributed make-near-demand turns our bulk into an advantage. - Content: phased production (prototype → pilot → production → distributed); centralize flat/dense parts, distribute the bulky top + assembly; the crossover model finds each region’s break-even. - Design note: 4-phase timeline strip + a hub-and-spoke node map (Midwest parts hub → West &amp; East microfactories).</w:t>
      </w:r>
    </w:p>
    <w:p>
      <w:pPr>
        <w:pStyle w:val="BodyText"/>
        <w:rPr/>
      </w:pPr>
      <w:r>
        <w:rPr>
          <w:b/>
          <w:bCs/>
        </w:rPr>
        <w:t>Slide 10 — Technology &amp; moat</w:t>
      </w:r>
      <w:r>
        <w:rPr/>
        <w:t xml:space="preserve"> - Takeaway: A parametric configurator + digital thread makes custom cheap. - Content: heights/modes as variables; configurator → CAM with per-unit digital twin; future LFAM tops; IP on the wave/module system, accessibility geometry, and configurator. - Design note: a simple flow: configurator → digital file → any node → serialized table.</w:t>
      </w:r>
    </w:p>
    <w:p>
      <w:pPr>
        <w:pStyle w:val="BodyText"/>
        <w:rPr/>
      </w:pPr>
      <w:r>
        <w:rPr>
          <w:b/>
          <w:bCs/>
        </w:rPr>
        <w:t>Slide 11 — Financials &amp; the ask</w:t>
      </w:r>
      <w:r>
        <w:rPr/>
        <w:t xml:space="preserve"> - Takeaway: Path to ~$20M revenue; raising $1.75M seed. - Content: illustrative 5-yr trajectory (15 → 2,600 units; margin 12% → 52%); use of funds — engineering, first microfactory + pilots, configurator MVP, GTM, working capital; 18–24 mo runway to Series A. - Design note: revenue+margin bar/line combo and a use-of-funds donut.</w:t>
      </w:r>
    </w:p>
    <w:p>
      <w:pPr>
        <w:pStyle w:val="BodyText"/>
        <w:rPr/>
      </w:pPr>
      <w:r>
        <w:rPr>
          <w:b/>
          <w:bCs/>
        </w:rPr>
        <w:t>Slide 12 — Vision / close</w:t>
      </w:r>
      <w:r>
        <w:rPr/>
        <w:t xml:space="preserve"> - Takeaway: From one metro to global — the table everyone fits. - Content: West → East → national → global (export the design, not the table); one-line mission restate; contact. - Design note: return to the hero image, quieter; global dots faintly implied.</w:t>
      </w:r>
    </w:p>
    <w:p>
      <w:pPr>
        <w:pStyle w:val="Normal"/>
        <w:rPr/>
      </w:pPr>
      <w:bookmarkStart w:id="173" w:name="Xad5e0d1c7dc85ae82bafe4605039f58998b2d25"/>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3"/>
    </w:p>
    <w:p>
      <w:pPr>
        <w:pStyle w:val="Heading3"/>
        <w:rPr/>
      </w:pPr>
      <w:bookmarkStart w:id="174" w:name="appendix-optional-back-pocket-slides"/>
      <w:r>
        <w:rPr/>
        <w:t>Appendix (optional back-pocket slides)</w:t>
      </w:r>
    </w:p>
    <w:p>
      <w:pPr>
        <w:pStyle w:val="Compact"/>
        <w:numPr>
          <w:ilvl w:val="0"/>
          <w:numId w:val="134"/>
        </w:numPr>
        <w:rPr/>
      </w:pPr>
      <w:r>
        <w:rPr>
          <w:b/>
          <w:bCs/>
        </w:rPr>
        <w:t>A1 — Build spec at a glance:</w:t>
      </w:r>
      <w:r>
        <w:rPr/>
        <w:t xml:space="preserve"> dimensions, materials, accessibility clearances.</w:t>
      </w:r>
    </w:p>
    <w:p>
      <w:pPr>
        <w:pStyle w:val="Compact"/>
        <w:numPr>
          <w:ilvl w:val="0"/>
          <w:numId w:val="135"/>
        </w:numPr>
        <w:rPr/>
      </w:pPr>
      <w:r>
        <w:rPr>
          <w:b/>
          <w:bCs/>
        </w:rPr>
        <w:t>A2 — Competitive matrix:</w:t>
      </w:r>
      <w:r>
        <w:rPr/>
        <w:t xml:space="preserve"> RIBBON vs. incumbents across mixed-height, chair-free, all-ages, accessible, configurable.</w:t>
      </w:r>
    </w:p>
    <w:p>
      <w:pPr>
        <w:pStyle w:val="Compact"/>
        <w:numPr>
          <w:ilvl w:val="0"/>
          <w:numId w:val="136"/>
        </w:numPr>
        <w:rPr/>
      </w:pPr>
      <w:r>
        <w:rPr>
          <w:b/>
          <w:bCs/>
        </w:rPr>
        <w:t>A3 — Crossover economics:</w:t>
      </w:r>
      <w:r>
        <w:rPr/>
        <w:t xml:space="preserve"> the sensitivity heatmap from the model (when to open a node).</w:t>
      </w:r>
    </w:p>
    <w:p>
      <w:pPr>
        <w:pStyle w:val="Compact"/>
        <w:numPr>
          <w:ilvl w:val="0"/>
          <w:numId w:val="137"/>
        </w:numPr>
        <w:rPr/>
      </w:pPr>
      <w:r>
        <w:rPr>
          <w:b/>
          <w:bCs/>
        </w:rPr>
        <w:t>A4 — Global roadmap detail:</w:t>
      </w:r>
      <w:r>
        <w:rPr/>
        <w:t xml:space="preserve"> EN 1729 alignment; tariffs as a distribution driver; sequence Canada → Europe → APAC → MEA.</w:t>
      </w:r>
    </w:p>
    <w:p>
      <w:pPr>
        <w:pStyle w:val="FirstParagraph"/>
        <w:rPr/>
      </w:pPr>
      <w:bookmarkStart w:id="175" w:name="ribbon-pitch-deck-outline"/>
      <w:bookmarkStart w:id="176" w:name="appendix-optional-back-pocket-slides"/>
      <w:r>
        <w:rPr>
          <w:i/>
          <w:iCs/>
        </w:rPr>
        <w:t>Numbers are illustrative planning figures (±30–40%); swap in your validated ASP, volumes, and region before presenting.</w:t>
      </w:r>
      <w:bookmarkEnd w:id="175"/>
      <w:bookmarkEnd w:id="176"/>
    </w:p>
    <w:p>
      <w:pPr>
        <w:pStyle w:val="Heading1"/>
        <w:rPr/>
      </w:pPr>
      <w:bookmarkStart w:id="177" w:name="appendix-a-drawings-rev-h.1"/>
      <w:r>
        <w:rPr/>
        <w:t>Appendix A — Drawings (Rev H.1)</w:t>
      </w:r>
    </w:p>
    <w:p>
      <w:pPr>
        <w:pStyle w:val="Heading2"/>
        <w:rPr/>
      </w:pPr>
      <w:bookmarkStart w:id="178" w:name="racetrack-run-spliced-segments"/>
      <w:r>
        <w:rPr/>
        <w:t>Racetrack Run — spliced segments</w:t>
      </w:r>
    </w:p>
    <w:p>
      <w:pPr>
        <w:pStyle w:val="FirstParagraph"/>
        <w:rPr/>
      </w:pPr>
      <w:bookmarkStart w:id="179" w:name="racetrack-run-spliced-segments"/>
      <w:r>
        <w:rPr/>
        <w:drawing>
          <wp:inline distT="0" distB="0" distL="0" distR="0">
            <wp:extent cx="5334000" cy="3220720"/>
            <wp:effectExtent l="0" t="0" r="0" b="0"/>
            <wp:docPr id="55" name="Pictur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descr="" title=""/>
                    <pic:cNvPicPr>
                      <a:picLocks noChangeAspect="1" noChangeArrowheads="1"/>
                    </pic:cNvPicPr>
                  </pic:nvPicPr>
                  <pic:blipFill>
                    <a:blip r:embed="rId2"/>
                    <a:stretch>
                      <a:fillRect/>
                    </a:stretch>
                  </pic:blipFill>
                  <pic:spPr bwMode="auto">
                    <a:xfrm>
                      <a:off x="0" y="0"/>
                      <a:ext cx="5334000" cy="3220720"/>
                    </a:xfrm>
                    <a:prstGeom prst="rect">
                      <a:avLst/>
                    </a:prstGeom>
                  </pic:spPr>
                </pic:pic>
              </a:graphicData>
            </a:graphic>
          </wp:inline>
        </w:drawing>
      </w:r>
      <w:bookmarkEnd w:id="179"/>
    </w:p>
    <w:p>
      <w:pPr>
        <w:pStyle w:val="Heading2"/>
        <w:rPr/>
      </w:pPr>
      <w:bookmarkStart w:id="180" w:name="ring-hex-runs"/>
      <w:r>
        <w:rPr/>
        <w:t>Ring &amp; Hex Runs</w:t>
      </w:r>
    </w:p>
    <w:p>
      <w:pPr>
        <w:pStyle w:val="FirstParagraph"/>
        <w:rPr/>
      </w:pPr>
      <w:bookmarkStart w:id="181" w:name="appendix-a-drawings-rev-h.1"/>
      <w:bookmarkStart w:id="182" w:name="ring-hex-runs"/>
      <w:r>
        <w:rPr/>
        <w:drawing>
          <wp:inline distT="0" distB="0" distL="0" distR="0">
            <wp:extent cx="5334000" cy="3220720"/>
            <wp:effectExtent l="0" t="0" r="0" b="0"/>
            <wp:docPr id="5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 descr="" title=""/>
                    <pic:cNvPicPr>
                      <a:picLocks noChangeAspect="1" noChangeArrowheads="1"/>
                    </pic:cNvPicPr>
                  </pic:nvPicPr>
                  <pic:blipFill>
                    <a:blip r:embed="rId3"/>
                    <a:stretch>
                      <a:fillRect/>
                    </a:stretch>
                  </pic:blipFill>
                  <pic:spPr bwMode="auto">
                    <a:xfrm>
                      <a:off x="0" y="0"/>
                      <a:ext cx="5334000" cy="3220720"/>
                    </a:xfrm>
                    <a:prstGeom prst="rect">
                      <a:avLst/>
                    </a:prstGeom>
                  </pic:spPr>
                </pic:pic>
              </a:graphicData>
            </a:graphic>
          </wp:inline>
        </w:drawing>
      </w:r>
      <w:bookmarkEnd w:id="181"/>
      <w:bookmarkEnd w:id="182"/>
    </w:p>
    <w:p>
      <w:pPr>
        <w:pStyle w:val="Heading1"/>
        <w:rPr/>
      </w:pPr>
      <w:bookmarkStart w:id="183" w:name="appendix-b-ribbon-in-plain-words"/>
      <w:r>
        <w:rPr/>
        <w:t>Appendix B — RIBBON in Plain Words</w:t>
      </w:r>
      <w:bookmarkEnd w:id="183"/>
    </w:p>
    <w:p>
      <w:pPr>
        <w:pStyle w:val="Heading1"/>
        <w:rPr/>
      </w:pPr>
      <w:bookmarkStart w:id="184" w:name="ribbon-in-plain-words"/>
      <w:r>
        <w:rPr/>
        <w:t>RIBBON in Plain Words</w:t>
      </w:r>
    </w:p>
    <w:p>
      <w:pPr>
        <w:pStyle w:val="Heading3"/>
        <w:rPr/>
      </w:pPr>
      <w:bookmarkStart w:id="185" w:name="the-executive-summary-written-simply"/>
      <w:r>
        <w:rPr/>
        <w:t>The executive summary, written simply</w:t>
      </w:r>
    </w:p>
    <w:p>
      <w:pPr>
        <w:pStyle w:val="FirstParagraph"/>
        <w:rPr/>
      </w:pPr>
      <w:r>
        <w:rPr>
          <w:b/>
          <w:bCs/>
        </w:rPr>
        <w:t>What it is.</w:t>
      </w:r>
      <w:r>
        <w:rPr/>
        <w:t xml:space="preserve"> RIBBON makes tables for shared spaces. Our tables have no chairs. Instead, the surface sits at different heights in different spots. A small child stands at a low part. A tall adult stands at a high part. A person in a wheelchair rolls up to a flat section built with open space for their knees. Up to fourteen people can use one table at the same time.</w:t>
      </w:r>
    </w:p>
    <w:p>
      <w:pPr>
        <w:pStyle w:val="BodyText"/>
        <w:rPr/>
      </w:pPr>
      <w:r>
        <w:rPr>
          <w:b/>
          <w:bCs/>
        </w:rPr>
        <w:t>The problem we solve.</w:t>
      </w:r>
      <w:r>
        <w:rPr/>
        <w:t xml:space="preserve"> Normal tables are one height. Chairs are the workaround, but chairs cost money, take up space, and still leave people out. Small kids can’t reach. Wheelchair users often can’t fit. Schools, museums, and libraries want spaces that work for everyone. Today’s furniture doesn’t.</w:t>
      </w:r>
    </w:p>
    <w:p>
      <w:pPr>
        <w:pStyle w:val="BodyText"/>
        <w:rPr/>
      </w:pPr>
      <w:r>
        <w:rPr>
          <w:b/>
          <w:bCs/>
        </w:rPr>
        <w:t>How the product works.</w:t>
      </w:r>
      <w:r>
        <w:rPr/>
        <w:t xml:space="preserve"> We don’t ship one giant table. We ship a kit of smaller tables, each at its own height. They lock together to form one big table in different layouts: a long oval, a circle, or a hexagon. Small ramp pieces cover the joints so the whole thing looks and feels like one surface. Every setup has one fixed centerpiece. The buyer picks what it holds when they order: a planter, power outlets, an ice well, or a plain top. We call the pieces ribbons and the centerpiece the knot, but the thing you end up with is a table.</w:t>
      </w:r>
    </w:p>
    <w:p>
      <w:pPr>
        <w:pStyle w:val="BodyText"/>
        <w:rPr/>
      </w:pPr>
      <w:r>
        <w:rPr>
          <w:b/>
          <w:bCs/>
        </w:rPr>
        <w:t>Why this design is smart.</w:t>
      </w:r>
      <w:r>
        <w:rPr/>
        <w:t xml:space="preserve"> Small units ship cheap. A big one-piece table costs a fortune to ship because it’s mostly empty air in a crate. Our stacked units ship like normal freight. Small units are also easier to make, easier to fix, and easier to replace one at a time. A school can start with three units and add more later.</w:t>
      </w:r>
    </w:p>
    <w:p>
      <w:pPr>
        <w:pStyle w:val="BodyText"/>
        <w:rPr/>
      </w:pPr>
      <w:r>
        <w:rPr>
          <w:b/>
          <w:bCs/>
        </w:rPr>
        <w:t>Who buys it.</w:t>
      </w:r>
      <w:r>
        <w:rPr/>
        <w:t xml:space="preserve"> Schools, children’s museums, libraries, family restaurants, shared offices, and senior centers. These places serve mixed groups of people every day. In the U.S., school furniture alone is about a two billion dollar market each year, and it’s growing.</w:t>
      </w:r>
    </w:p>
    <w:p>
      <w:pPr>
        <w:pStyle w:val="BodyText"/>
        <w:rPr/>
      </w:pPr>
      <w:r>
        <w:rPr>
          <w:b/>
          <w:bCs/>
        </w:rPr>
        <w:t>How we make money.</w:t>
      </w:r>
      <w:r>
        <w:rPr/>
        <w:t xml:space="preserve"> We sell the table sets. We expect an average sale around $7,500. We also sell add-on kits like activity bins and serving trays, and later we plan to license our design to factories in other regions.</w:t>
      </w:r>
    </w:p>
    <w:p>
      <w:pPr>
        <w:pStyle w:val="BodyText"/>
        <w:rPr/>
      </w:pPr>
      <w:r>
        <w:rPr>
          <w:b/>
          <w:bCs/>
        </w:rPr>
        <w:t>How we build it.</w:t>
      </w:r>
      <w:r>
        <w:rPr/>
        <w:t xml:space="preserve"> A customer picks their layout, heights, and colors in an online tool. That order goes straight to the shop floor as a build file. We start with one factory partner in Southern California, add one in the Southeast, and put a parts plant in the Midwest that feeds both.</w:t>
      </w:r>
    </w:p>
    <w:p>
      <w:pPr>
        <w:pStyle w:val="BodyText"/>
        <w:rPr/>
      </w:pPr>
      <w:r>
        <w:rPr>
          <w:b/>
          <w:bCs/>
        </w:rPr>
        <w:t>The plan.</w:t>
      </w:r>
      <w:r>
        <w:rPr/>
        <w:t xml:space="preserve"> First, build one full prototype and test it with real people of all ages and abilities. Second, place tables in three to five real sites and measure how people use them. Third, start regular production. Two supplier questions come first: order sample locking hardware, and get real shipping quotes.</w:t>
      </w:r>
    </w:p>
    <w:p>
      <w:pPr>
        <w:pStyle w:val="BodyText"/>
        <w:rPr/>
      </w:pPr>
      <w:r>
        <w:rPr>
          <w:b/>
          <w:bCs/>
        </w:rPr>
        <w:t>The ask.</w:t>
      </w:r>
      <w:r>
        <w:rPr/>
        <w:t xml:space="preserve"> We are raising $1.75 million. It pays for the prototype, the test sites, the first factory partner, and the ordering tool. That funds about two years of work.</w:t>
      </w:r>
    </w:p>
    <w:p>
      <w:pPr>
        <w:pStyle w:val="BodyText"/>
        <w:rPr/>
      </w:pPr>
      <w:r>
        <w:rPr>
          <w:b/>
          <w:bCs/>
        </w:rPr>
        <w:t>The risks.</w:t>
      </w:r>
      <w:r>
        <w:rPr/>
        <w:t xml:space="preserve"> The locking hardware must be safe around kids. Shipping costs must come in near our estimates. Schools buy slowly. Our numbers are early estimates, not quotes. We name each risk in our plans and say how we’ll test it.</w:t>
      </w:r>
    </w:p>
    <w:p>
      <w:pPr>
        <w:pStyle w:val="BodyText"/>
        <w:spacing w:before="180" w:after="180"/>
        <w:rPr/>
      </w:pPr>
      <w:r>
        <w:rPr>
          <w:b/>
          <w:bCs/>
        </w:rPr>
        <w:t>In one line.</w:t>
      </w:r>
      <w:r>
        <w:rPr/>
        <w:t xml:space="preserve"> One table, many heights, no chairs, room for everyone.</w:t>
      </w:r>
      <w:bookmarkEnd w:id="184"/>
      <w:bookmarkEnd w:id="18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1"/>
    <w:lvlOverride w:ilvl="0">
      <w:startOverride w:val="1"/>
    </w:lvlOverride>
  </w:num>
  <w:num w:numId="30">
    <w:abstractNumId w:val="1"/>
    <w:lvlOverride w:ilvl="0">
      <w:startOverride w:val="1"/>
    </w:lvlOverride>
  </w:num>
  <w:num w:numId="31">
    <w:abstractNumId w:val="1"/>
  </w:num>
  <w:num w:numId="32">
    <w:abstractNumId w:val="1"/>
  </w:num>
  <w:num w:numId="33">
    <w:abstractNumId w:val="1"/>
  </w:num>
  <w:num w:numId="34">
    <w:abstractNumId w:val="1"/>
    <w:lvlOverride w:ilvl="0">
      <w:startOverride w:val="1"/>
    </w:lvlOverride>
  </w:num>
  <w:num w:numId="35">
    <w:abstractNumId w:val="1"/>
  </w:num>
  <w:num w:numId="36">
    <w:abstractNumId w:val="1"/>
  </w:num>
  <w:num w:numId="37">
    <w:abstractNumId w:val="1"/>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1"/>
    <w:lvlOverride w:ilvl="0">
      <w:startOverride w:val="1"/>
    </w:lvlOverride>
  </w:num>
  <w:num w:numId="101">
    <w:abstractNumId w:val="1"/>
  </w:num>
  <w:num w:numId="102">
    <w:abstractNumId w:val="1"/>
  </w:num>
  <w:num w:numId="103">
    <w:abstractNumId w:val="1"/>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1"/>
    <w:lvlOverride w:ilvl="0">
      <w:startOverride w:val="1"/>
    </w:lvlOverride>
  </w:num>
  <w:num w:numId="130">
    <w:abstractNumId w:val="1"/>
  </w:num>
  <w:num w:numId="131">
    <w:abstractNumId w:val="1"/>
  </w:num>
  <w:num w:numId="132">
    <w:abstractNumId w:val="1"/>
  </w:num>
  <w:num w:numId="133">
    <w:abstractNumId w:val="1"/>
  </w:num>
  <w:num w:numId="134">
    <w:abstractNumId w:val="2"/>
  </w:num>
  <w:num w:numId="135">
    <w:abstractNumId w:val="2"/>
  </w:num>
  <w:num w:numId="136">
    <w:abstractNumId w:val="2"/>
  </w:num>
  <w:num w:numId="137">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2026-08-08T23:50:51Z</dcterms:created>
  <dc:creator/>
  <dc:description/>
  <dc:language>en-US</dc:language>
  <cp:lastModifiedBy/>
  <dcterms:modified xsi:type="dcterms:W3CDTF">2026-08-08T23:50:51Z</dcterms:modified>
  <cp:revision>0</cp:revision>
  <dc:subject/>
  <dc:title>RIBBON — Complete Project Binder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 · Confidential</vt:lpwstr>
  </property>
  <property fmtid="{D5CDD505-2E9C-101B-9397-08002B2CF9AE}" pid="3" name="subtitle">
    <vt:lpwstr>The table everyone fits · Rev H.1 · All project documents in one volume</vt:lpwstr>
  </property>
</Properties>
</file>