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40"/>
        <w:jc w:val="left"/>
      </w:pPr>
      <w:r>
        <w:rPr>
          <w:b/>
          <w:bCs/>
          <w:color w:val="1F2A44"/>
          <w:sz w:val="96"/>
          <w:szCs w:val="96"/>
        </w:rPr>
        <w:t xml:space="preserve">RIBBON</w:t>
      </w:r>
    </w:p>
    <w:p>
      <w:pPr>
        <w:spacing w:after="60"/>
        <w:jc w:val="left"/>
      </w:pPr>
      <w:r>
        <w:rPr>
          <w:color w:val="2A9D8F"/>
          <w:sz w:val="34"/>
          <w:szCs w:val="34"/>
        </w:rPr>
        <w:t xml:space="preserve">The table everyone fits.</w:t>
      </w:r>
    </w:p>
    <w:p>
      <w:pPr>
        <w:spacing w:after="400"/>
        <w:jc w:val="left"/>
      </w:pPr>
      <w:r>
        <w:rPr>
          <w:color w:val="5A5A5A"/>
          <w:sz w:val="24"/>
          <w:szCs w:val="24"/>
        </w:rPr>
        <w:t xml:space="preserve">A single multi-height, chair-free communal table for every body, age, and use.</w:t>
      </w:r>
    </w:p>
    <w:p>
      <w:pPr>
        <w:pBdr>
          <w:bottom w:val="single" w:color="C9D2DA" w:sz="6"/>
        </w:pBdr>
        <w:spacing w:after="120" w:before="40"/>
      </w:pPr>
    </w:p>
    <w:p>
      <w:pPr>
        <w:spacing w:after="40"/>
      </w:pPr>
      <w:r>
        <w:rPr>
          <w:b/>
          <w:bCs/>
          <w:color w:val="1F2A44"/>
          <w:sz w:val="28"/>
          <w:szCs w:val="28"/>
        </w:rPr>
        <w:t xml:space="preserve">Business Plan</w:t>
      </w:r>
    </w:p>
    <w:p>
      <w:pPr>
        <w:spacing w:after="20"/>
      </w:pPr>
      <w:r>
        <w:rPr>
          <w:color w:val="5A5A5A"/>
          <w:sz w:val="20"/>
          <w:szCs w:val="20"/>
        </w:rPr>
        <w:t xml:space="preserve">Confidential — for discussion purposes</w:t>
      </w:r>
    </w:p>
    <w:p>
      <w:pPr>
        <w:spacing w:after="20"/>
      </w:pPr>
      <w:r>
        <w:rPr>
          <w:color w:val="5A5A5A"/>
          <w:sz w:val="20"/>
          <w:szCs w:val="20"/>
        </w:rPr>
        <w:t xml:space="preserve">August 2026  ·  Rev H.1  ·  Initial target region: Southern California / US West Coast</w:t>
      </w:r>
    </w:p>
    <w:p>
      <w:pPr>
        <w:spacing w:before="240"/>
      </w:pPr>
      <w:r>
        <w:rPr>
          <w:i/>
          <w:iCs/>
          <w:color w:val="5A5A5A"/>
          <w:sz w:val="18"/>
          <w:szCs w:val="18"/>
        </w:rPr>
        <w:t xml:space="preserve">“RIBBON” is a working name. All financial and market figures are illustrative planning estimates (±30–40%), not quotes or guarantees.</w:t>
      </w:r>
    </w:p>
    <w:p>
      <w:r>
        <w:br w:type="page"/>
      </w:r>
    </w:p>
    <w:p>
      <w:pPr>
        <w:spacing w:after="160"/>
      </w:pPr>
      <w:r>
        <w:rPr>
          <w:b/>
          <w:bCs/>
          <w:color w:val="1F2A44"/>
          <w:sz w:val="30"/>
          <w:szCs w:val="30"/>
        </w:rPr>
        <w:t xml:space="preserve">Contents</w:t>
      </w:r>
    </w:p>
    <w:p>
      <w:pPr>
        <w:spacing w:after="90"/>
      </w:pPr>
      <w:r>
        <w:rPr>
          <w:color w:val="222222"/>
          <w:sz w:val="22"/>
          <w:szCs w:val="22"/>
        </w:rPr>
        <w:t xml:space="preserve">1 · Executive summary</w:t>
      </w:r>
    </w:p>
    <w:p>
      <w:pPr>
        <w:spacing w:after="90"/>
      </w:pPr>
      <w:r>
        <w:rPr>
          <w:color w:val="222222"/>
          <w:sz w:val="22"/>
          <w:szCs w:val="22"/>
        </w:rPr>
        <w:t xml:space="preserve">2 · The opportunity</w:t>
      </w:r>
    </w:p>
    <w:p>
      <w:pPr>
        <w:spacing w:after="90"/>
      </w:pPr>
      <w:r>
        <w:rPr>
          <w:color w:val="222222"/>
          <w:sz w:val="22"/>
          <w:szCs w:val="22"/>
        </w:rPr>
        <w:t xml:space="preserve">3 · Product</w:t>
      </w:r>
    </w:p>
    <w:p>
      <w:pPr>
        <w:spacing w:after="90"/>
      </w:pPr>
      <w:r>
        <w:rPr>
          <w:color w:val="222222"/>
          <w:sz w:val="22"/>
          <w:szCs w:val="22"/>
        </w:rPr>
        <w:t xml:space="preserve">4 · Market opportunity</w:t>
      </w:r>
    </w:p>
    <w:p>
      <w:pPr>
        <w:spacing w:after="90"/>
      </w:pPr>
      <w:r>
        <w:rPr>
          <w:color w:val="222222"/>
          <w:sz w:val="22"/>
          <w:szCs w:val="22"/>
        </w:rPr>
        <w:t xml:space="preserve">5 · Competitive landscape &amp; differentiation</w:t>
      </w:r>
    </w:p>
    <w:p>
      <w:pPr>
        <w:spacing w:after="90"/>
      </w:pPr>
      <w:r>
        <w:rPr>
          <w:color w:val="222222"/>
          <w:sz w:val="22"/>
          <w:szCs w:val="22"/>
        </w:rPr>
        <w:t xml:space="preserve">6 · Business model &amp; unit economics</w:t>
      </w:r>
    </w:p>
    <w:p>
      <w:pPr>
        <w:spacing w:after="90"/>
      </w:pPr>
      <w:r>
        <w:rPr>
          <w:color w:val="222222"/>
          <w:sz w:val="22"/>
          <w:szCs w:val="22"/>
        </w:rPr>
        <w:t xml:space="preserve">7 · Go-to-market</w:t>
      </w:r>
    </w:p>
    <w:p>
      <w:pPr>
        <w:spacing w:after="90"/>
      </w:pPr>
      <w:r>
        <w:rPr>
          <w:color w:val="222222"/>
          <w:sz w:val="22"/>
          <w:szCs w:val="22"/>
        </w:rPr>
        <w:t xml:space="preserve">8 · Operations &amp; supply chain</w:t>
      </w:r>
    </w:p>
    <w:p>
      <w:pPr>
        <w:spacing w:after="90"/>
      </w:pPr>
      <w:r>
        <w:rPr>
          <w:color w:val="222222"/>
          <w:sz w:val="22"/>
          <w:szCs w:val="22"/>
        </w:rPr>
        <w:t xml:space="preserve">9 · Technology &amp; IP</w:t>
      </w:r>
    </w:p>
    <w:p>
      <w:pPr>
        <w:spacing w:after="90"/>
      </w:pPr>
      <w:r>
        <w:rPr>
          <w:color w:val="222222"/>
          <w:sz w:val="22"/>
          <w:szCs w:val="22"/>
        </w:rPr>
        <w:t xml:space="preserve">10 · Sustainability, accessibility &amp; impact</w:t>
      </w:r>
    </w:p>
    <w:p>
      <w:pPr>
        <w:spacing w:after="90"/>
      </w:pPr>
      <w:r>
        <w:rPr>
          <w:color w:val="222222"/>
          <w:sz w:val="22"/>
          <w:szCs w:val="22"/>
        </w:rPr>
        <w:t xml:space="preserve">11 · Financial plan</w:t>
      </w:r>
    </w:p>
    <w:p>
      <w:pPr>
        <w:spacing w:after="90"/>
      </w:pPr>
      <w:r>
        <w:rPr>
          <w:color w:val="222222"/>
          <w:sz w:val="22"/>
          <w:szCs w:val="22"/>
        </w:rPr>
        <w:t xml:space="preserve">12 · Risks &amp; mitigations</w:t>
      </w:r>
    </w:p>
    <w:p>
      <w:pPr>
        <w:spacing w:after="90"/>
      </w:pPr>
      <w:r>
        <w:rPr>
          <w:color w:val="222222"/>
          <w:sz w:val="22"/>
          <w:szCs w:val="22"/>
        </w:rPr>
        <w:t xml:space="preserve">13 · Team &amp; organization</w:t>
      </w:r>
    </w:p>
    <w:p>
      <w:pPr>
        <w:spacing w:after="90"/>
      </w:pPr>
      <w:r>
        <w:rPr>
          <w:color w:val="222222"/>
          <w:sz w:val="22"/>
          <w:szCs w:val="22"/>
        </w:rPr>
        <w:t xml:space="preserve">14 · Milestones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1 · Executive summary</w:t>
      </w:r>
    </w:p>
    <w:p>
      <w:pPr>
        <w:spacing w:after="120" w:line="276"/>
      </w:pPr>
      <w:r>
        <w:t xml:space="preserve">RIBBON makes the first communal table designed to be used without chairs by fourteen people of any height, age, or mobility at once. A single sculptural surface flows through a range of working heights — from a toddler at 560 mm to a standing adult at bar height, with flat, knee-clear bays for wheelchair users — so a preschool, a museum, a family restaurant, and a coworking lounge can each seat their whole mixed-age crowd around one piece of furniture that also switches between social, dining/working, and hands-on activity modes.</w:t>
      </w:r>
    </w:p>
    <w:p>
      <w:pPr>
        <w:spacing w:after="120" w:line="276"/>
      </w:pPr>
      <w:r>
        <w:t xml:space="preserve">The product is bespoke in feel but engineered for repeatable, digitally-fabricated, mass-customized production. A parametric model turns the wave into a small kit of standard height modules; a customer configurator drives fabrication directly; and a distributed “make-near-demand” supply chain keeps freight — the dominant cost for an object this bulky — low while preserving per-order customization.</w:t>
      </w:r>
    </w:p>
    <w:p>
      <w:pPr>
        <w:spacing w:after="120" w:line="276"/>
      </w:pPr>
      <w:r>
        <w:t xml:space="preserve">We are targeting a beachhead in Southern California across education, museums and libraries, family hospitality, coworking, and senior-living operators — segments that genuinely need mixed-age, accessible, no-chair seating and that will stress all three use modes. The global contract-furniture market is large and growing (roughly 5% CAGR), with tables among its leading segments and modular, sustainable, and inclusive design as its strongest tailwinds.</w:t>
      </w:r>
    </w:p>
    <w:p>
      <w:pPr>
        <w:spacing w:after="120" w:line="276"/>
      </w:pPr>
      <w:r>
        <w:rPr>
          <w:b/>
          <w:bCs/>
        </w:rPr>
        <w:t xml:space="preserve">The ask: </w:t>
      </w:r>
      <w:r>
        <w:t xml:space="preserve">a $1.75M seed round to fund an instrumented prototype, 3–5 pilot deployments, a first regional microfactory partnership, and a configurator MVP — 18–24 months of runway to Phase 2 production and Series A.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2 · The opportunity</w:t>
      </w:r>
    </w:p>
    <w:p>
      <w:pPr>
        <w:spacing w:after="120" w:line="276"/>
      </w:pPr>
      <w:r>
        <w:t xml:space="preserve">Every shared table forces one height. Chairs paper over the mismatch — but chairs add cost, clutter, storage burden, and exclusion: a fixed-height table plus standard chairs serves a narrow band of adult bodies and quietly designs out small children, very tall people, and wheelchair users. Institutions increasingly want the opposite: flexible, collaborative, ergonomic, and inclusive spaces where mixed-age and mixed-ability groups gather.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Why now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Flexible, collaborative layouts</w:t>
      </w:r>
      <w:r>
        <w:t xml:space="preserve"> are displacing fixed rows of desks and chairs across schools and workplaces.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Inclusive and sensory-friendly design</w:t>
      </w:r>
      <w:r>
        <w:t xml:space="preserve"> is now an explicit procurement priority, especially in education and civic spaces.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Ergonomics and wellbeing</w:t>
      </w:r>
      <w:r>
        <w:t xml:space="preserve"> drive furniture as a strategic investment rather than a commodity purchase.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Sustainability and circularity</w:t>
      </w:r>
      <w:r>
        <w:t xml:space="preserve"> mandates reward modular, repairable, recyclable, low-carbon products.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Multigenerational spaces</w:t>
      </w:r>
      <w:r>
        <w:t xml:space="preserve"> — libraries, museums, senior living, family hospitality — need furniture that fits everyone at the same surface.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3 · Product (current state — Rev H.1)</w:t>
      </w:r>
    </w:p>
    <w:p>
      <w:pPr>
        <w:spacing w:after="120" w:line="276"/>
      </w:pPr>
      <w:r>
        <w:t xml:space="preserve">RIBBON is a system of discrete, self-supporting ribbon segments — each a small table at one height, from a toddler's 560 mm to bar-height 1100 mm — that splice edge-to-edge into a Run: a Racetrack (≈3.9 × 1.2 m, ~10 segments), a Hex (2.65 m across flats, six segments, tessellates into clusters), or a Ring (Ø ≈2.95 m, eight wedge segments). Engineered seam pieces bridge every height change so a Run reads as one flowing surface, and every Run gathers around the Knot — a fixed focal segment on a load-bearing mast, typed at order as Planted, Service, Ice, or Solid, carrying the system's power and water internally.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5A5A"/>
          <w:sz w:val="16"/>
          <w:szCs w:val="16"/>
        </w:rPr>
        <w:t xml:space="preserve">Racetrack Run — 14 positions with assigned heights; teal = wheelchair-first knee-clear bays; segments splice at the marked joints.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Why segments win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Every body fits: fourteen positions at matched heights, four wheelchair-first 740 mm bays with full knee clearance — the wheelchair is the system's first and most honored chair.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Ships like normal freight: stacked segment kits run ≈class 85 versus the retired monolith's ≈class 400 — the single largest economic unlock in the design.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Grows and heals: venues start with three segments and add more; a damaged segment swaps in minutes; splices are tool-release, child-safe, and misdock-proof (spec B12/B13).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Modes, colorways, and seating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Three modes live in the swappable layer — trough inserts and activity wells flip a Run between social, dining/working, and hands-on activity; the Knot is the committed heart.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Five colorways (Cloud, Grove, Citrus, Slate, Custom) select per segment; a height-coded preset turns color into wayfinding.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optional AEL family adds level-matched seating that nests and yields — wobble perches for children, one true drop-in seat at the accessible bays, leaning perches at counter, stools at bar, never anything at the Knot. A Run is complete with zero AEL units: RIBBON needs no chairs.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Design history in one paragraph</w:t>
      </w:r>
    </w:p>
    <w:p>
      <w:pPr>
        <w:spacing w:after="120" w:line="276"/>
      </w:pPr>
      <w:r>
        <w:t xml:space="preserve">The product began as a seamless multi-height monolith (Rev A–B), gained formal base requirements, colorways, and a fold variant (Rev C), circular and hexagonal geometries with fixed focal centers (Rev D), then made its defining pivot at Rev E — every level became its own table — followed by engineered transitions and full PRD governance (Rev F), the ribbon/table lexicon (Rev G), ratified optional seating (Rev H), and this consolidation (Rev H.1). Full trail: build spec appendix and the Master PRD Set.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4 · Market opportunity</w:t>
      </w:r>
    </w:p>
    <w:p>
      <w:pPr>
        <w:spacing w:after="120" w:line="276"/>
      </w:pPr>
      <w:r>
        <w:t xml:space="preserve">RIBBON sits in contract (commercial/institutional) furniture — specifically the tables segment across education, hospitality, healthcare, civic, and workplace. Estimates of the global contract-furniture market vary widely by definition, but multiple 2025 analyses place it in the tens to low hundreds of billions of dollars, growing around 5% annually, with North America holding roughly 40% of demand and modular, sustainable, and customizable products cited as the leading growth trends.</w:t>
      </w:r>
    </w:p>
    <w:tbl>
      <w:tblPr>
        <w:tblW w:type="dxa" w:w="10080"/>
        <w:tblBorders>
          <w:top w:val="single" w:color="C9D2DA" w:sz="4"/>
          <w:left w:val="none"/>
          <w:bottom w:val="single" w:color="C9D2DA" w:sz="4"/>
          <w:right w:val="none"/>
          <w:insideH w:val="single" w:color="C9D2DA" w:sz="2"/>
          <w:insideV w:val="none"/>
        </w:tblBorders>
      </w:tblPr>
      <w:tblGrid>
        <w:gridCol w:w="2000"/>
        <w:gridCol w:w="5580"/>
        <w:gridCol w:w="2500"/>
      </w:tblGrid>
      <w:tr>
        <w:trPr>
          <w:tblHeader/>
        </w:trPr>
        <w:tc>
          <w:tcPr>
            <w:tcW w:type="dxa" w:w="20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Layer</w:t>
            </w:r>
          </w:p>
        </w:tc>
        <w:tc>
          <w:tcPr>
            <w:tcW w:type="dxa" w:w="558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5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Illustrative size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TAM</w:t>
            </w:r>
          </w:p>
        </w:tc>
        <w:tc>
          <w:tcPr>
            <w:tcW w:type="dxa" w:w="5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Global contract tables across education, hospitality, civic &amp; workplace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~$18–25B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</w:t>
            </w:r>
          </w:p>
        </w:tc>
        <w:tc>
          <w:tcPr>
            <w:tcW w:type="dxa" w:w="5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North America communal / multi-height / accessible tables in our beachhead verticals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~$2–4B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SOM (5-yr)</w:t>
            </w:r>
          </w:p>
        </w:tc>
        <w:tc>
          <w:tcPr>
            <w:tcW w:type="dxa" w:w="5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Obtainable share of the SoCal + West-Coast beachhead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~$20–50M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Anchor reference points behind these figures: the US school-furniture market alone was ~$2.1B in 2024–25 (growing ~6% annually) across ~98,500 public and ~30,500 private schools, and global educational furniture was ~$5–9B in 2025 with North America ~34% of it — and that is only one of our verticals. Museums and libraries, family-style hospitality, coworking, and senior-living operators add materially to the serviceable base.</w:t>
      </w:r>
    </w:p>
    <w:p>
      <w:pPr>
        <w:spacing w:after="120"/>
      </w:pPr>
      <w:r>
        <w:rPr>
          <w:i/>
          <w:iCs/>
          <w:color w:val="5A5A5A"/>
          <w:sz w:val="16"/>
          <w:szCs w:val="16"/>
        </w:rPr>
        <w:t xml:space="preserve">Sources: contract- and education-furniture market reports (SkyQuest, Grand View, GM Insights, Fortune Business Insights, Future Market Insights, The Insight Partners, 2025–2026). Figures are ranges; TAM/SAM/SOM are our derivations, not vendor numbers.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5 · Competitive landscape &amp; differentiation</w:t>
      </w:r>
    </w:p>
    <w:p>
      <w:pPr>
        <w:spacing w:after="120" w:line="276"/>
      </w:pPr>
      <w:r>
        <w:t xml:space="preserve">Incumbents — MillerKnoll, Steelcase, Haworth, KI, Kimball, and education specialists such as Paragon — compete on modular, ergonomic, and increasingly sustainable furniture. But their catalogs still assume the chair: adjustable desks solve one person's height, not fourteen people's at one shared surface, and none pairs a single mixed-height, chair-free, all-ages, mode-switching, accessibility-first table with a parametric configurator and distributed make-near-demand production.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Our defensible edge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Category of one: </w:t>
      </w:r>
      <w:r>
        <w:t xml:space="preserve">a communal surface that fits a toddler, a standing adult, and a wheelchair user at the same table without chairs.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Mass customization: </w:t>
      </w:r>
      <w:r>
        <w:t xml:space="preserve">a parametric height mix and insert set, sold through a configurator that feeds fabrication directly — custom feel at production margin.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Supply-chain design: </w:t>
      </w:r>
      <w:r>
        <w:t xml:space="preserve">distributed regional fabrication turns the product's bulk (a rival's cost problem) into our freight and speed advantage.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Accessibility &amp; sustainability as standard, </w:t>
      </w:r>
      <w:r>
        <w:t xml:space="preserve">not upsells — a genuine advantage with public and institutional buyers.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6 · Business model &amp; unit economics</w:t>
      </w:r>
    </w:p>
    <w:p>
      <w:pPr>
        <w:spacing w:after="120" w:line="276"/>
      </w:pPr>
      <w:r>
        <w:t xml:space="preserve">Primary revenue is make-to-order table sales at a blended ASP of ~$7,500 (entry configs from ~$6,500; premium/large from ~$12,000). Gross margin climbs from thin at pilot scale — where one-time engineering is absorbed — toward ~50% as the kit-of-parts, jigged assembly, and distributed build take hold. Secondary streams compound the model: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Inserts &amp; modes: </w:t>
      </w:r>
      <w:r>
        <w:t xml:space="preserve">trough kits, activity-well sets, and refresh modules — recurring, high-margin attach sales.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Design licensing: </w:t>
      </w:r>
      <w:r>
        <w:t xml:space="preserve">license the parametric design to regional fabricators as we expand — asset-light geographic scaling.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Service &amp; circularity: </w:t>
      </w:r>
      <w:r>
        <w:t xml:space="preserve">takeback, refurbishment, and single-module upgrades — the flat/modular architecture makes these cheap and sticky.</w:t>
      </w:r>
    </w:p>
    <w:p>
      <w:pPr>
        <w:spacing w:after="120" w:line="276"/>
      </w:pPr>
      <w:r>
        <w:t xml:space="preserve">Because production is make-to-order and the parametric file is effectively the inventory, we hold almost no finished-goods stock — critical for an oversized product.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7 · Go-to-market</w:t>
      </w:r>
    </w:p>
    <w:p>
      <w:pPr>
        <w:spacing w:after="120" w:line="276"/>
      </w:pPr>
      <w:r>
        <w:t xml:space="preserve">We land in one metro (Southern California) where beachhead demand is dense and a deep base of millwork, solid-surface, and metal-fabrication shops can serve as our first microfactory. The motion: instrument a flagship prototype, convert 3–5 lighthouse pilots (a school, a children's museum or library, a family restaurant, a coworking or senior-living site), then use those references and usage data to sell into the surrounding region before replicating the pattern city by city.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Channels: </w:t>
      </w:r>
      <w:r>
        <w:t xml:space="preserve">direct to institutions and architects/designers (spec-driven sales), plus dealer and GPO/procurement pathways for education and civic buyers.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Proof: </w:t>
      </w:r>
      <w:r>
        <w:t xml:space="preserve">pilots double as R&amp;D — utilization by zone, comfort, cleanability, and accessibility data that de-risk both the product and the next sale.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8 · Operations &amp; supply chain</w:t>
      </w:r>
    </w:p>
    <w:p>
      <w:pPr>
        <w:spacing w:after="120" w:line="276"/>
      </w:pPr>
      <w:r>
        <w:t xml:space="preserve">Production scales in four phases. The cost curve is driven by tooling amortization (Phase 0→1), then labor per unit (1→2), then freight and mold elimination (2→3) — beyond Phase 2, geography, not the shop floor, is where the money is.</w:t>
      </w:r>
    </w:p>
    <w:tbl>
      <w:tblPr>
        <w:tblW w:type="dxa" w:w="10080"/>
        <w:tblBorders>
          <w:top w:val="single" w:color="C9D2DA" w:sz="4"/>
          <w:left w:val="none"/>
          <w:bottom w:val="single" w:color="C9D2DA" w:sz="4"/>
          <w:right w:val="none"/>
          <w:insideH w:val="single" w:color="C9D2DA" w:sz="2"/>
          <w:insideV w:val="none"/>
        </w:tblBorders>
      </w:tblPr>
      <w:tblGrid>
        <w:gridCol w:w="1550"/>
        <w:gridCol w:w="1250"/>
        <w:gridCol w:w="3680"/>
        <w:gridCol w:w="1800"/>
        <w:gridCol w:w="1800"/>
      </w:tblGrid>
      <w:tr>
        <w:trPr>
          <w:tblHeader/>
        </w:trPr>
        <w:tc>
          <w:tcPr>
            <w:tcW w:type="dxa" w:w="155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Phase</w:t>
            </w:r>
          </w:p>
        </w:tc>
        <w:tc>
          <w:tcPr>
            <w:tcW w:type="dxa" w:w="125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Volume</w:t>
            </w:r>
          </w:p>
        </w:tc>
        <w:tc>
          <w:tcPr>
            <w:tcW w:type="dxa" w:w="368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Goal &amp; process</w:t>
            </w:r>
          </w:p>
        </w:tc>
        <w:tc>
          <w:tcPr>
            <w:tcW w:type="dxa" w:w="18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Unit cost*</w:t>
            </w:r>
          </w:p>
        </w:tc>
        <w:tc>
          <w:tcPr>
            <w:tcW w:type="dxa" w:w="18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Lead time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 Prototype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Prove ergonomics; parametric model; 5-axis CNC; instrumented 14-person test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$12–20k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8–16 wks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Pilot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10–50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Repeatability &amp; cost; reusable molds + jigs; DFMA + flat-pack; configurator→CAM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$4.5–7k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4–8 wks/unit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Production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100–500/yr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Modular kit-of-parts; jigged/contract assembly; make-to-order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$2.8–4k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3–5 wks/unit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Distributed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1,000+/yr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Robotic finishing; LFAM near-net top; digital thread; regional microfactories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$2–3k ex-works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1–3 wks</w:t>
            </w:r>
          </w:p>
        </w:tc>
      </w:tr>
    </w:tbl>
    <w:p>
      <w:pPr>
        <w:spacing w:after="140" w:before="40"/>
      </w:pPr>
      <w:r>
        <w:rPr>
          <w:i/>
          <w:iCs/>
          <w:color w:val="5A5A5A"/>
          <w:sz w:val="16"/>
          <w:szCs w:val="16"/>
        </w:rPr>
        <w:t xml:space="preserve">*Fully-loaded ROM, ±30%.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Make / buy / print by volume</w:t>
      </w:r>
    </w:p>
    <w:tbl>
      <w:tblPr>
        <w:tblW w:type="dxa" w:w="10080"/>
        <w:tblBorders>
          <w:top w:val="single" w:color="C9D2DA" w:sz="4"/>
          <w:left w:val="none"/>
          <w:bottom w:val="single" w:color="C9D2DA" w:sz="4"/>
          <w:right w:val="none"/>
          <w:insideH w:val="single" w:color="C9D2DA" w:sz="2"/>
          <w:insideV w:val="none"/>
        </w:tblBorders>
      </w:tblPr>
      <w:tblGrid>
        <w:gridCol w:w="248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248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Part</w:t>
            </w:r>
          </w:p>
        </w:tc>
        <w:tc>
          <w:tcPr>
            <w:tcW w:type="dxa" w:w="19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Prototype</w:t>
            </w:r>
          </w:p>
        </w:tc>
        <w:tc>
          <w:tcPr>
            <w:tcW w:type="dxa" w:w="19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Pilot</w:t>
            </w:r>
          </w:p>
        </w:tc>
        <w:tc>
          <w:tcPr>
            <w:tcW w:type="dxa" w:w="19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9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Mass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 skin (solid surface)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mold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mold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tooled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Print — LFAM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 core (ply/bamboo)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CNC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CNC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CNC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/ n.a.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Steel spine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weld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— jig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to file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robotic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 plates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to file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to file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to file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hub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Trough liner (316 SS)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to file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to file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to file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volume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Trough inserts / lids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Print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Print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mold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mold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Activity tubs (HDPE)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OTS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OTS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molded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 — molded</w:t>
            </w:r>
          </w:p>
        </w:tc>
      </w:tr>
      <w:tr>
        <w:trPr>
          <w:tblHeader w:val="false"/>
        </w:trPr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Hardware / glides / footrail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Two print stories run in opposite directions: small complex inserts are printed early for variety then tooled once volume pays for molds, while the largest part — the top — shifts to large-format additive at scale to kill tooling cost and re-enable true per-order geometry. Everything flat, dense, and standard (base plates, trough kit, hardware) stays buy-to-print and is the right thing to centralize.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Factory model: distributed-leaning hybrid (recommended)</w:t>
      </w:r>
    </w:p>
    <w:p>
      <w:pPr>
        <w:spacing w:after="120" w:line="276"/>
      </w:pPr>
      <w:r>
        <w:t xml:space="preserve">The economics point away from one central mega-plant. RIBBON is bulky, heavy, high-mix, and — early — low-volume-per-site with dispersed demand: attributes that all favor building near the customer. Long-haul, oversized freight on an assembled 3.9 m table often exceeds the marginal fabrication a good regional shop gives up, so the crossover favors distributed until volume is both very high and geographically concentrated.</w:t>
      </w:r>
    </w:p>
    <w:p>
      <w:pPr>
        <w:spacing w:after="120" w:line="276"/>
      </w:pPr>
      <w:r>
        <w:rPr>
          <w:b/>
          <w:bCs/>
        </w:rPr>
        <w:t xml:space="preserve">The rule: </w:t>
      </w:r>
      <w:r>
        <w:t xml:space="preserve">centralize the flat, dense, standard, low-mix parts (base plates, trough kits, hardware) at one or two hubs and ship them compact; distribute the bulky top and final assembly to regional microfactories via licensing or on-demand networks. Southern California's dense fabrication base, port access, large beachhead demand, and sustainability-minded buyers make it an ideal first node — with no new plant required.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9 · Technology &amp; IP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Parametric design engine </w:t>
      </w:r>
      <w:r>
        <w:t xml:space="preserve">(Rhino/Grasshopper or Fusion) — heights and modes are variables, so every market and order is a re-tune, not a redraw.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Configurator → digital thread: </w:t>
      </w:r>
      <w:r>
        <w:t xml:space="preserve">customer choices drive CAM directly and serialize each unit with a digital twin — mass customization with no manual CAD step.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Future processes: </w:t>
      </w:r>
      <w:r>
        <w:t xml:space="preserve">large-format additive (recycled pellet) for near-net tops, generative design for a minimal-material base, and material passports enabling takeback.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IP: </w:t>
      </w:r>
      <w:r>
        <w:t xml:space="preserve">design rights on the wave/module system, the accessibility-first bay geometry, and the configurator; controlled toolpaths and serialized files protect licensed production.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10 · Sustainability, accessibility &amp; impact</w:t>
      </w:r>
    </w:p>
    <w:p>
      <w:pPr>
        <w:spacing w:after="120" w:line="276"/>
      </w:pPr>
      <w:r>
        <w:t xml:space="preserve">Inclusion is the product, not a feature: one surface that fits small children, tall adults, and wheelchair users at the same table. On sustainability, the flat, modular, digitally-fabricated architecture that lowers freight also makes the table repairable, upgradeable one module at a time, and recyclable — supported by low-VOC finishes, recycled/bio-based and low-carbon materials, and a takeback loop. Both map directly to institutional procurement priorities and public-buyer bid criteria.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11 · Financial plan</w:t>
      </w:r>
    </w:p>
    <w:p>
      <w:pPr>
        <w:spacing w:after="120" w:line="276"/>
      </w:pPr>
      <w:r>
        <w:t xml:space="preserve">Unit basis (Rev H.1): costs are stated per ribbon segment; pricing per Run — a standard Racetrack Run of ~10 segments plus the Knot and seam set sells at the ~$7,500 blended ASP, so the volumes below are Runs. The illustrative five-year trajectory follows the production phases: pilots and R&amp;D in Years 1–2, production ramp in Years 3–4, and distributed scale (plus licensing) in Year 5. Margins expand as one-time engineering is absorbed and the kit-of-parts and distributed build take hold.</w:t>
      </w:r>
    </w:p>
    <w:tbl>
      <w:tblPr>
        <w:tblW w:type="dxa" w:w="10080"/>
        <w:tblBorders>
          <w:top w:val="single" w:color="C9D2DA" w:sz="4"/>
          <w:left w:val="none"/>
          <w:bottom w:val="single" w:color="C9D2DA" w:sz="4"/>
          <w:right w:val="none"/>
          <w:insideH w:val="single" w:color="C9D2DA" w:sz="2"/>
          <w:insideV w:val="none"/>
        </w:tblBorders>
      </w:tblPr>
      <w:tblGrid>
        <w:gridCol w:w="1680"/>
        <w:gridCol w:w="1600"/>
        <w:gridCol w:w="2200"/>
        <w:gridCol w:w="2300"/>
        <w:gridCol w:w="2300"/>
      </w:tblGrid>
      <w:tr>
        <w:trPr>
          <w:tblHeader/>
        </w:trPr>
        <w:tc>
          <w:tcPr>
            <w:tcW w:type="dxa" w:w="168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Runs</w:t>
            </w:r>
          </w:p>
        </w:tc>
        <w:tc>
          <w:tcPr>
            <w:tcW w:type="dxa" w:w="22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Revenue</w:t>
            </w:r>
          </w:p>
        </w:tc>
        <w:tc>
          <w:tcPr>
            <w:tcW w:type="dxa" w:w="23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3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EBITDA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~$0.11M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~12%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 (0.7M)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~$0.9M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~30%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 (0.8M)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450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~$3.4M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~42%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 (0.2M)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1,100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~$8.5M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~48%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 $1.0M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2,600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~$20.5M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~52%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 $3.2M</w:t>
            </w:r>
          </w:p>
        </w:tc>
      </w:tr>
    </w:tbl>
    <w:p>
      <w:pPr>
        <w:spacing w:after="140" w:before="40"/>
      </w:pPr>
      <w:r>
        <w:rPr>
          <w:i/>
          <w:iCs/>
          <w:color w:val="5A5A5A"/>
          <w:sz w:val="16"/>
          <w:szCs w:val="16"/>
        </w:rPr>
        <w:t xml:space="preserve">Illustrative planning model at ~$7,500 blended ASP per Run (Rev H.1 basis); ±30–40%. Not a forecast or guarantee.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Locked assumptions (Rev B)</w:t>
      </w:r>
    </w:p>
    <w:p>
      <w:pPr>
        <w:spacing w:after="120" w:line="276"/>
      </w:pPr>
      <w:r>
        <w:t xml:space="preserve">Working decisions taken to move into execution; each remains reversible.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Name: </w:t>
      </w:r>
      <w:r>
        <w:t xml:space="preserve">RIBBON (working name, pending trademark clearance).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Initial region: </w:t>
      </w:r>
      <w:r>
        <w:t xml:space="preserve">Southern California / US West.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Pricing: </w:t>
      </w:r>
      <w:r>
        <w:t xml:space="preserve">~$7,500 blended ASP; gross-margin target ~50% at scale.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East node: </w:t>
      </w:r>
      <w:r>
        <w:t xml:space="preserve">North Carolina Piedmont (High Point/Triad); Atlanta as alternate.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Structure: </w:t>
      </w:r>
      <w:r>
        <w:t xml:space="preserve">own the West anchor and first central parts hub; license regional nodes from the national stage onward.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Funding: </w:t>
      </w:r>
      <w:r>
        <w:t xml:space="preserve">raise the $1.75M seed rather than bootstrap the pilots.</w:t>
      </w:r>
    </w:p>
    <w:p>
      <w:pPr>
        <w:spacing w:after="120" w:line="276"/>
      </w:pPr>
      <w:r>
        <w:t xml:space="preserve">Reconciled with the companion crossover model: under base assumptions a regional finishing node breaks even near ~237 units/yr, and distributed nodes run ~47% gross margin versus ~40% centralized after freight — reinforcing the distributed-leaning build.</w:t>
      </w:r>
    </w:p>
    <w:p>
      <w:pPr>
        <w:pStyle w:val="Heading2"/>
        <w:spacing w:after="80" w:before="180"/>
      </w:pPr>
      <w:r>
        <w:rPr>
          <w:b/>
          <w:bCs/>
          <w:color w:val="2A9D8F"/>
        </w:rPr>
        <w:t xml:space="preserve">The ask &amp; use of funds</w:t>
      </w:r>
    </w:p>
    <w:p>
      <w:pPr>
        <w:spacing w:after="120" w:line="276"/>
      </w:pPr>
      <w:r>
        <w:t xml:space="preserve">Raising a $1.75M seed for 18–24 months of runway — through prototype, pilots, first microfactory, and configurator MVP — to reach Phase 2 production and a Series A.</w:t>
      </w:r>
    </w:p>
    <w:tbl>
      <w:tblPr>
        <w:tblW w:type="dxa" w:w="10080"/>
        <w:tblBorders>
          <w:top w:val="single" w:color="C9D2DA" w:sz="4"/>
          <w:left w:val="none"/>
          <w:bottom w:val="single" w:color="C9D2DA" w:sz="4"/>
          <w:right w:val="none"/>
          <w:insideH w:val="single" w:color="C9D2DA" w:sz="2"/>
          <w:insideV w:val="none"/>
        </w:tblBorders>
      </w:tblPr>
      <w:tblGrid>
        <w:gridCol w:w="6080"/>
        <w:gridCol w:w="2000"/>
        <w:gridCol w:w="2000"/>
      </w:tblGrid>
      <w:tr>
        <w:trPr>
          <w:tblHeader/>
        </w:trPr>
        <w:tc>
          <w:tcPr>
            <w:tcW w:type="dxa" w:w="608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Use of funds</w:t>
            </w:r>
          </w:p>
        </w:tc>
        <w:tc>
          <w:tcPr>
            <w:tcW w:type="dxa" w:w="20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%</w:t>
            </w:r>
          </w:p>
        </w:tc>
        <w:tc>
          <w:tcPr>
            <w:tcW w:type="dxa" w:w="2000"/>
            <w:shd w:fill="EE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6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 &amp; tooling engineering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$525k</w:t>
            </w:r>
          </w:p>
        </w:tc>
      </w:tr>
      <w:tr>
        <w:trPr>
          <w:tblHeader w:val="false"/>
        </w:trPr>
        <w:tc>
          <w:tcPr>
            <w:tcW w:type="dxa" w:w="6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First microfactory partnership &amp; pilot builds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$440k</w:t>
            </w:r>
          </w:p>
        </w:tc>
      </w:tr>
      <w:tr>
        <w:trPr>
          <w:tblHeader w:val="false"/>
        </w:trPr>
        <w:tc>
          <w:tcPr>
            <w:tcW w:type="dxa" w:w="6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Configurator + digital-thread MVP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$305k</w:t>
            </w:r>
          </w:p>
        </w:tc>
      </w:tr>
      <w:tr>
        <w:trPr>
          <w:tblHeader w:val="false"/>
        </w:trPr>
        <w:tc>
          <w:tcPr>
            <w:tcW w:type="dxa" w:w="6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Go-to-market &amp; beachhead sales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$260k</w:t>
            </w:r>
          </w:p>
        </w:tc>
      </w:tr>
      <w:tr>
        <w:trPr>
          <w:tblHeader w:val="false"/>
        </w:trPr>
        <w:tc>
          <w:tcPr>
            <w:tcW w:type="dxa" w:w="6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Working capital &amp; contingency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8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$220k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2A44"/>
        </w:rPr>
        <w:t xml:space="preserve">12 · Risks &amp; mitigations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Freight / logistics on an oversized product — </w:t>
      </w:r>
      <w:r>
        <w:t xml:space="preserve">mitigate with flat-pack knock-down design and distributed make-near-demand.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Quality consistency across independent shops — </w:t>
      </w:r>
      <w:r>
        <w:t xml:space="preserve">mitigate with the digital thread, fixed CAM, jigs, and QA gates.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Long institutional sales cycles — </w:t>
      </w:r>
      <w:r>
        <w:t xml:space="preserve">mitigate with lighthouse pilots, GPO/dealer channels, and architect specification.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Cost/maturity of large-format additive — </w:t>
      </w:r>
      <w:r>
        <w:t xml:space="preserve">treated as upside, not a dependency; mold-based production carries Phases 0–2.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IP leakage under licensing — </w:t>
      </w:r>
      <w:r>
        <w:t xml:space="preserve">serialized files, controlled toolpaths, and staged disclosure.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13 · Team &amp; organization</w:t>
      </w:r>
    </w:p>
    <w:p>
      <w:pPr>
        <w:spacing w:after="120" w:line="276"/>
      </w:pPr>
      <w:r>
        <w:t xml:space="preserve">[To be completed.] Target founding coverage: industrial/furniture design and DFMA; computational design and software for the parametric configurator and digital thread; and operations/supply-chain leadership with contract-manufacturing and institutional-sales experience. Near-term hires align to the seed milestones above; a design-and-fabrication advisory bench and accessibility consultants round out early governance.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14 · Milestones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0–6 mo: </w:t>
      </w:r>
      <w:r>
        <w:t xml:space="preserve">instrumented flagship prototype; parametric model; first fabrication partner signed.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6–12 mo: </w:t>
      </w:r>
      <w:r>
        <w:t xml:space="preserve">3–5 lighthouse pilots live; configurator MVP; validated unit cost and DFMA/flat-pack.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12–24 mo: </w:t>
      </w:r>
      <w:r>
        <w:t xml:space="preserve">Phase 2 production in-region; first licensing conversations; Series 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24 mo+: </w:t>
      </w:r>
      <w:r>
        <w:t xml:space="preserve">replicate microfactory pattern metro-by-metro; introduce LFAM tops and takeback loop.</w:t>
      </w:r>
    </w:p>
    <w:p>
      <w:pPr>
        <w:pBdr>
          <w:bottom w:val="single" w:color="C9D2DA" w:sz="6"/>
        </w:pBdr>
        <w:spacing w:after="120" w:before="40"/>
      </w:pPr>
    </w:p>
    <w:p>
      <w:r>
        <w:rPr>
          <w:i/>
          <w:iCs/>
          <w:color w:val="5A5A5A"/>
          <w:sz w:val="18"/>
          <w:szCs w:val="18"/>
        </w:rPr>
        <w:t xml:space="preserve">Appendices available separately: plan-view drawing, one-page build specification, and the productionization playbook (phased roadmap, make/buy/print sourcing matrix, and factory-model brief).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A" w:sz="4"/>
      </w:pBdr>
      <w:spacing w:before="60"/>
      <w:jc w:val="center"/>
    </w:pPr>
    <w:r>
      <w:rPr>
        <w:color w:val="5A5A5A"/>
        <w:sz w:val="16"/>
        <w:szCs w:val="16"/>
      </w:rPr>
      <w:t xml:space="preserve">RIBBON — Business Plan  ·  Confidential  ·  </w:t>
    </w:r>
    <w:r>
      <w:rPr>
        <w:color w:val="5A5A5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9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095c241b975b5ca429a617ee415d2030fedb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RIBBON — Business Plan</dc:title>
  <dc:creator>RIBBON (working name)</dc:creator>
  <cp:lastModifiedBy>Un-named</cp:lastModifiedBy>
  <cp:revision>1</cp:revision>
  <dcterms:created xsi:type="dcterms:W3CDTF">2026-08-08T23:00:59.575Z</dcterms:created>
  <dcterms:modified xsi:type="dcterms:W3CDTF">2026-08-08T23:00:59.589Z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