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2838"/>
          <w:sz w:val="52"/>
          <w:szCs w:val="52"/>
        </w:rPr>
        <w:t xml:space="preserve">LedgerLaw.ai</w:t>
      </w:r>
    </w:p>
    <w:p>
      <w:pPr>
        <w:spacing w:after="40"/>
      </w:pPr>
      <w:r>
        <w:rPr>
          <w:rFonts w:ascii="Arial" w:cs="Arial" w:eastAsia="Arial" w:hAnsi="Arial"/>
          <w:color w:val="3D6B8E"/>
          <w:sz w:val="28"/>
          <w:szCs w:val="28"/>
        </w:rPr>
        <w:t xml:space="preserve">AI-Powered Legal Intelligence Platform</w:t>
      </w:r>
    </w:p>
    <w:p>
      <w:pPr>
        <w:spacing w:after="200"/>
      </w:pPr>
      <w:r>
        <w:rPr>
          <w:rFonts w:ascii="Arial" w:cs="Arial" w:eastAsia="Arial" w:hAnsi="Arial"/>
          <w:color w:val="6A8498"/>
          <w:sz w:val="22"/>
          <w:szCs w:val="22"/>
        </w:rPr>
        <w:t xml:space="preserve">Developer Summary &amp; Technical Specification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Client</w:t>
            </w:r>
          </w:p>
        </w:tc>
        <w:tc>
          <w:tcPr>
            <w:tcW w:type="dxa" w:w="74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The Ledger Law Firm, A Professional Law Corporation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Principal</w:t>
            </w:r>
          </w:p>
        </w:tc>
        <w:tc>
          <w:tcPr>
            <w:tcW w:type="dxa" w:w="74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Emery Brett Ledger, Esq. — Founding Partner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Domain</w:t>
            </w:r>
          </w:p>
        </w:tc>
        <w:tc>
          <w:tcPr>
            <w:tcW w:type="dxa" w:w="74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ledgerlaw.ai (registered Feb 2026)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Firm Website</w:t>
            </w:r>
          </w:p>
        </w:tc>
        <w:tc>
          <w:tcPr>
            <w:tcW w:type="dxa" w:w="74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ledgerlaw.com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Location</w:t>
            </w:r>
          </w:p>
        </w:tc>
        <w:tc>
          <w:tcPr>
            <w:tcW w:type="dxa" w:w="74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Rancho Santa Margarita, CA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Document Date</w:t>
            </w:r>
          </w:p>
        </w:tc>
        <w:tc>
          <w:tcPr>
            <w:tcW w:type="dxa" w:w="74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February 11, 2026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74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v2.0 — Post-Rebrand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4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Confidential — Attorney Work Product</w:t>
            </w:r>
          </w:p>
        </w:tc>
      </w:tr>
    </w:tbl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sz w:val="21"/>
          <w:szCs w:val="21"/>
        </w:rPr>
        <w:t xml:space="preserve">LedgerLaw.ai is a proprietary AI-powered legal intelligence platform built for personal injury litigation. It generates Colossus-optimized demand letters, predicts carrier objections, performs case valuation, and provides a full suite of AI-assisted legal tools — all in a single web application.</w:t>
      </w:r>
    </w:p>
    <w:p>
      <w:pPr>
        <w:spacing w:after="120"/>
      </w:pPr>
      <w:r>
        <w:rPr>
          <w:sz w:val="21"/>
          <w:szCs w:val="21"/>
        </w:rPr>
        <w:t xml:space="preserve">The platform directly competes with EvenUp ($1B+ valuation, $500+/demand), DemandPro, ProPlaintiff, Precedent, Tavrn, and others — at a fraction of the cost (~$12/demand via Anthropic API). The key differentiator is the proprietary </w:t>
      </w:r>
      <w:r>
        <w:rPr>
          <w:b/>
          <w:bCs/>
          <w:sz w:val="21"/>
          <w:szCs w:val="21"/>
        </w:rPr>
        <w:t xml:space="preserve">Reverse Colossus™ Engine</w:t>
      </w:r>
      <w:r>
        <w:rPr>
          <w:sz w:val="21"/>
          <w:szCs w:val="21"/>
        </w:rPr>
        <w:t xml:space="preserve">, which reverse-engineers insurance carrier claim evaluation software to optimize demand formatting for maximum settlement authority.</w:t>
      </w:r>
    </w:p>
    <w:p>
      <w:pPr>
        <w:pStyle w:val="Heading1"/>
      </w:pPr>
      <w:r>
        <w:t xml:space="preserve">2. Current State — What’s Built</w:t>
      </w:r>
    </w:p>
    <w:p>
      <w:pPr>
        <w:spacing w:after="120"/>
      </w:pPr>
      <w:r>
        <w:rPr>
          <w:sz w:val="21"/>
          <w:szCs w:val="21"/>
        </w:rPr>
        <w:t xml:space="preserve">The complete frontend prototype is built as a single-file React application (479 lines, 68KB). It is a fully interactive, production-quality UI with 18 functional pages, embedded data models, and simulated AI workflows. It is ready for backend integration.</w:t>
      </w:r>
    </w:p>
    <w:p>
      <w:pPr>
        <w:pStyle w:val="Heading2"/>
      </w:pPr>
      <w:r>
        <w:t xml:space="preserve">2.1 Deliverables Provided to Developer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5040"/>
      </w:tblGrid>
      <w:tr>
        <w:tc>
          <w:tcPr>
            <w:tcW w:type="dxa" w:w="3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UI Prototype (React JSX)</w:t>
            </w:r>
          </w:p>
        </w:tc>
        <w:tc>
          <w:tcPr>
            <w:tcW w:type="dxa" w:w="1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D7A65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50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LedgerLaw-ai-v2.jsx — 18 pages, full interactive app</w:t>
            </w:r>
          </w:p>
        </w:tc>
      </w:tr>
      <w:tr>
        <w:tc>
          <w:tcPr>
            <w:tcW w:type="dxa" w:w="3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IT Deployment Guide</w:t>
            </w:r>
          </w:p>
        </w:tc>
        <w:tc>
          <w:tcPr>
            <w:tcW w:type="dxa" w:w="1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D7A65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50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18-section .docx with all code snippets, schema, configs</w:t>
            </w:r>
          </w:p>
        </w:tc>
      </w:tr>
      <w:tr>
        <w:tc>
          <w:tcPr>
            <w:tcW w:type="dxa" w:w="3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Database Schema</w:t>
            </w:r>
          </w:p>
        </w:tc>
        <w:tc>
          <w:tcPr>
            <w:tcW w:type="dxa" w:w="1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D7A65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50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PostgreSQL: cases, demands, documents, users, carriers</w:t>
            </w:r>
          </w:p>
        </w:tc>
      </w:tr>
      <w:tr>
        <w:tc>
          <w:tcPr>
            <w:tcW w:type="dxa" w:w="3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Backend API Design</w:t>
            </w:r>
          </w:p>
        </w:tc>
        <w:tc>
          <w:tcPr>
            <w:tcW w:type="dxa" w:w="1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D7A65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50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Express.js + Anthropic Claude API integration</w:t>
            </w:r>
          </w:p>
        </w:tc>
      </w:tr>
      <w:tr>
        <w:tc>
          <w:tcPr>
            <w:tcW w:type="dxa" w:w="3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Auth Architecture</w:t>
            </w:r>
          </w:p>
        </w:tc>
        <w:tc>
          <w:tcPr>
            <w:tcW w:type="dxa" w:w="1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D7A65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50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Clerk-based roles: Partner, Associate, Paralegal, etc.</w:t>
            </w:r>
          </w:p>
        </w:tc>
      </w:tr>
      <w:tr>
        <w:tc>
          <w:tcPr>
            <w:tcW w:type="dxa" w:w="3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Branding Assets</w:t>
            </w:r>
          </w:p>
        </w:tc>
        <w:tc>
          <w:tcPr>
            <w:tcW w:type="dxa" w:w="1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D7A65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50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SVG logo mark, color palette, DM Sans + Playfair Display</w:t>
            </w:r>
          </w:p>
        </w:tc>
      </w:tr>
      <w:tr>
        <w:tc>
          <w:tcPr>
            <w:tcW w:type="dxa" w:w="3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Competitive Analysis</w:t>
            </w:r>
          </w:p>
        </w:tc>
        <w:tc>
          <w:tcPr>
            <w:tcW w:type="dxa" w:w="1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D7A65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50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8-competitor analysis: EvenUp, DemandPro, ProPlaintiff, etc.</w:t>
            </w:r>
          </w:p>
        </w:tc>
      </w:tr>
      <w:tr>
        <w:tc>
          <w:tcPr>
            <w:tcW w:type="dxa" w:w="3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Toptal Project Brief</w:t>
            </w:r>
          </w:p>
        </w:tc>
        <w:tc>
          <w:tcPr>
            <w:tcW w:type="dxa" w:w="1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D7A65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50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Developer hiring brief with 5-7 day timeline</w:t>
            </w:r>
          </w:p>
        </w:tc>
      </w:tr>
    </w:tbl>
    <w:p>
      <w:pPr>
        <w:pStyle w:val="Heading1"/>
      </w:pPr>
      <w:r>
        <w:t xml:space="preserve">3. Application Pages (18 Total)</w:t>
      </w:r>
    </w:p>
    <w:p>
      <w:pPr>
        <w:pStyle w:val="Heading2"/>
      </w:pPr>
      <w:r>
        <w:t xml:space="preserve">3.1 Core Workflow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4840"/>
      </w:tblGrid>
      <w:tr>
        <w:tc>
          <w:tcPr>
            <w:tcW w:type="dxa" w:w="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Key</w:t>
            </w:r>
          </w:p>
        </w:tc>
        <w:tc>
          <w:tcPr>
            <w:tcW w:type="dxa" w:w="4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dash</w:t>
            </w:r>
          </w:p>
        </w:tc>
        <w:tc>
          <w:tcPr>
            <w:tcW w:type="dxa" w:w="4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Hero banner with LedgerLaw.ai logo, 4 stat cards (active cases, demands generated, settled, avg time), recent cases table, AI engine status panel, monthly cost savings vs competitors</w:t>
            </w:r>
          </w:p>
        </w:tc>
      </w:tr>
      <w:tr>
        <w:tc>
          <w:tcPr>
            <w:tcW w:type="dxa" w:w="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Cases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cases</w:t>
            </w:r>
          </w:p>
        </w:tc>
        <w:tc>
          <w:tcPr>
            <w:tcW w:type="dxa" w:w="4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Filterable case list with search, status badges, carrier badges. 7 sample cases with full metadata (client, type, carrier, medicals, demand, policy, attorney)</w:t>
            </w:r>
          </w:p>
        </w:tc>
      </w:tr>
      <w:tr>
        <w:tc>
          <w:tcPr>
            <w:tcW w:type="dxa" w:w="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Intake Screening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intake</w:t>
            </w:r>
          </w:p>
        </w:tc>
        <w:tc>
          <w:tcPr>
            <w:tcW w:type="dxa" w:w="4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AI-powered new case intake form. Simulates viability assessment, value range prediction, Colossus prediction, red flag detection. Outputs: STRONG/WEAK + accept/reject recommendation</w:t>
            </w:r>
          </w:p>
        </w:tc>
      </w:tr>
      <w:tr>
        <w:tc>
          <w:tcPr>
            <w:tcW w:type="dxa" w:w="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New Demand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new</w:t>
            </w:r>
          </w:p>
        </w:tc>
        <w:tc>
          <w:tcPr>
            <w:tcW w:type="dxa" w:w="4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4-step wizard: Case Info → Upload Medical Records → Customize (tone, Colossus level, verdict inclusion, amount strategy) → Generated output with stats (pages, ICD codes, exhibits, redactions)</w:t>
            </w:r>
          </w:p>
        </w:tc>
      </w:tr>
    </w:tbl>
    <w:p>
      <w:pPr>
        <w:pStyle w:val="Heading2"/>
      </w:pPr>
      <w:r>
        <w:t xml:space="preserve">3.2 Competitive Edge (Proprietary)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4840"/>
      </w:tblGrid>
      <w:tr>
        <w:tc>
          <w:tcPr>
            <w:tcW w:type="dxa" w:w="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Key</w:t>
            </w:r>
          </w:p>
        </w:tc>
        <w:tc>
          <w:tcPr>
            <w:tcW w:type="dxa" w:w="4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Reverse Colossus™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colossus</w:t>
            </w:r>
          </w:p>
        </w:tc>
        <w:tc>
          <w:tcPr>
            <w:tcW w:type="dxa" w:w="4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Proprietary engine. Carrier selector (14 carriers with Colossus/ClaimIQ/proprietary AI info + adherence levels). 3 tabs: 10-step demand optimizer, 19 value drivers with weights, documentation checklist (15 items)</w:t>
            </w:r>
          </w:p>
        </w:tc>
      </w:tr>
      <w:tr>
        <w:tc>
          <w:tcPr>
            <w:tcW w:type="dxa" w:w="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Carrier Objections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objections</w:t>
            </w:r>
          </w:p>
        </w:tc>
        <w:tc>
          <w:tcPr>
            <w:tcW w:type="dxa" w:w="4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AI predicts 5 objection categories (treatment gaps, pre-existing, property damage mismatch, delayed imaging, subjective pain) with severity + counter-argument for each</w:t>
            </w:r>
          </w:p>
        </w:tc>
      </w:tr>
      <w:tr>
        <w:tc>
          <w:tcPr>
            <w:tcW w:type="dxa" w:w="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Case Valuation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casevalue</w:t>
            </w:r>
          </w:p>
        </w:tc>
        <w:tc>
          <w:tcPr>
            <w:tcW w:type="dxa" w:w="4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9-field assessment form. Outputs: low/expected/high value range + 6 strength indicator bars (liability, documentation, Colossus score, venue, attorney record, treatment consistency)</w:t>
            </w:r>
          </w:p>
        </w:tc>
      </w:tr>
    </w:tbl>
    <w:p>
      <w:pPr>
        <w:pStyle w:val="Heading2"/>
      </w:pPr>
      <w:r>
        <w:t xml:space="preserve">3.3 Research &amp; Analysis Tools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4840"/>
      </w:tblGrid>
      <w:tr>
        <w:tc>
          <w:tcPr>
            <w:tcW w:type="dxa" w:w="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Key</w:t>
            </w:r>
          </w:p>
        </w:tc>
        <w:tc>
          <w:tcPr>
            <w:tcW w:type="dxa" w:w="4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Med Chronology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chrono</w:t>
            </w:r>
          </w:p>
        </w:tc>
        <w:tc>
          <w:tcPr>
            <w:tcW w:type="dxa" w:w="4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AI-generated treatment timeline from medical records. 6 sample events with dates, providers, types, diagnoses, medications</w:t>
            </w:r>
          </w:p>
        </w:tc>
      </w:tr>
      <w:tr>
        <w:tc>
          <w:tcPr>
            <w:tcW w:type="dxa" w:w="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Damages Calculator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damages</w:t>
            </w:r>
          </w:p>
        </w:tc>
        <w:tc>
          <w:tcPr>
            <w:tcW w:type="dxa" w:w="4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Live-calculating economic damages (5 fields: past/future medical, past/future wages, property). P&amp;S multipliers (1.5x-5x). Dynamic demand range output</w:t>
            </w:r>
          </w:p>
        </w:tc>
      </w:tr>
      <w:tr>
        <w:tc>
          <w:tcPr>
            <w:tcW w:type="dxa" w:w="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Verdict Research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verdicts</w:t>
            </w:r>
          </w:p>
        </w:tc>
        <w:tc>
          <w:tcPr>
            <w:tcW w:type="dxa" w:w="4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Searchable verdict database (6.5M+ cases). Filterable by jurisdiction. 6 sample verdicts with case name, year, venue, type, injuries, award amount</w:t>
            </w:r>
          </w:p>
        </w:tc>
      </w:tr>
      <w:tr>
        <w:tc>
          <w:tcPr>
            <w:tcW w:type="dxa" w:w="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ICD-10 Code Engine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icd</w:t>
            </w:r>
          </w:p>
        </w:tc>
        <w:tc>
          <w:tcPr>
            <w:tcW w:type="dxa" w:w="4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24 PI-specific ICD-10 codes with severity levels and Colossus point values. Interactive selection with live Colossus score calculation. Searchable by code or description</w:t>
            </w:r>
          </w:p>
        </w:tc>
      </w:tr>
    </w:tbl>
    <w:p>
      <w:pPr>
        <w:pStyle w:val="Heading2"/>
      </w:pPr>
      <w:r>
        <w:t xml:space="preserve">3.4 AI-Powered Tools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4840"/>
      </w:tblGrid>
      <w:tr>
        <w:tc>
          <w:tcPr>
            <w:tcW w:type="dxa" w:w="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Key</w:t>
            </w:r>
          </w:p>
        </w:tc>
        <w:tc>
          <w:tcPr>
            <w:tcW w:type="dxa" w:w="4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AI Case Chat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chat</w:t>
            </w:r>
          </w:p>
        </w:tc>
        <w:tc>
          <w:tcPr>
            <w:tcW w:type="dxa" w:w="4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Claude-powered conversational interface. Upload documents and ask questions. Simulated response with case-specific analysis including Colossus scoring and comparable verdicts</w:t>
            </w:r>
          </w:p>
        </w:tc>
      </w:tr>
      <w:tr>
        <w:tc>
          <w:tcPr>
            <w:tcW w:type="dxa" w:w="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eDiscovery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ediscovery</w:t>
            </w:r>
          </w:p>
        </w:tc>
        <w:tc>
          <w:tcPr>
            <w:tcW w:type="dxa" w:w="4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Document upload with AI auto-tagging. 7 sample documents with page counts, tags (Medical, Liability, Carrier, Imaging), relevance scoring (High/Med/Low)</w:t>
            </w:r>
          </w:p>
        </w:tc>
      </w:tr>
      <w:tr>
        <w:tc>
          <w:tcPr>
            <w:tcW w:type="dxa" w:w="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Contract Review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contracts</w:t>
            </w:r>
          </w:p>
        </w:tc>
        <w:tc>
          <w:tcPr>
            <w:tcW w:type="dxa" w:w="4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AI clause analysis. 5 sample clauses with risk levels (HIGH/MED/LOW), issue descriptions, and recommended fixes. Powered by Anthropic Cowork Legal Plugin</w:t>
            </w:r>
          </w:p>
        </w:tc>
      </w:tr>
      <w:tr>
        <w:tc>
          <w:tcPr>
            <w:tcW w:type="dxa" w:w="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AI Drafts Suite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drafts</w:t>
            </w:r>
          </w:p>
        </w:tc>
        <w:tc>
          <w:tcPr>
            <w:tcW w:type="dxa" w:w="4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9 document types: Demand Letter, Discovery Response, Mediation Brief, Settlement Agreement, Motion, Client Letter, Arbitration Brief, Expert Witness Letter, Lien Negotiation</w:t>
            </w:r>
          </w:p>
        </w:tc>
      </w:tr>
    </w:tbl>
    <w:p>
      <w:pPr>
        <w:pStyle w:val="Heading2"/>
      </w:pPr>
      <w:r>
        <w:t xml:space="preserve">3.5 Administration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4840"/>
      </w:tblGrid>
      <w:tr>
        <w:tc>
          <w:tcPr>
            <w:tcW w:type="dxa" w:w="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Key</w:t>
            </w:r>
          </w:p>
        </w:tc>
        <w:tc>
          <w:tcPr>
            <w:tcW w:type="dxa" w:w="4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16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Team &amp; Users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users</w:t>
            </w:r>
          </w:p>
        </w:tc>
        <w:tc>
          <w:tcPr>
            <w:tcW w:type="dxa" w:w="4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6 team members with @ledgerlaw.ai emails. Roles: Partner, Sr. Associate, Associate, Paralegal, Case Manager, Legal Assistant. Active/Invited status</w:t>
            </w:r>
          </w:p>
        </w:tc>
      </w:tr>
      <w:tr>
        <w:tc>
          <w:tcPr>
            <w:tcW w:type="dxa" w:w="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17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settings</w:t>
            </w:r>
          </w:p>
        </w:tc>
        <w:tc>
          <w:tcPr>
            <w:tcW w:type="dxa" w:w="4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Firm info, AI model selection (Claude Sonnet 4 / Opus 4.5), default tone, Colossus optimization mode, auto-redact PII toggle, letterhead upload</w:t>
            </w:r>
          </w:p>
        </w:tc>
      </w:tr>
    </w:tbl>
    <w:p>
      <w:pPr>
        <w:pStyle w:val="Heading1"/>
      </w:pPr>
      <w:r>
        <w:t xml:space="preserve">4. Technical Architecture</w:t>
      </w:r>
    </w:p>
    <w:p>
      <w:pPr>
        <w:pStyle w:val="Heading2"/>
      </w:pPr>
      <w:r>
        <w:t xml:space="preserve">4.1 Technology Stack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240"/>
      </w:tblGrid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2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React 18 + Vite</w:t>
            </w:r>
          </w:p>
        </w:tc>
        <w:tc>
          <w:tcPr>
            <w:tcW w:type="dxa" w:w="42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Single-file JSX prototype; split into components at deploy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Inline styles + CSS vars</w:t>
            </w:r>
          </w:p>
        </w:tc>
        <w:tc>
          <w:tcPr>
            <w:tcW w:type="dxa" w:w="42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DM Sans (body), Playfair Display (headings), JetBrains Mono (code)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Node.js + Express.js</w:t>
            </w:r>
          </w:p>
        </w:tc>
        <w:tc>
          <w:tcPr>
            <w:tcW w:type="dxa" w:w="42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~60 lines. Routes for demand generation, case CRUD, AI chat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AI Engine</w:t>
            </w:r>
          </w:p>
        </w:tc>
        <w:tc>
          <w:tcPr>
            <w:tcW w:type="dxa" w:w="3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Anthropic Claude API</w:t>
            </w:r>
          </w:p>
        </w:tc>
        <w:tc>
          <w:tcPr>
            <w:tcW w:type="dxa" w:w="42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claude-sonnet-4-20250514. Server-side only. Never expose key.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42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Tables: cases, demands, documents, users, carriers, verdicts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Clerk (React SDK)</w:t>
            </w:r>
          </w:p>
        </w:tc>
        <w:tc>
          <w:tcPr>
            <w:tcW w:type="dxa" w:w="42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MFA enabled. Roles: Partner, Associate, Paralegal, etc.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Vercel (Pro)</w:t>
            </w:r>
          </w:p>
        </w:tc>
        <w:tc>
          <w:tcPr>
            <w:tcW w:type="dxa" w:w="42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Auto-deploy from GitHub. Custom domain: ledgerlaw.ai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ledgerlaw.ai</w:t>
            </w:r>
          </w:p>
        </w:tc>
        <w:tc>
          <w:tcPr>
            <w:tcW w:type="dxa" w:w="42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Registered Feb 2026. DNS: Vercel CNAME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CRM Sync</w:t>
            </w:r>
          </w:p>
        </w:tc>
        <w:tc>
          <w:tcPr>
            <w:tcW w:type="dxa" w:w="3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Salesforce (jsforce)</w:t>
            </w:r>
          </w:p>
        </w:tc>
        <w:tc>
          <w:tcPr>
            <w:tcW w:type="dxa" w:w="42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Optional. Bi-directional case sync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Doc Generation</w:t>
            </w:r>
          </w:p>
        </w:tc>
        <w:tc>
          <w:tcPr>
            <w:tcW w:type="dxa" w:w="3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docx npm package</w:t>
            </w:r>
          </w:p>
        </w:tc>
        <w:tc>
          <w:tcPr>
            <w:tcW w:type="dxa" w:w="42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Demand letters on firm letterhead (.docx output)</w:t>
            </w:r>
          </w:p>
        </w:tc>
      </w:tr>
    </w:tbl>
    <w:p>
      <w:pPr>
        <w:pStyle w:val="Heading1"/>
      </w:pPr>
      <w:r>
        <w:t xml:space="preserve">5. Embedded Data Models</w:t>
      </w:r>
    </w:p>
    <w:p>
      <w:pPr>
        <w:pStyle w:val="Heading2"/>
      </w:pPr>
      <w:r>
        <w:t xml:space="preserve">5.1 Carrier Intelligence Database (14 carriers)</w:t>
      </w:r>
    </w:p>
    <w:p>
      <w:pPr>
        <w:spacing w:after="100"/>
      </w:pPr>
      <w:r>
        <w:rPr>
          <w:sz w:val="21"/>
          <w:szCs w:val="21"/>
        </w:rPr>
        <w:t xml:space="preserve">Each carrier entry includes: claim evaluation software (Colossus / ClaimIQ / Internal AI), adherence level (Very High to Low), and tactical intelligence notes for adjusters.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Allstate: Colossus, Very High adherence — most wedded, will litigate before exceeding range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State Farm: ClaimIQ (Mitchell), Medium — proprietary system, different weighting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GEICO: Internal AI, High — extremely aggressive on soft tissue, prefers litigation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Also includes: Progressive, Farmers, Travelers, USAA, Hartford, Liberty Mutual, Nationwide, MetLife, Erie, Zurich, CA State Auto</w:t>
      </w:r>
    </w:p>
    <w:p>
      <w:pPr>
        <w:pStyle w:val="Heading2"/>
      </w:pPr>
      <w:r>
        <w:t xml:space="preserve">5.2 Colossus Value Drivers (19 factors)</w:t>
      </w:r>
    </w:p>
    <w:p>
      <w:pPr>
        <w:spacing w:after="100"/>
      </w:pPr>
      <w:r>
        <w:rPr>
          <w:sz w:val="21"/>
          <w:szCs w:val="21"/>
        </w:rPr>
        <w:t xml:space="preserve">Categorized by weight: HIGHEST (Permanent Injury), PRIMARY (ICD Severity), HIGH (AMA Rating, Surgery, Hospital, Demonstrable Evidence, Prognosis), MEDIUM (Treatment Duration, ADLs, Loss of Enjoyment, Medication, PT), CONDITIONAL (Mental Health), NEGATIVE (Treatment Gaps, Pre-Existing), MODIFIER (Seatbelt, Attorney Record, Venue, Aggravated Liability).</w:t>
      </w:r>
    </w:p>
    <w:p>
      <w:pPr>
        <w:pStyle w:val="Heading2"/>
      </w:pPr>
      <w:r>
        <w:t xml:space="preserve">5.3 ICD-10 Code Database (24 PI codes)</w:t>
      </w:r>
    </w:p>
    <w:p>
      <w:pPr>
        <w:spacing w:after="100"/>
      </w:pPr>
      <w:r>
        <w:rPr>
          <w:sz w:val="21"/>
          <w:szCs w:val="21"/>
        </w:rPr>
        <w:t xml:space="preserve">Each code includes: ICD-10 code, description, severity level (Mild through V.Sev), and Colossus point value (2-8). Codes span cervical/thoracic/lumbar injuries, fractures, TBI, PTSD, depression, insomnia, and orthopedic injuries (rotator cuff, ACL, MCL).</w:t>
      </w:r>
    </w:p>
    <w:p>
      <w:pPr>
        <w:pStyle w:val="Heading2"/>
      </w:pPr>
      <w:r>
        <w:t xml:space="preserve">5.4 Case Types (13 supported)</w:t>
      </w:r>
    </w:p>
    <w:p>
      <w:pPr>
        <w:spacing w:after="100"/>
      </w:pPr>
      <w:r>
        <w:rPr>
          <w:sz w:val="21"/>
          <w:szCs w:val="21"/>
        </w:rPr>
        <w:t xml:space="preserve">Motor Vehicle, Truck, Motorcycle, Rideshare, Bicycle, Pedestrian, Slip &amp; Fall, Premises Liability, Dog Bite, Product Liability, Workplace Injury, Wrongful Death, Mass Tort.</w:t>
      </w:r>
    </w:p>
    <w:p>
      <w:pPr>
        <w:pStyle w:val="Heading1"/>
      </w:pPr>
      <w:r>
        <w:t xml:space="preserve">6. Design System &amp; Branding</w:t>
      </w:r>
    </w:p>
    <w:p>
      <w:pPr>
        <w:pStyle w:val="Heading2"/>
      </w:pPr>
      <w:r>
        <w:t xml:space="preserve">6.1 Logo</w:t>
      </w:r>
    </w:p>
    <w:p>
      <w:pPr>
        <w:spacing w:after="100"/>
      </w:pPr>
      <w:r>
        <w:rPr>
          <w:sz w:val="21"/>
          <w:szCs w:val="21"/>
        </w:rPr>
        <w:t xml:space="preserve">SVG logo mark: geometric "L" letterform + hexagonal AI motif with node accent. Rendered in sidebar (28x28) and Dashboard hero (56x56). Color: #5BA4D9 (sky blue) on dark navy background.</w:t>
      </w:r>
    </w:p>
    <w:p>
      <w:pPr>
        <w:pStyle w:val="Heading2"/>
      </w:pPr>
      <w:r>
        <w:t xml:space="preserve">6.2 Color Palette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640"/>
      </w:tblGrid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6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Primary (Steel Blue)</w:t>
            </w:r>
          </w:p>
        </w:tc>
        <w:tc>
          <w:tcPr>
            <w:tcW w:type="dxa" w:w="18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#3D6B8E</w:t>
            </w:r>
          </w:p>
        </w:tc>
        <w:tc>
          <w:tcPr>
            <w:tcW w:type="dxa" w:w="56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Buttons, links, active states, primary accents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Sidebar (Navy)</w:t>
            </w:r>
          </w:p>
        </w:tc>
        <w:tc>
          <w:tcPr>
            <w:tcW w:type="dxa" w:w="18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#1B2838</w:t>
            </w:r>
          </w:p>
        </w:tc>
        <w:tc>
          <w:tcPr>
            <w:tcW w:type="dxa" w:w="56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Sidebar background, heading text, title bar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Sidebar Accent</w:t>
            </w:r>
          </w:p>
        </w:tc>
        <w:tc>
          <w:tcPr>
            <w:tcW w:type="dxa" w:w="18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#5BA4D9</w:t>
            </w:r>
          </w:p>
        </w:tc>
        <w:tc>
          <w:tcPr>
            <w:tcW w:type="dxa" w:w="56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Logo, active nav highlight, avatar ring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Sage Green</w:t>
            </w:r>
          </w:p>
        </w:tc>
        <w:tc>
          <w:tcPr>
            <w:tcW w:type="dxa" w:w="18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#4D7A65</w:t>
            </w:r>
          </w:p>
        </w:tc>
        <w:tc>
          <w:tcPr>
            <w:tcW w:type="dxa" w:w="56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Settled status, positive secondary indicators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Gold</w:t>
            </w:r>
          </w:p>
        </w:tc>
        <w:tc>
          <w:tcPr>
            <w:tcW w:type="dxa" w:w="18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#8B7332</w:t>
            </w:r>
          </w:p>
        </w:tc>
        <w:tc>
          <w:tcPr>
            <w:tcW w:type="dxa" w:w="56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Proprietary badges, warning-adjacent indicators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Success Green</w:t>
            </w:r>
          </w:p>
        </w:tc>
        <w:tc>
          <w:tcPr>
            <w:tcW w:type="dxa" w:w="18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#2A8650</w:t>
            </w:r>
          </w:p>
        </w:tc>
        <w:tc>
          <w:tcPr>
            <w:tcW w:type="dxa" w:w="56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Confirmed, active, connected states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Error Red</w:t>
            </w:r>
          </w:p>
        </w:tc>
        <w:tc>
          <w:tcPr>
            <w:tcW w:type="dxa" w:w="18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#B83A2D</w:t>
            </w:r>
          </w:p>
        </w:tc>
        <w:tc>
          <w:tcPr>
            <w:tcW w:type="dxa" w:w="56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High severity, rejection, critical alerts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Warning Amber</w:t>
            </w:r>
          </w:p>
        </w:tc>
        <w:tc>
          <w:tcPr>
            <w:tcW w:type="dxa" w:w="18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#A67B0C</w:t>
            </w:r>
          </w:p>
        </w:tc>
        <w:tc>
          <w:tcPr>
            <w:tcW w:type="dxa" w:w="56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Review needed, medium severity, treatment gaps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Purple</w:t>
            </w:r>
          </w:p>
        </w:tc>
        <w:tc>
          <w:tcPr>
            <w:tcW w:type="dxa" w:w="18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#6B4A9E</w:t>
            </w:r>
          </w:p>
        </w:tc>
        <w:tc>
          <w:tcPr>
            <w:tcW w:type="dxa" w:w="56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Settled status badge, ICD engine accent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Blue</w:t>
            </w:r>
          </w:p>
        </w:tc>
        <w:tc>
          <w:tcPr>
            <w:tcW w:type="dxa" w:w="18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#2B72B0</w:t>
            </w:r>
          </w:p>
        </w:tc>
        <w:tc>
          <w:tcPr>
            <w:tcW w:type="dxa" w:w="56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eDiscovery badge, Cowork plugin indicator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#F3F5F8</w:t>
            </w:r>
          </w:p>
        </w:tc>
        <w:tc>
          <w:tcPr>
            <w:tcW w:type="dxa" w:w="56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Main content area background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#FFFFFF</w:t>
            </w:r>
          </w:p>
        </w:tc>
        <w:tc>
          <w:tcPr>
            <w:tcW w:type="dxa" w:w="56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Card backgrounds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Text Primary</w:t>
            </w:r>
          </w:p>
        </w:tc>
        <w:tc>
          <w:tcPr>
            <w:tcW w:type="dxa" w:w="18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#1A2A38</w:t>
            </w:r>
          </w:p>
        </w:tc>
        <w:tc>
          <w:tcPr>
            <w:tcW w:type="dxa" w:w="56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Main body text</w:t>
            </w:r>
          </w:p>
        </w:tc>
      </w:tr>
      <w:tr>
        <w:tc>
          <w:tcPr>
            <w:tcW w:type="dxa" w:w="2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Text Muted</w:t>
            </w:r>
          </w:p>
        </w:tc>
        <w:tc>
          <w:tcPr>
            <w:tcW w:type="dxa" w:w="18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8E"/>
                <w:sz w:val="19"/>
                <w:szCs w:val="19"/>
              </w:rPr>
              <w:t xml:space="preserve">#6A8498</w:t>
            </w:r>
          </w:p>
        </w:tc>
        <w:tc>
          <w:tcPr>
            <w:tcW w:type="dxa" w:w="56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Labels, secondary information, timestamps</w:t>
            </w:r>
          </w:p>
        </w:tc>
      </w:tr>
    </w:tbl>
    <w:p>
      <w:pPr>
        <w:pStyle w:val="Heading2"/>
      </w:pPr>
      <w:r>
        <w:t xml:space="preserve">6.3 Typography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Display: Playfair Display (500/600/700) — page headings, sidebar brand name, hero text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Body: DM Sans (400/500/600/700) — all UI text, form labels, table data, navigation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Code: JetBrains Mono (400/500) — ICD-10 codes, technical identifiers</w:t>
      </w:r>
    </w:p>
    <w:p>
      <w:pPr>
        <w:pStyle w:val="Heading1"/>
      </w:pPr>
      <w:r>
        <w:t xml:space="preserve">7. Deployment Plan</w:t>
      </w:r>
    </w:p>
    <w:p>
      <w:pPr>
        <w:spacing w:after="100"/>
      </w:pPr>
      <w:r>
        <w:rPr>
          <w:sz w:val="21"/>
          <w:szCs w:val="21"/>
        </w:rPr>
        <w:t xml:space="preserve">Target: 5–7 working days. Budget: $2,000–$4,000 (Toptal hourly). Developer receives all files on Day 1.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840"/>
      </w:tblGrid>
      <w:tr>
        <w:tc>
          <w:tcPr>
            <w:tcW w:type="dxa" w:w="1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5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</w:tr>
      <w:tr>
        <w:tc>
          <w:tcPr>
            <w:tcW w:type="dxa" w:w="1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Day 1</w:t>
            </w:r>
          </w:p>
        </w:tc>
        <w:tc>
          <w:tcPr>
            <w:tcW w:type="dxa" w:w="2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6B8E"/>
                <w:sz w:val="19"/>
                <w:szCs w:val="19"/>
              </w:rPr>
              <w:t xml:space="preserve">Setup &amp; Deploy</w:t>
            </w:r>
          </w:p>
        </w:tc>
        <w:tc>
          <w:tcPr>
            <w:tcW w:type="dxa" w:w="5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Init Vite + React, integrate JSX prototype, push to GitHub, deploy to Vercel, confirm rendering at preview URL</w:t>
            </w:r>
          </w:p>
        </w:tc>
      </w:tr>
      <w:tr>
        <w:tc>
          <w:tcPr>
            <w:tcW w:type="dxa" w:w="1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Day 2</w:t>
            </w:r>
          </w:p>
        </w:tc>
        <w:tc>
          <w:tcPr>
            <w:tcW w:type="dxa" w:w="2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6B8E"/>
                <w:sz w:val="19"/>
                <w:szCs w:val="19"/>
              </w:rPr>
              <w:t xml:space="preserve">Database &amp; Auth</w:t>
            </w:r>
          </w:p>
        </w:tc>
        <w:tc>
          <w:tcPr>
            <w:tcW w:type="dxa" w:w="5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Supabase PostgreSQL schema, Clerk auth with firm domain, RBAC (Partner/Associate/Paralegal/CaseMgr/Admin)</w:t>
            </w:r>
          </w:p>
        </w:tc>
      </w:tr>
      <w:tr>
        <w:tc>
          <w:tcPr>
            <w:tcW w:type="dxa" w:w="1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Day 3</w:t>
            </w:r>
          </w:p>
        </w:tc>
        <w:tc>
          <w:tcPr>
            <w:tcW w:type="dxa" w:w="2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6B8E"/>
                <w:sz w:val="19"/>
                <w:szCs w:val="19"/>
              </w:rPr>
              <w:t xml:space="preserve">Backend &amp; AI</w:t>
            </w:r>
          </w:p>
        </w:tc>
        <w:tc>
          <w:tcPr>
            <w:tcW w:type="dxa" w:w="5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Express.js API, Anthropic Claude integration (server-side only), rate limiting (100 req/15min), security middleware</w:t>
            </w:r>
          </w:p>
        </w:tc>
      </w:tr>
      <w:tr>
        <w:tc>
          <w:tcPr>
            <w:tcW w:type="dxa" w:w="1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Day 4</w:t>
            </w:r>
          </w:p>
        </w:tc>
        <w:tc>
          <w:tcPr>
            <w:tcW w:type="dxa" w:w="2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6B8E"/>
                <w:sz w:val="19"/>
                <w:szCs w:val="19"/>
              </w:rPr>
              <w:t xml:space="preserve">Domain &amp; Integrations</w:t>
            </w:r>
          </w:p>
        </w:tc>
        <w:tc>
          <w:tcPr>
            <w:tcW w:type="dxa" w:w="5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Connect ledgerlaw.ai domain (Vercel CNAME), env vars, Salesforce sync (optional), .docx generation, PII auto-redaction</w:t>
            </w:r>
          </w:p>
        </w:tc>
      </w:tr>
      <w:tr>
        <w:tc>
          <w:tcPr>
            <w:tcW w:type="dxa" w:w="1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Days 5–7</w:t>
            </w:r>
          </w:p>
        </w:tc>
        <w:tc>
          <w:tcPr>
            <w:tcW w:type="dxa" w:w="26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6B8E"/>
                <w:sz w:val="19"/>
                <w:szCs w:val="19"/>
              </w:rPr>
              <w:t xml:space="preserve">QA &amp; Handoff</w:t>
            </w:r>
          </w:p>
        </w:tc>
        <w:tc>
          <w:tcPr>
            <w:tcW w:type="dxa" w:w="5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18-item test checklist, auth verification, API key audit, handoff call, deviation documentation</w:t>
            </w:r>
          </w:p>
        </w:tc>
      </w:tr>
    </w:tbl>
    <w:p>
      <w:pPr>
        <w:pStyle w:val="Heading1"/>
      </w:pPr>
      <w:r>
        <w:t xml:space="preserve">8. Security &amp; Compliance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Anthropic API key must ONLY exist in server-side environment variables — never exposed to browser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Auto-redaction of SSN and DOB from all text before sending to AI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Clerk MFA enabled for all user accounts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HTTPS only (Vercel handles automatically)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Rate limiting on all API endpoints (100 requests per 15 minutes)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HIPAA configuration checklist in deployment guide (Section 14)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Separate HIPAA compliance consultant and penetration testing to be engaged post-deployment</w:t>
      </w:r>
    </w:p>
    <w:p>
      <w:pPr>
        <w:pStyle w:val="Heading1"/>
      </w:pPr>
      <w:r>
        <w:t xml:space="preserve">9. Competitive Position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840"/>
      </w:tblGrid>
      <w:tr>
        <w:tc>
          <w:tcPr>
            <w:tcW w:type="dxa" w:w="20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0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Valuation</w:t>
            </w:r>
          </w:p>
        </w:tc>
        <w:tc>
          <w:tcPr>
            <w:tcW w:type="dxa" w:w="20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Price/Demand</w:t>
            </w:r>
          </w:p>
        </w:tc>
        <w:tc>
          <w:tcPr>
            <w:tcW w:type="dxa" w:w="3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LedgerLaw.ai Advantage</w:t>
            </w:r>
          </w:p>
        </w:tc>
      </w:tr>
      <w:tr>
        <w:tc>
          <w:tcPr>
            <w:tcW w:type="dxa" w:w="20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EvenUp</w:t>
            </w:r>
          </w:p>
        </w:tc>
        <w:tc>
          <w:tcPr>
            <w:tcW w:type="dxa" w:w="20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$1B+</w:t>
            </w:r>
          </w:p>
        </w:tc>
        <w:tc>
          <w:tcPr>
            <w:tcW w:type="dxa" w:w="20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$500+</w:t>
            </w:r>
          </w:p>
        </w:tc>
        <w:tc>
          <w:tcPr>
            <w:tcW w:type="dxa" w:w="3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Reverse Colossus™, 40x lower cost, attorney-built</w:t>
            </w:r>
          </w:p>
        </w:tc>
      </w:tr>
      <w:tr>
        <w:tc>
          <w:tcPr>
            <w:tcW w:type="dxa" w:w="20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DemandPro</w:t>
            </w:r>
          </w:p>
        </w:tc>
        <w:tc>
          <w:tcPr>
            <w:tcW w:type="dxa" w:w="20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Private</w:t>
            </w:r>
          </w:p>
        </w:tc>
        <w:tc>
          <w:tcPr>
            <w:tcW w:type="dxa" w:w="20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$400+</w:t>
            </w:r>
          </w:p>
        </w:tc>
        <w:tc>
          <w:tcPr>
            <w:tcW w:type="dxa" w:w="3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Broader tool suite (18 pages vs single-purpose)</w:t>
            </w:r>
          </w:p>
        </w:tc>
      </w:tr>
      <w:tr>
        <w:tc>
          <w:tcPr>
            <w:tcW w:type="dxa" w:w="20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ProPlaintiff</w:t>
            </w:r>
          </w:p>
        </w:tc>
        <w:tc>
          <w:tcPr>
            <w:tcW w:type="dxa" w:w="20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Private</w:t>
            </w:r>
          </w:p>
        </w:tc>
        <w:tc>
          <w:tcPr>
            <w:tcW w:type="dxa" w:w="20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$2,750/mo</w:t>
            </w:r>
          </w:p>
        </w:tc>
        <w:tc>
          <w:tcPr>
            <w:tcW w:type="dxa" w:w="3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No monthly minimum, pay-per-use API model</w:t>
            </w:r>
          </w:p>
        </w:tc>
      </w:tr>
      <w:tr>
        <w:tc>
          <w:tcPr>
            <w:tcW w:type="dxa" w:w="20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Precedent</w:t>
            </w:r>
          </w:p>
        </w:tc>
        <w:tc>
          <w:tcPr>
            <w:tcW w:type="dxa" w:w="20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Private</w:t>
            </w:r>
          </w:p>
        </w:tc>
        <w:tc>
          <w:tcPr>
            <w:tcW w:type="dxa" w:w="20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$500/mo</w:t>
            </w:r>
          </w:p>
        </w:tc>
        <w:tc>
          <w:tcPr>
            <w:tcW w:type="dxa" w:w="3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Colossus-specific optimization vs generic AI</w:t>
            </w:r>
          </w:p>
        </w:tc>
      </w:tr>
      <w:tr>
        <w:tc>
          <w:tcPr>
            <w:tcW w:type="dxa" w:w="20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Tavrn</w:t>
            </w:r>
          </w:p>
        </w:tc>
        <w:tc>
          <w:tcPr>
            <w:tcW w:type="dxa" w:w="20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$2M seed</w:t>
            </w:r>
          </w:p>
        </w:tc>
        <w:tc>
          <w:tcPr>
            <w:tcW w:type="dxa" w:w="20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$200+</w:t>
            </w:r>
          </w:p>
        </w:tc>
        <w:tc>
          <w:tcPr>
            <w:tcW w:type="dxa" w:w="3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Proprietary carrier intelligence database</w:t>
            </w:r>
          </w:p>
        </w:tc>
      </w:tr>
      <w:tr>
        <w:tc>
          <w:tcPr>
            <w:tcW w:type="dxa" w:w="20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Supio</w:t>
            </w:r>
          </w:p>
        </w:tc>
        <w:tc>
          <w:tcPr>
            <w:tcW w:type="dxa" w:w="20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Private</w:t>
            </w:r>
          </w:p>
        </w:tc>
        <w:tc>
          <w:tcPr>
            <w:tcW w:type="dxa" w:w="20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$200+</w:t>
            </w:r>
          </w:p>
        </w:tc>
        <w:tc>
          <w:tcPr>
            <w:tcW w:type="dxa" w:w="3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Full platform (chat, eDiscovery, contracts, drafts)</w:t>
            </w:r>
          </w:p>
        </w:tc>
      </w:tr>
      <w:tr>
        <w:tc>
          <w:tcPr>
            <w:tcW w:type="dxa" w:w="20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38"/>
                <w:sz w:val="19"/>
                <w:szCs w:val="19"/>
              </w:rPr>
              <w:t xml:space="preserve">LedgerLaw.ai</w:t>
            </w:r>
          </w:p>
        </w:tc>
        <w:tc>
          <w:tcPr>
            <w:tcW w:type="dxa" w:w="20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D7A65"/>
                <w:sz w:val="19"/>
                <w:szCs w:val="19"/>
              </w:rPr>
              <w:t xml:space="preserve">~$12</w:t>
            </w:r>
          </w:p>
        </w:tc>
        <w:tc>
          <w:tcPr>
            <w:tcW w:type="dxa" w:w="38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All features above in one platform at 40x lower cost</w:t>
            </w:r>
          </w:p>
        </w:tc>
      </w:tr>
    </w:tbl>
    <w:p>
      <w:pPr>
        <w:pStyle w:val="Heading1"/>
      </w:pPr>
      <w:r>
        <w:t xml:space="preserve">10. File Manifest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4240"/>
      </w:tblGrid>
      <w:tr>
        <w:tc>
          <w:tcPr>
            <w:tcW w:type="dxa" w:w="4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42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6B8E"/>
                <w:sz w:val="19"/>
                <w:szCs w:val="19"/>
              </w:rPr>
              <w:t xml:space="preserve">LedgerLaw-ai-v2.jsx</w:t>
            </w:r>
          </w:p>
        </w:tc>
        <w:tc>
          <w:tcPr>
            <w:tcW w:type="dxa" w:w="1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68 KB</w:t>
            </w:r>
          </w:p>
        </w:tc>
        <w:tc>
          <w:tcPr>
            <w:tcW w:type="dxa" w:w="42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Complete React prototype — 18 pages, all interactive</w:t>
            </w:r>
          </w:p>
        </w:tc>
      </w:tr>
      <w:tr>
        <w:tc>
          <w:tcPr>
            <w:tcW w:type="dxa" w:w="4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6B8E"/>
                <w:sz w:val="19"/>
                <w:szCs w:val="19"/>
              </w:rPr>
              <w:t xml:space="preserve">Toptal-Project-Brief.md</w:t>
            </w:r>
          </w:p>
        </w:tc>
        <w:tc>
          <w:tcPr>
            <w:tcW w:type="dxa" w:w="1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8 KB</w:t>
            </w:r>
          </w:p>
        </w:tc>
        <w:tc>
          <w:tcPr>
            <w:tcW w:type="dxa" w:w="42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Developer hiring brief with scope and timeline</w:t>
            </w:r>
          </w:p>
        </w:tc>
      </w:tr>
      <w:tr>
        <w:tc>
          <w:tcPr>
            <w:tcW w:type="dxa" w:w="4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6B8E"/>
                <w:sz w:val="19"/>
                <w:szCs w:val="19"/>
              </w:rPr>
              <w:t xml:space="preserve">Ledger-DemandAI-IT-Deployment-Guide.docx</w:t>
            </w:r>
          </w:p>
        </w:tc>
        <w:tc>
          <w:tcPr>
            <w:tcW w:type="dxa" w:w="1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63 KB</w:t>
            </w:r>
          </w:p>
        </w:tc>
        <w:tc>
          <w:tcPr>
            <w:tcW w:type="dxa" w:w="42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18-section deployment guide with code snippets</w:t>
            </w:r>
          </w:p>
        </w:tc>
      </w:tr>
      <w:tr>
        <w:tc>
          <w:tcPr>
            <w:tcW w:type="dxa" w:w="4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6B8E"/>
                <w:sz w:val="19"/>
                <w:szCs w:val="19"/>
              </w:rPr>
              <w:t xml:space="preserve">DemandAI-Competitive-Analysis.docx</w:t>
            </w:r>
          </w:p>
        </w:tc>
        <w:tc>
          <w:tcPr>
            <w:tcW w:type="dxa" w:w="1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53 KB</w:t>
            </w:r>
          </w:p>
        </w:tc>
        <w:tc>
          <w:tcPr>
            <w:tcW w:type="dxa" w:w="42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8-competitor analysis with pricing and features</w:t>
            </w:r>
          </w:p>
        </w:tc>
      </w:tr>
      <w:tr>
        <w:tc>
          <w:tcPr>
            <w:tcW w:type="dxa" w:w="4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6B8E"/>
                <w:sz w:val="19"/>
                <w:szCs w:val="19"/>
              </w:rPr>
              <w:t xml:space="preserve">DemandAI-Deployment-Options.docx</w:t>
            </w:r>
          </w:p>
        </w:tc>
        <w:tc>
          <w:tcPr>
            <w:tcW w:type="dxa" w:w="1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47 KB</w:t>
            </w:r>
          </w:p>
        </w:tc>
        <w:tc>
          <w:tcPr>
            <w:tcW w:type="dxa" w:w="42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Hosting and infrastructure options comparison</w:t>
            </w:r>
          </w:p>
        </w:tc>
      </w:tr>
      <w:tr>
        <w:tc>
          <w:tcPr>
            <w:tcW w:type="dxa" w:w="42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6B8E"/>
                <w:sz w:val="19"/>
                <w:szCs w:val="19"/>
              </w:rPr>
              <w:t xml:space="preserve">LedgerLaw-Developer-Summary.docx</w:t>
            </w:r>
          </w:p>
        </w:tc>
        <w:tc>
          <w:tcPr>
            <w:tcW w:type="dxa" w:w="140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This file</w:t>
            </w:r>
          </w:p>
        </w:tc>
        <w:tc>
          <w:tcPr>
            <w:tcW w:type="dxa" w:w="4240"/>
            <w:tcBorders>
              <w:top w:val="single" w:color="D8DFE8" w:sz="1"/>
              <w:left w:val="single" w:color="D8DFE8" w:sz="1"/>
              <w:bottom w:val="single" w:color="D8DFE8" w:sz="1"/>
              <w:right w:val="single" w:color="D8D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838"/>
                <w:sz w:val="19"/>
                <w:szCs w:val="19"/>
              </w:rPr>
              <w:t xml:space="preserve">Technical specification and developer handoff</w:t>
            </w:r>
          </w:p>
        </w:tc>
      </w:tr>
    </w:tbl>
    <w:p>
      <w:pPr>
        <w:spacing w:before="400" w:after="100"/>
      </w:pPr>
      <w:r>
        <w:rPr>
          <w:rFonts w:ascii="Arial" w:cs="Arial" w:eastAsia="Arial" w:hAnsi="Arial"/>
          <w:i/>
          <w:iCs/>
          <w:color w:val="6A8498"/>
          <w:sz w:val="20"/>
          <w:szCs w:val="20"/>
        </w:rPr>
        <w:t xml:space="preserve">— End of Document —</w:t>
      </w:r>
    </w:p>
    <w:p>
      <w:r>
        <w:rPr>
          <w:rFonts w:ascii="Arial" w:cs="Arial" w:eastAsia="Arial" w:hAnsi="Arial"/>
          <w:color w:val="6A8498"/>
          <w:sz w:val="18"/>
          <w:szCs w:val="18"/>
        </w:rPr>
        <w:t xml:space="preserve">Prepared by LedgerLaw.ai | The Ledger Law Firm | Confidential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A8498"/>
        <w:sz w:val="16"/>
        <w:szCs w:val="16"/>
      </w:rPr>
      <w:t xml:space="preserve">The Ledger Law Firm | LedgerLaw.ai | Page </w:t>
    </w:r>
    <w:r>
      <w:rPr>
        <w:rFonts w:ascii="Arial" w:cs="Arial" w:eastAsia="Arial" w:hAnsi="Arial"/>
        <w:color w:val="6A849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3D6B8E"/>
        <w:sz w:val="16"/>
        <w:szCs w:val="16"/>
      </w:rPr>
      <w:t xml:space="preserve">LedgerLaw.ai </w:t>
    </w:r>
    <w:r>
      <w:rPr>
        <w:rFonts w:ascii="Arial" w:cs="Arial" w:eastAsia="Arial" w:hAnsi="Arial"/>
        <w:color w:val="6A8498"/>
        <w:sz w:val="16"/>
        <w:szCs w:val="16"/>
      </w:rPr>
      <w:t xml:space="preserve">| Developer Summary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83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D6B8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83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2026-02-12T07:18:44.291Z</dcterms:created>
  <dcterms:modified xsi:type="dcterms:W3CDTF">2026-02-12T07:18:44.292Z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