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30" w:name="X40b2b461846d2bb12e457e5f6fdfbc4506c6553"/>
    <w:p>
      <w:pPr>
        <w:pStyle w:val="Heading1"/>
      </w:pPr>
      <w:r>
        <w:t xml:space="preserve">Tumor Portrait: Non-BRAF ATC Genomic Profile (Sep 17, 2024)</w:t>
      </w:r>
    </w:p>
    <w:p>
      <w:pPr>
        <w:pStyle w:val="FirstParagraph"/>
      </w:pPr>
      <w:r>
        <w:t xml:space="preserve">This note summarizes a genetic testing report (BostonGene Tumor Portrait) for a patient with anaplastic thyroid carcinoma. Identifying details (name, date of birth, specimen IDs) have been removed.</w:t>
      </w:r>
    </w:p>
    <w:bookmarkStart w:id="23" w:name="key-findings"/>
    <w:p>
      <w:pPr>
        <w:pStyle w:val="Heading2"/>
      </w:pPr>
      <w:r>
        <w:t xml:space="preserve">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BRAF status</w:t>
      </w:r>
      <w:r>
        <w:t xml:space="preserve">: Negative for BRAF V600E mutation and negative for somatic RET mutations and fusions in NTRK1/2/3, RET and ALK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Somatic alterations present</w:t>
      </w:r>
      <w:r>
        <w:t xml:space="preserve">: NRAS mutation, PIK3CA mutation, MTAP loss, CDKN2A loss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Tumor mutation burden</w:t>
      </w:r>
      <w:r>
        <w:t xml:space="preserve">: Low (approximately 1.34 mutations/Mb)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Microsatellite status</w:t>
      </w:r>
      <w:r>
        <w:t xml:space="preserve">: Stable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PD-L1 expression</w:t>
      </w:r>
      <w:r>
        <w:t xml:space="preserve">: High (≈90%) based on immunohistochemistry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</w:t>
      </w:r>
      <w:r>
        <w:t xml:space="preserve">: IVB anaplastic thyroid carcinoma.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Therapy history</w:t>
      </w:r>
      <w:r>
        <w:t xml:space="preserve">: Prior therapies include pembrolizumab + lenvatinib, carboplatin + pemetrexed, everolimus and radiation therapy; surgery is not currently possible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Planned therapy</w:t>
      </w:r>
      <w:r>
        <w:t xml:space="preserve">: Dual immune checkpoint blockade with nivolumab + ipilimumab (delayed due to recent vascular complication)</w:t>
      </w:r>
      <w:r>
        <w:t xml:space="preserve">.</w:t>
      </w:r>
    </w:p>
    <w:bookmarkEnd w:id="23"/>
    <w:bookmarkStart w:id="28" w:name="notes-on-potential-relevance"/>
    <w:p>
      <w:pPr>
        <w:pStyle w:val="Heading2"/>
      </w:pPr>
      <w:r>
        <w:t xml:space="preserve">Notes on potential relevance</w:t>
      </w:r>
    </w:p>
    <w:p>
      <w:pPr>
        <w:pStyle w:val="FirstParagraph"/>
      </w:pPr>
      <w:r>
        <w:t xml:space="preserve">The absence of BRAF V600E and RET/NTRK/ALK fusions suggests that approved targeted options like dabrafenib/trametinib (BRAF/MEK) and selpercatinib/pralsetinib (RET fusion) are not applicable. Instead, this profile shows concurrent NRAS and PIK3CA mutations along with MTAP and CDKN2A losses and high PD-L1 expression. These alterations may influence trial selection or off-label therapy discussions.</w:t>
      </w:r>
    </w:p>
    <w:bookmarkStart w:id="24" w:name="nras-pik3ca-mutations"/>
    <w:p>
      <w:pPr>
        <w:pStyle w:val="Heading3"/>
      </w:pPr>
      <w:r>
        <w:t xml:space="preserve">NRAS &amp; PIK3CA mutations</w:t>
      </w:r>
    </w:p>
    <w:p>
      <w:pPr>
        <w:pStyle w:val="FirstParagraph"/>
      </w:pPr>
      <w:r>
        <w:t xml:space="preserve">NRAS mutations activate the MAPK pathway; limited targeted options exist but combination MEK inhibitors plus immunotherapy have been explored. PIK3CA mutations activate the PI3K/AKT/mTOR pathway; there are PI3K inhibitors and mTOR inhibitors under investigation. Importantly, the combination of NRAS and PIK3CA mutations may confer resistance to single-agent targeted therapies.</w:t>
      </w:r>
    </w:p>
    <w:bookmarkEnd w:id="24"/>
    <w:bookmarkStart w:id="25" w:name="mtap-loss"/>
    <w:p>
      <w:pPr>
        <w:pStyle w:val="Heading3"/>
      </w:pPr>
      <w:r>
        <w:t xml:space="preserve">MTAP loss</w:t>
      </w:r>
    </w:p>
    <w:p>
      <w:pPr>
        <w:pStyle w:val="FirstParagraph"/>
      </w:pPr>
      <w:r>
        <w:t xml:space="preserve">MTAP deletion may create vulnerability to PRMT5 inhibition or MAT2A inhibition; several clinical trials of targeted agents are recruiting for MTAP-deleted tumors.</w:t>
      </w:r>
    </w:p>
    <w:bookmarkEnd w:id="25"/>
    <w:bookmarkStart w:id="26" w:name="cdkn2a-loss"/>
    <w:p>
      <w:pPr>
        <w:pStyle w:val="Heading3"/>
      </w:pPr>
      <w:r>
        <w:t xml:space="preserve">CDKN2A loss</w:t>
      </w:r>
    </w:p>
    <w:p>
      <w:pPr>
        <w:pStyle w:val="FirstParagraph"/>
      </w:pPr>
      <w:r>
        <w:t xml:space="preserve">Loss of the CDKN2A tumor suppressor can lead to dysregulated CDK4/6 activity; CDK4/6 inhibitors are approved for breast cancer and being explored in other tumors.</w:t>
      </w:r>
    </w:p>
    <w:bookmarkEnd w:id="26"/>
    <w:bookmarkStart w:id="27" w:name="high-pd-l1-and-low-tmb"/>
    <w:p>
      <w:pPr>
        <w:pStyle w:val="Heading3"/>
      </w:pPr>
      <w:r>
        <w:t xml:space="preserve">High PD-L1 and low TMB</w:t>
      </w:r>
    </w:p>
    <w:p>
      <w:pPr>
        <w:pStyle w:val="FirstParagraph"/>
      </w:pPr>
      <w:r>
        <w:t xml:space="preserve">PD-L1 expression ~90% suggests potential responsiveness to immune checkpoint blockade, but the tumor mutation burden is low and microsatellite status is stable; clinical benefit may still depend on combination approaches.</w:t>
      </w:r>
    </w:p>
    <w:bookmarkEnd w:id="27"/>
    <w:bookmarkEnd w:id="28"/>
    <w:bookmarkStart w:id="29" w:name="suggestions"/>
    <w:p>
      <w:pPr>
        <w:pStyle w:val="Heading2"/>
      </w:pPr>
      <w:r>
        <w:t xml:space="preserve">Suggestions</w:t>
      </w:r>
    </w:p>
    <w:p>
      <w:pPr>
        <w:pStyle w:val="Compact"/>
        <w:numPr>
          <w:ilvl w:val="0"/>
          <w:numId w:val="1002"/>
        </w:numPr>
      </w:pPr>
      <w:r>
        <w:t xml:space="preserve">Discuss mutation‑aligned clinical trials targeting NRAS/PIK3CA/MTAP/CDKN2A alterations.</w:t>
      </w:r>
    </w:p>
    <w:p>
      <w:pPr>
        <w:pStyle w:val="Compact"/>
        <w:numPr>
          <w:ilvl w:val="0"/>
          <w:numId w:val="1002"/>
        </w:numPr>
      </w:pPr>
      <w:r>
        <w:t xml:space="preserve">Revisit MEK inhibitor plus immunotherapy trials for NRAS-mutant ATC.</w:t>
      </w:r>
    </w:p>
    <w:p>
      <w:pPr>
        <w:pStyle w:val="Compact"/>
        <w:numPr>
          <w:ilvl w:val="0"/>
          <w:numId w:val="1002"/>
        </w:numPr>
      </w:pPr>
      <w:r>
        <w:t xml:space="preserve">Consider PRMT5/MAT2A inhibitor trials for MTAP-deleted tumors and CDK4/6 inhibitor trials for CDKN2A loss, pending eligibility.</w:t>
      </w:r>
    </w:p>
    <w:p>
      <w:pPr>
        <w:pStyle w:val="Compact"/>
        <w:numPr>
          <w:ilvl w:val="0"/>
          <w:numId w:val="1002"/>
        </w:numPr>
      </w:pPr>
      <w:r>
        <w:t xml:space="preserve">Continue to prioritize palliative care alongside active treatment due to high risk of locoregional complications and prior vascular events.</w:t>
      </w:r>
    </w:p>
    <w:p>
      <w:pPr>
        <w:pStyle w:val="FirstParagraph"/>
      </w:pPr>
      <w:r>
        <w:t xml:space="preserve">This document is for research purposes only and does not constitute medical advice. Consult qualified healthcare providers for treatment decisions.</w:t>
      </w:r>
    </w:p>
    <w:bookmarkEnd w:id="29"/>
    <w:bookmarkEnd w:id="30"/>
    <w:bookmarkEnd w:id="31"/>
    <w:p>
      <w:r>
        <w:pict>
          <v:rect style="width:0;height:1.5pt" o:hralign="center" o:hrstd="t" o:hr="t"/>
        </w:pict>
      </w:r>
    </w:p>
    <w:bookmarkStart w:id="32" w:name="citations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file:///home/oai/share/IMG_4353.PNG" TargetMode="External" /><Relationship Type="http://schemas.openxmlformats.org/officeDocument/2006/relationships/hyperlink" Id="rId22" Target="file:///home/oai/share/text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:///home/oai/share/IMG_4353.PNG" TargetMode="External" /><Relationship Type="http://schemas.openxmlformats.org/officeDocument/2006/relationships/hyperlink" Id="rId22" Target="file:///home/oai/share/text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2026-04-03T15:54:07Z</dcterms:created>
  <dcterms:modified xsi:type="dcterms:W3CDTF">2026-04-03T15:54:07Z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