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0F6E56"/>
          <w:sz w:val="52"/>
          <w:szCs w:val="52"/>
        </w:rPr>
        <w:t xml:space="preserve">AGRO-RISK PRO</w:t>
      </w:r>
    </w:p>
    <w:p>
      <w:pPr>
        <w:spacing w:after="80"/>
        <w:jc w:val="center"/>
      </w:pPr>
      <w:r>
        <w:rPr>
          <w:rFonts w:ascii="Arial" w:cs="Arial" w:eastAsia="Arial" w:hAnsi="Arial"/>
          <w:color w:val="5F5E5A"/>
          <w:sz w:val="28"/>
          <w:szCs w:val="28"/>
        </w:rPr>
        <w:t xml:space="preserve">Plataforma de derivados climáticos paramétricos</w:t>
      </w:r>
    </w:p>
    <w:p>
      <w:pPr>
        <w:spacing w:after="80"/>
        <w:jc w:val="center"/>
      </w:pPr>
      <w:r>
        <w:rPr>
          <w:rFonts w:ascii="Arial" w:cs="Arial" w:eastAsia="Arial" w:hAnsi="Arial"/>
          <w:color w:val="5F5E5A"/>
          <w:sz w:val="24"/>
          <w:szCs w:val="24"/>
        </w:rPr>
        <w:t xml:space="preserve">Exportadores agrícolas · Cundinamarca, Colombia</w:t>
      </w:r>
    </w:p>
    <w:p>
      <w:pPr>
        <w:spacing w:after="240"/>
      </w:pPr>
      <w:r>
        <w:t xml:space="preserve"/>
      </w:r>
    </w:p>
    <w:p>
      <w:pPr>
        <w:spacing w:after="80"/>
        <w:jc w:val="center"/>
      </w:pPr>
      <w:r>
        <w:rPr>
          <w:rFonts w:ascii="Arial" w:cs="Arial" w:eastAsia="Arial" w:hAnsi="Arial"/>
          <w:b/>
          <w:bCs/>
          <w:color w:val="1A1A1A"/>
          <w:sz w:val="32"/>
          <w:szCs w:val="32"/>
        </w:rPr>
        <w:t xml:space="preserve">GUION DEL VIDEO DE ENTREGA</w:t>
      </w:r>
    </w:p>
    <w:p>
      <w:pPr>
        <w:spacing w:after="80"/>
        <w:jc w:val="center"/>
      </w:pPr>
      <w:r>
        <w:rPr>
          <w:rFonts w:ascii="Arial" w:cs="Arial" w:eastAsia="Arial" w:hAnsi="Arial"/>
          <w:color w:val="5F5E5A"/>
          <w:sz w:val="22"/>
          <w:szCs w:val="22"/>
        </w:rPr>
        <w:t xml:space="preserve">Duración: 5 minutos  ·  4 bloques narrativos</w:t>
      </w:r>
    </w:p>
    <w:p>
      <w:pPr>
        <w:spacing w:after="160"/>
      </w:pPr>
      <w:r>
        <w:t xml:space="preserve"/>
      </w:r>
    </w:p>
    <w:p>
      <w:pPr>
        <w:spacing w:after="80"/>
        <w:jc w:val="center"/>
      </w:pPr>
      <w:r>
        <w:rPr>
          <w:rFonts w:ascii="Arial" w:cs="Arial" w:eastAsia="Arial" w:hAnsi="Arial"/>
          <w:i/>
          <w:iCs/>
          <w:color w:val="5F5E5A"/>
          <w:sz w:val="22"/>
          <w:szCs w:val="22"/>
        </w:rPr>
        <w:t xml:space="preserve">Materia: Programación para Economía y Finanzas</w:t>
      </w:r>
    </w:p>
    <w:p>
      <w:pPr>
        <w:spacing w:after="80"/>
        <w:jc w:val="center"/>
      </w:pPr>
      <w:r>
        <w:rPr>
          <w:rFonts w:ascii="Arial" w:cs="Arial" w:eastAsia="Arial" w:hAnsi="Arial"/>
          <w:color w:val="5F5E5A"/>
          <w:sz w:val="22"/>
          <w:szCs w:val="22"/>
        </w:rPr>
        <w:t xml:space="preserve">Mayo 2025</w:t>
      </w:r>
    </w:p>
    <w:p>
      <w:r>
        <w:br w:type="page"/>
      </w:r>
    </w:p>
    <w:p>
      <w:pPr>
        <w:pStyle w:val="Heading1"/>
        <w:pBdr>
          <w:bottom w:val="single" w:color="0F6E56" w:sz="6" w:space="4"/>
        </w:pBdr>
        <w:spacing w:after="120" w:before="320"/>
      </w:pPr>
      <w:r>
        <w:rPr>
          <w:rFonts w:ascii="Arial" w:cs="Arial" w:eastAsia="Arial" w:hAnsi="Arial"/>
          <w:b/>
          <w:bCs/>
          <w:color w:val="0F6E56"/>
          <w:sz w:val="28"/>
          <w:szCs w:val="28"/>
        </w:rPr>
        <w:t xml:space="preserve">Hoja de ruta del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320"/>
        <w:gridCol w:w="1440"/>
      </w:tblGrid>
      <w:tr>
        <w:tc>
          <w:tcPr>
            <w:tcW w:type="dxa" w:w="14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Bloque</w:t>
            </w:r>
          </w:p>
        </w:tc>
        <w:tc>
          <w:tcPr>
            <w:tcW w:type="dxa" w:w="2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43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14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Pantalla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0:00 – 1:00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problema del exportador colombiano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Slides + datos reales</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 2:15</w:t>
            </w:r>
          </w:p>
        </w:tc>
        <w:tc>
          <w:tcPr>
            <w:tcW w:type="dxa" w:w="4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Derivados paramétricos como solución</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Dashboard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2:15 – 3:30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 Monte Carlo en vivo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Simulador tab</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3:30 – 4:30</w:t>
            </w:r>
          </w:p>
        </w:tc>
        <w:tc>
          <w:tcPr>
            <w:tcW w:type="dxa" w:w="4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Stablecoins y liquidación automática</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 + TX</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Cierre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4:30 – 5:00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Resultados, diferenciación, llamado a acción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Pantalla final</w:t>
            </w:r>
          </w:p>
        </w:tc>
      </w:tr>
    </w:tbl>
    <w:p>
      <w:pPr>
        <w:spacing w:after="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Bloque 1 — El problema  [0:00 – 1:00]</w:t>
      </w:r>
    </w:p>
    <w:p>
      <w:pPr>
        <w:spacing w:after="80" w:before="80"/>
      </w:pPr>
      <w:r>
        <w:rPr>
          <w:rFonts w:ascii="Arial Narrow" w:cs="Arial Narrow" w:eastAsia="Arial Narrow" w:hAnsi="Arial Narrow"/>
          <w:b/>
          <w:bCs/>
          <w:color w:val="5F5E5A"/>
          <w:sz w:val="20"/>
          <w:szCs w:val="20"/>
        </w:rPr>
        <w:t xml:space="preserve">[0:00]  </w:t>
      </w:r>
    </w:p>
    <w:p>
      <w:pPr>
        <w:spacing w:after="60"/>
      </w:pPr>
      <w:r>
        <w:rPr>
          <w:rFonts w:ascii="Arial" w:cs="Arial" w:eastAsia="Arial" w:hAnsi="Arial"/>
          <w:i/>
          <w:iCs/>
          <w:color w:val="185FA5"/>
          <w:sz w:val="20"/>
          <w:szCs w:val="20"/>
        </w:rPr>
        <w:t xml:space="preserve">► Abrir con pantalla negra. Aparecer texto: 'Cundinamarca, febrero de 2023.'</w:t>
      </w:r>
    </w:p>
    <w:p>
      <w:pPr>
        <w:spacing w:after="100"/>
        <w:ind w:left="440"/>
      </w:pPr>
      <w:r>
        <w:rPr>
          <w:rFonts w:ascii="Arial" w:cs="Arial" w:eastAsia="Arial" w:hAnsi="Arial"/>
          <w:color w:val="1A1A1A"/>
          <w:sz w:val="22"/>
          <w:szCs w:val="22"/>
        </w:rPr>
        <w:t xml:space="preserve">Don Carlos lleva 15 años exportando flores desde Chía. En febrero del 2023, una helada destruyó el 40% de su cosecha en una semana. No había seguro. No había fondo de emergencia. Perdió 80 millones de pesos.</w:t>
      </w:r>
    </w:p>
    <w:p>
      <w:pPr>
        <w:spacing w:after="80"/>
      </w:pPr>
      <w:r>
        <w:t xml:space="preserve"/>
      </w:r>
    </w:p>
    <w:p>
      <w:pPr>
        <w:spacing w:after="80" w:before="80"/>
      </w:pPr>
      <w:r>
        <w:rPr>
          <w:rFonts w:ascii="Arial Narrow" w:cs="Arial Narrow" w:eastAsia="Arial Narrow" w:hAnsi="Arial Narrow"/>
          <w:b/>
          <w:bCs/>
          <w:color w:val="5F5E5A"/>
          <w:sz w:val="20"/>
          <w:szCs w:val="20"/>
        </w:rPr>
        <w:t xml:space="preserve">[0:18]  </w:t>
      </w:r>
    </w:p>
    <w:p>
      <w:pPr>
        <w:spacing w:after="60"/>
      </w:pPr>
      <w:r>
        <w:rPr>
          <w:rFonts w:ascii="Arial" w:cs="Arial" w:eastAsia="Arial" w:hAnsi="Arial"/>
          <w:i/>
          <w:iCs/>
          <w:color w:val="185FA5"/>
          <w:sz w:val="20"/>
          <w:szCs w:val="20"/>
        </w:rPr>
        <w:t xml:space="preserve">► Mostrar gráfico de temperatura mínima con evento de helada resaltado en rojo.</w:t>
      </w:r>
    </w:p>
    <w:p>
      <w:pPr>
        <w:spacing w:after="100"/>
        <w:ind w:left="440"/>
      </w:pPr>
      <w:r>
        <w:rPr>
          <w:rFonts w:ascii="Arial" w:cs="Arial" w:eastAsia="Arial" w:hAnsi="Arial"/>
          <w:color w:val="1A1A1A"/>
          <w:sz w:val="22"/>
          <w:szCs w:val="22"/>
        </w:rPr>
        <w:t xml:space="preserve">Este no es un caso aislado. En la Sabana de Bogotá, los exportadores agrícolas enfrentan tres riesgos que se combinan y los dejan sin red:</w:t>
      </w:r>
    </w:p>
    <w:p>
      <w:pPr>
        <w:pStyle w:val="ListParagraph"/>
        <w:numPr>
          <w:ilvl w:val="0"/>
          <w:numId w:val="2"/>
        </w:numPr>
        <w:spacing w:after="80"/>
      </w:pPr>
      <w:r>
        <w:rPr>
          <w:rFonts w:ascii="Arial" w:cs="Arial" w:eastAsia="Arial" w:hAnsi="Arial"/>
          <w:b/>
          <w:bCs/>
          <w:color w:val="1A1A1A"/>
          <w:sz w:val="22"/>
          <w:szCs w:val="22"/>
        </w:rPr>
        <w:t xml:space="preserve">Primero: </w:t>
      </w:r>
      <w:r>
        <w:rPr>
          <w:rFonts w:ascii="Arial" w:cs="Arial" w:eastAsia="Arial" w:hAnsi="Arial"/>
          <w:color w:val="1A1A1A"/>
          <w:sz w:val="22"/>
          <w:szCs w:val="22"/>
        </w:rPr>
        <w:t xml:space="preserve">Las heladas destruyen cultivos sin previo aviso.</w:t>
      </w:r>
    </w:p>
    <w:p>
      <w:pPr>
        <w:pStyle w:val="ListParagraph"/>
        <w:numPr>
          <w:ilvl w:val="0"/>
          <w:numId w:val="2"/>
        </w:numPr>
        <w:spacing w:after="80"/>
      </w:pPr>
      <w:r>
        <w:rPr>
          <w:rFonts w:ascii="Arial" w:cs="Arial" w:eastAsia="Arial" w:hAnsi="Arial"/>
          <w:b/>
          <w:bCs/>
          <w:color w:val="1A1A1A"/>
          <w:sz w:val="22"/>
          <w:szCs w:val="22"/>
        </w:rPr>
        <w:t xml:space="preserve">Segundo: </w:t>
      </w:r>
      <w:r>
        <w:rPr>
          <w:rFonts w:ascii="Arial" w:cs="Arial" w:eastAsia="Arial" w:hAnsi="Arial"/>
          <w:color w:val="1A1A1A"/>
          <w:sz w:val="22"/>
          <w:szCs w:val="22"/>
        </w:rPr>
        <w:t xml:space="preserve">El precio del café y las flores cae justo cuando el clima empeora.</w:t>
      </w:r>
    </w:p>
    <w:p>
      <w:pPr>
        <w:pStyle w:val="ListParagraph"/>
        <w:numPr>
          <w:ilvl w:val="0"/>
          <w:numId w:val="2"/>
        </w:numPr>
        <w:spacing w:after="80"/>
      </w:pPr>
      <w:r>
        <w:rPr>
          <w:rFonts w:ascii="Arial" w:cs="Arial" w:eastAsia="Arial" w:hAnsi="Arial"/>
          <w:b/>
          <w:bCs/>
          <w:color w:val="1A1A1A"/>
          <w:sz w:val="22"/>
          <w:szCs w:val="22"/>
        </w:rPr>
        <w:t xml:space="preserve">Tercero: </w:t>
      </w:r>
      <w:r>
        <w:rPr>
          <w:rFonts w:ascii="Arial" w:cs="Arial" w:eastAsia="Arial" w:hAnsi="Arial"/>
          <w:color w:val="1A1A1A"/>
          <w:sz w:val="22"/>
          <w:szCs w:val="22"/>
        </w:rPr>
        <w:t xml:space="preserve">Y el dólar puede moverse en contra cuando más necesitan liquidez.</w:t>
      </w:r>
    </w:p>
    <w:p>
      <w:pPr>
        <w:spacing w:after="80"/>
      </w:pPr>
      <w:r>
        <w:t xml:space="preserve"/>
      </w:r>
    </w:p>
    <w:p>
      <w:pPr>
        <w:spacing w:after="80" w:before="80"/>
      </w:pPr>
      <w:r>
        <w:rPr>
          <w:rFonts w:ascii="Arial Narrow" w:cs="Arial Narrow" w:eastAsia="Arial Narrow" w:hAnsi="Arial Narrow"/>
          <w:b/>
          <w:bCs/>
          <w:color w:val="5F5E5A"/>
          <w:sz w:val="20"/>
          <w:szCs w:val="20"/>
        </w:rPr>
        <w:t xml:space="preserve">[0:40]  </w:t>
      </w:r>
    </w:p>
    <w:p>
      <w:pPr>
        <w:spacing w:after="60"/>
      </w:pPr>
      <w:r>
        <w:rPr>
          <w:rFonts w:ascii="Arial" w:cs="Arial" w:eastAsia="Arial" w:hAnsi="Arial"/>
          <w:i/>
          <w:iCs/>
          <w:color w:val="185FA5"/>
          <w:sz w:val="20"/>
          <w:szCs w:val="20"/>
        </w:rPr>
        <w:t xml:space="preserve">► Mostrar ecuación simple en pantalla: Ventas bajas + Helada + TRM desfavorable = Crisis de caja.</w:t>
      </w:r>
    </w:p>
    <w:p>
      <w:pPr>
        <w:spacing w:after="100"/>
        <w:ind w:left="440"/>
      </w:pPr>
      <w:r>
        <w:rPr>
          <w:rFonts w:ascii="Arial" w:cs="Arial" w:eastAsia="Arial" w:hAnsi="Arial"/>
          <w:color w:val="1A1A1A"/>
          <w:sz w:val="22"/>
          <w:szCs w:val="22"/>
        </w:rPr>
        <w:t xml:space="preserve">Los seguros agrícolas tradicionales cubren menos del 12% de los productores medianos en Colombia. Y cuando cubren, el proceso de reclamación tarda meses. Para entonces, ya perdió el contrato de exportación.</w:t>
      </w:r>
    </w:p>
    <w:p>
      <w:pPr>
        <w:spacing w:after="100"/>
        <w:ind w:left="440"/>
      </w:pPr>
      <w:r>
        <w:rPr>
          <w:rFonts w:ascii="Arial" w:cs="Arial" w:eastAsia="Arial" w:hAnsi="Arial"/>
          <w:color w:val="1A1A1A"/>
          <w:sz w:val="22"/>
          <w:szCs w:val="22"/>
        </w:rPr>
        <w:t xml:space="preserve">La pregunta que nos hicimos fue: ¿existe una solución que pague automáticamente, en horas, sin perito, sin formularios?</w:t>
      </w:r>
    </w:p>
    <w:p>
      <w:pPr>
        <w:pBdr>
          <w:bottom w:val="single" w:color="D3D1C7" w:sz="4" w:space="1"/>
        </w:pBdr>
        <w:spacing w:after="160" w:before="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Bloque 2 — La solución  [1:00 – 2:15]</w:t>
      </w:r>
    </w:p>
    <w:p>
      <w:pPr>
        <w:spacing w:after="80" w:before="80"/>
      </w:pPr>
      <w:r>
        <w:rPr>
          <w:rFonts w:ascii="Arial Narrow" w:cs="Arial Narrow" w:eastAsia="Arial Narrow" w:hAnsi="Arial Narrow"/>
          <w:b/>
          <w:bCs/>
          <w:color w:val="5F5E5A"/>
          <w:sz w:val="20"/>
          <w:szCs w:val="20"/>
        </w:rPr>
        <w:t xml:space="preserve">[1:00]  </w:t>
      </w:r>
    </w:p>
    <w:p>
      <w:pPr>
        <w:spacing w:after="60"/>
      </w:pPr>
      <w:r>
        <w:rPr>
          <w:rFonts w:ascii="Arial" w:cs="Arial" w:eastAsia="Arial" w:hAnsi="Arial"/>
          <w:i/>
          <w:iCs/>
          <w:color w:val="185FA5"/>
          <w:sz w:val="20"/>
          <w:szCs w:val="20"/>
        </w:rPr>
        <w:t xml:space="preserve">► Mostrar la pantalla del Dashboard de Agro-Risk Pro con los KPIs verdes.</w:t>
      </w:r>
    </w:p>
    <w:p>
      <w:pPr>
        <w:spacing w:after="100"/>
        <w:ind w:left="440"/>
      </w:pPr>
      <w:r>
        <w:rPr>
          <w:rFonts w:ascii="Arial" w:cs="Arial" w:eastAsia="Arial" w:hAnsi="Arial"/>
          <w:color w:val="1A1A1A"/>
          <w:sz w:val="22"/>
          <w:szCs w:val="22"/>
        </w:rPr>
        <w:t xml:space="preserve">Agro-Risk Pro es una plataforma académica que simula derivados climáticos paramétricos. La palabra clave es paramétrica.</w:t>
      </w:r>
    </w:p>
    <w:p>
      <w:pPr>
        <w:spacing w:after="80"/>
      </w:pPr>
      <w:r>
        <w:t xml:space="preserve"/>
      </w:r>
    </w:p>
    <w:p>
      <w:pPr>
        <w:spacing w:after="80" w:before="80"/>
      </w:pPr>
      <w:r>
        <w:rPr>
          <w:rFonts w:ascii="Arial Narrow" w:cs="Arial Narrow" w:eastAsia="Arial Narrow" w:hAnsi="Arial Narrow"/>
          <w:b/>
          <w:bCs/>
          <w:color w:val="5F5E5A"/>
          <w:sz w:val="20"/>
          <w:szCs w:val="20"/>
        </w:rPr>
        <w:t xml:space="preserve">[1:12]  </w:t>
      </w:r>
    </w:p>
    <w:p>
      <w:pPr>
        <w:spacing w:after="60"/>
      </w:pPr>
      <w:r>
        <w:rPr>
          <w:rFonts w:ascii="Arial" w:cs="Arial" w:eastAsia="Arial" w:hAnsi="Arial"/>
          <w:i/>
          <w:iCs/>
          <w:color w:val="185FA5"/>
          <w:sz w:val="20"/>
          <w:szCs w:val="20"/>
        </w:rPr>
        <w:t xml:space="preserve">► Zoom sobre el KPI 'Frío acumulado' con la barra de progreso.</w:t>
      </w:r>
    </w:p>
    <w:p>
      <w:pPr>
        <w:spacing w:after="100"/>
        <w:ind w:left="440"/>
      </w:pPr>
      <w:r>
        <w:rPr>
          <w:rFonts w:ascii="Arial" w:cs="Arial" w:eastAsia="Arial" w:hAnsi="Arial"/>
          <w:color w:val="1A1A1A"/>
          <w:sz w:val="22"/>
          <w:szCs w:val="22"/>
        </w:rPr>
        <w:t xml:space="preserve">Un derivado paramétrico no pregunta cuánto perdió usted. Pregunta cuánto frío hubo, medido objetivamente por la estación meteorológica más cercana a su finca.</w:t>
      </w:r>
    </w:p>
    <w:p>
      <w:pPr>
        <w:spacing w:after="100"/>
        <w:ind w:left="440"/>
      </w:pPr>
      <w:r>
        <w:rPr>
          <w:rFonts w:ascii="Arial" w:cs="Arial" w:eastAsia="Arial" w:hAnsi="Arial"/>
          <w:color w:val="1A1A1A"/>
          <w:sz w:val="22"/>
          <w:szCs w:val="22"/>
        </w:rPr>
        <w:t xml:space="preserve">Si el índice HDD —que es el frío acumulado en grados por encima del umbral— supera el strike del contrato, el sistema paga. Automáticamente. Sin árbitro. Sin espera.</w:t>
      </w:r>
    </w:p>
    <w:p>
      <w:pPr>
        <w:spacing w:after="80"/>
      </w:pPr>
      <w:r>
        <w:t xml:space="preserve"/>
      </w:r>
    </w:p>
    <w:p>
      <w:pPr>
        <w:spacing w:after="80" w:before="80"/>
      </w:pPr>
      <w:r>
        <w:rPr>
          <w:rFonts w:ascii="Arial Narrow" w:cs="Arial Narrow" w:eastAsia="Arial Narrow" w:hAnsi="Arial Narrow"/>
          <w:b/>
          <w:bCs/>
          <w:color w:val="5F5E5A"/>
          <w:sz w:val="20"/>
          <w:szCs w:val="20"/>
        </w:rPr>
        <w:t xml:space="preserve">[1:35]  </w:t>
      </w:r>
    </w:p>
    <w:p>
      <w:pPr>
        <w:spacing w:after="60"/>
      </w:pPr>
      <w:r>
        <w:rPr>
          <w:rFonts w:ascii="Arial" w:cs="Arial" w:eastAsia="Arial" w:hAnsi="Arial"/>
          <w:i/>
          <w:iCs/>
          <w:color w:val="185FA5"/>
          <w:sz w:val="20"/>
          <w:szCs w:val="20"/>
        </w:rPr>
        <w:t xml:space="preserve">► Ir a la pestaña Simulador. Mostrar la función de payoff con el punto histórico de 2023 marcado en rojo.</w:t>
      </w:r>
    </w:p>
    <w:p>
      <w:pPr>
        <w:spacing w:after="100"/>
        <w:ind w:left="440"/>
      </w:pPr>
      <w:r>
        <w:rPr>
          <w:rFonts w:ascii="Arial" w:cs="Arial" w:eastAsia="Arial" w:hAnsi="Arial"/>
          <w:color w:val="1A1A1A"/>
          <w:sz w:val="22"/>
          <w:szCs w:val="22"/>
        </w:rPr>
        <w:t xml:space="preserve">Nuestro contrato óptimo fue calibrado con 10 años de datos históricos del IDEAM. Strike de 4 punto 07 grados-día. Tick de 317 dólares por cada grado de frío adicional. Prima de 507 dólares por semana.</w:t>
      </w:r>
    </w:p>
    <w:p>
      <w:pPr>
        <w:spacing w:after="100"/>
        <w:ind w:left="440"/>
      </w:pPr>
      <w:r>
        <w:rPr>
          <w:rFonts w:ascii="Arial" w:cs="Arial" w:eastAsia="Arial" w:hAnsi="Arial"/>
          <w:color w:val="1A1A1A"/>
          <w:sz w:val="22"/>
          <w:szCs w:val="22"/>
        </w:rPr>
        <w:t xml:space="preserve">Con este contrato, la varianza de los ingresos del exportador se reduce un 48 punto 8 por ciento. Eso significa que en la semana más fría del año, el agricultor recibe un pago que compensa parcialmente la caída en ventas.</w:t>
      </w:r>
    </w:p>
    <w:p>
      <w:pPr>
        <w:spacing w:after="80"/>
      </w:pPr>
      <w:r>
        <w:t xml:space="preserve"/>
      </w:r>
    </w:p>
    <w:p>
      <w:pPr>
        <w:spacing w:after="80" w:before="80"/>
      </w:pPr>
      <w:r>
        <w:rPr>
          <w:rFonts w:ascii="Arial Narrow" w:cs="Arial Narrow" w:eastAsia="Arial Narrow" w:hAnsi="Arial Narrow"/>
          <w:b/>
          <w:bCs/>
          <w:color w:val="5F5E5A"/>
          <w:sz w:val="20"/>
          <w:szCs w:val="20"/>
        </w:rPr>
        <w:t xml:space="preserve">[2:00]  </w:t>
      </w:r>
    </w:p>
    <w:p>
      <w:pPr>
        <w:spacing w:after="60"/>
      </w:pPr>
      <w:r>
        <w:rPr>
          <w:rFonts w:ascii="Arial" w:cs="Arial" w:eastAsia="Arial" w:hAnsi="Arial"/>
          <w:i/>
          <w:iCs/>
          <w:color w:val="185FA5"/>
          <w:sz w:val="20"/>
          <w:szCs w:val="20"/>
        </w:rPr>
        <w:t xml:space="preserve">► Mostrar histograma comparativo: distribución roja sin cobertura vs distribución verde con cobertura.</w:t>
      </w:r>
    </w:p>
    <w:p>
      <w:pPr>
        <w:spacing w:after="100"/>
        <w:ind w:left="440"/>
      </w:pPr>
      <w:r>
        <w:rPr>
          <w:rFonts w:ascii="Arial" w:cs="Arial" w:eastAsia="Arial" w:hAnsi="Arial"/>
          <w:color w:val="1A1A1A"/>
          <w:sz w:val="22"/>
          <w:szCs w:val="22"/>
        </w:rPr>
        <w:t xml:space="preserve">La campana verde es más estrecha. Más predecible. Ese es el valor financiero del contrato: no elimina el riesgo, lo redistribuye en el tiempo.</w:t>
      </w:r>
    </w:p>
    <w:p>
      <w:pPr>
        <w:pBdr>
          <w:bottom w:val="single" w:color="D3D1C7" w:sz="4" w:space="1"/>
        </w:pBdr>
        <w:spacing w:after="160" w:before="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Bloque 3 — Demo Monte Carlo  [2:15 – 3:30]</w:t>
      </w:r>
    </w:p>
    <w:p>
      <w:pPr>
        <w:spacing w:after="80" w:before="80"/>
      </w:pPr>
      <w:r>
        <w:rPr>
          <w:rFonts w:ascii="Arial Narrow" w:cs="Arial Narrow" w:eastAsia="Arial Narrow" w:hAnsi="Arial Narrow"/>
          <w:b/>
          <w:bCs/>
          <w:color w:val="5F5E5A"/>
          <w:sz w:val="20"/>
          <w:szCs w:val="20"/>
        </w:rPr>
        <w:t xml:space="preserve">[2:15]  </w:t>
      </w:r>
    </w:p>
    <w:p>
      <w:pPr>
        <w:spacing w:after="60"/>
      </w:pPr>
      <w:r>
        <w:rPr>
          <w:rFonts w:ascii="Arial" w:cs="Arial" w:eastAsia="Arial" w:hAnsi="Arial"/>
          <w:i/>
          <w:iCs/>
          <w:color w:val="185FA5"/>
          <w:sz w:val="20"/>
          <w:szCs w:val="20"/>
        </w:rPr>
        <w:t xml:space="preserve">► Abrir la app Streamlit en vivo. Ir a la pestaña Simulador. Ajustar el slider de Strike a 38.</w:t>
      </w:r>
    </w:p>
    <w:p>
      <w:pPr>
        <w:spacing w:after="100"/>
        <w:ind w:left="440"/>
      </w:pPr>
      <w:r>
        <w:rPr>
          <w:rFonts w:ascii="Arial" w:cs="Arial" w:eastAsia="Arial" w:hAnsi="Arial"/>
          <w:color w:val="1A1A1A"/>
          <w:sz w:val="22"/>
          <w:szCs w:val="22"/>
        </w:rPr>
        <w:t xml:space="preserve">Vamos a ver el simulador en vivo. Esto es exactamente lo que vería un exportador si contratara la cobertura hoy para los próximos 90 días.</w:t>
      </w:r>
    </w:p>
    <w:p>
      <w:pPr>
        <w:spacing w:after="80"/>
      </w:pPr>
      <w:r>
        <w:t xml:space="preserve"/>
      </w:r>
    </w:p>
    <w:p>
      <w:pPr>
        <w:spacing w:after="80" w:before="80"/>
      </w:pPr>
      <w:r>
        <w:rPr>
          <w:rFonts w:ascii="Arial Narrow" w:cs="Arial Narrow" w:eastAsia="Arial Narrow" w:hAnsi="Arial Narrow"/>
          <w:b/>
          <w:bCs/>
          <w:color w:val="5F5E5A"/>
          <w:sz w:val="20"/>
          <w:szCs w:val="20"/>
        </w:rPr>
        <w:t xml:space="preserve">[2:28]  </w:t>
      </w:r>
    </w:p>
    <w:p>
      <w:pPr>
        <w:spacing w:after="60"/>
      </w:pPr>
      <w:r>
        <w:rPr>
          <w:rFonts w:ascii="Arial" w:cs="Arial" w:eastAsia="Arial" w:hAnsi="Arial"/>
          <w:i/>
          <w:iCs/>
          <w:color w:val="185FA5"/>
          <w:sz w:val="20"/>
          <w:szCs w:val="20"/>
        </w:rPr>
        <w:t xml:space="preserve">► Mostrar el fan chart del Monte Carlo generándose. Las bandas azules se abren progresivamente.</w:t>
      </w:r>
    </w:p>
    <w:p>
      <w:pPr>
        <w:spacing w:after="100"/>
        <w:ind w:left="440"/>
      </w:pPr>
      <w:r>
        <w:rPr>
          <w:rFonts w:ascii="Arial" w:cs="Arial" w:eastAsia="Arial" w:hAnsi="Arial"/>
          <w:color w:val="1A1A1A"/>
          <w:sz w:val="22"/>
          <w:szCs w:val="22"/>
        </w:rPr>
        <w:t xml:space="preserve">Detrás de esta pantalla hay 10 mil escenarios climáticos simulados simultáneamente. Cada línea es un posible futuro de temperatura, construido con el modelo AR-1 calibrado con datos reales del IDEAM.</w:t>
      </w:r>
    </w:p>
    <w:p>
      <w:pPr>
        <w:spacing w:after="100"/>
        <w:ind w:left="440"/>
      </w:pPr>
      <w:r>
        <w:rPr>
          <w:rFonts w:ascii="Arial" w:cs="Arial" w:eastAsia="Arial" w:hAnsi="Arial"/>
          <w:color w:val="1A1A1A"/>
          <w:sz w:val="22"/>
          <w:szCs w:val="22"/>
        </w:rPr>
        <w:t xml:space="preserve">Las bandas más oscuras muestran el 50% de los escenarios más probables. Las más claras, los extremos. La línea naranja es el strike: cuando el índice acumulado la cruza, el contrato se activa.</w:t>
      </w:r>
    </w:p>
    <w:p>
      <w:pPr>
        <w:spacing w:after="80"/>
      </w:pPr>
      <w:r>
        <w:t xml:space="preserve"/>
      </w:r>
    </w:p>
    <w:p>
      <w:pPr>
        <w:spacing w:after="80" w:before="80"/>
      </w:pPr>
      <w:r>
        <w:rPr>
          <w:rFonts w:ascii="Arial Narrow" w:cs="Arial Narrow" w:eastAsia="Arial Narrow" w:hAnsi="Arial Narrow"/>
          <w:b/>
          <w:bCs/>
          <w:color w:val="5F5E5A"/>
          <w:sz w:val="20"/>
          <w:szCs w:val="20"/>
        </w:rPr>
        <w:t xml:space="preserve">[2:50]  </w:t>
      </w:r>
    </w:p>
    <w:p>
      <w:pPr>
        <w:spacing w:after="60"/>
      </w:pPr>
      <w:r>
        <w:rPr>
          <w:rFonts w:ascii="Arial" w:cs="Arial" w:eastAsia="Arial" w:hAnsi="Arial"/>
          <w:i/>
          <w:iCs/>
          <w:color w:val="185FA5"/>
          <w:sz w:val="20"/>
          <w:szCs w:val="20"/>
        </w:rPr>
        <w:t xml:space="preserve">► Mover el slider de Strike hacia la izquierda. Mostrar cómo suben la probabilidad de activación y la prima.</w:t>
      </w:r>
    </w:p>
    <w:p>
      <w:pPr>
        <w:spacing w:after="100"/>
        <w:ind w:left="440"/>
      </w:pPr>
      <w:r>
        <w:rPr>
          <w:rFonts w:ascii="Arial" w:cs="Arial" w:eastAsia="Arial" w:hAnsi="Arial"/>
          <w:color w:val="1A1A1A"/>
          <w:sz w:val="22"/>
          <w:szCs w:val="22"/>
        </w:rPr>
        <w:t xml:space="preserve">Aquí está la decisión financiera central. Si bajo el strike, la cobertura se activa más seguido y protege mejor al agricultor. Pero la prima sube. Si subo el strike, la prima baja pero solo protege contra heladas extremas.</w:t>
      </w:r>
    </w:p>
    <w:p>
      <w:pPr>
        <w:spacing w:after="100"/>
        <w:ind w:left="440"/>
      </w:pPr>
      <w:r>
        <w:rPr>
          <w:rFonts w:ascii="Arial" w:cs="Arial" w:eastAsia="Arial" w:hAnsi="Arial"/>
          <w:color w:val="1A1A1A"/>
          <w:sz w:val="22"/>
          <w:szCs w:val="22"/>
        </w:rPr>
        <w:t xml:space="preserve">Nuestro algoritmo de optimización encontró el punto exacto que minimiza la varianza de ingresos dado un presupuesto máximo de prima del 15% del ingreso base. Eso es scipy punto optimize en acción.</w:t>
      </w:r>
    </w:p>
    <w:p>
      <w:pPr>
        <w:spacing w:after="80"/>
      </w:pPr>
      <w:r>
        <w:t xml:space="preserve"/>
      </w:r>
    </w:p>
    <w:p>
      <w:pPr>
        <w:spacing w:after="80" w:before="80"/>
      </w:pPr>
      <w:r>
        <w:rPr>
          <w:rFonts w:ascii="Arial Narrow" w:cs="Arial Narrow" w:eastAsia="Arial Narrow" w:hAnsi="Arial Narrow"/>
          <w:b/>
          <w:bCs/>
          <w:color w:val="5F5E5A"/>
          <w:sz w:val="20"/>
          <w:szCs w:val="20"/>
        </w:rPr>
        <w:t xml:space="preserve">[3:15]  </w:t>
      </w:r>
    </w:p>
    <w:p>
      <w:pPr>
        <w:spacing w:after="60"/>
      </w:pPr>
      <w:r>
        <w:rPr>
          <w:rFonts w:ascii="Arial" w:cs="Arial" w:eastAsia="Arial" w:hAnsi="Arial"/>
          <w:i/>
          <w:iCs/>
          <w:color w:val="185FA5"/>
          <w:sz w:val="20"/>
          <w:szCs w:val="20"/>
        </w:rPr>
        <w:t xml:space="preserve">► Mostrar los KPIs: E[Payoff], P(activación), VaR 5%.</w:t>
      </w:r>
    </w:p>
    <w:p>
      <w:pPr>
        <w:spacing w:after="100"/>
        <w:ind w:left="440"/>
      </w:pPr>
      <w:r>
        <w:rPr>
          <w:rFonts w:ascii="Arial" w:cs="Arial" w:eastAsia="Arial" w:hAnsi="Arial"/>
          <w:color w:val="1A1A1A"/>
          <w:sz w:val="22"/>
          <w:szCs w:val="22"/>
        </w:rPr>
        <w:t xml:space="preserve">Para la simulación actual: probabilidad de activación del 50%, valor esperado del payoff de 2 mil 200 dólares, y el peor escenario probable —el VaR del 5%— es simplemente perder la prima. El riesgo del agricultor está acotado.</w:t>
      </w:r>
    </w:p>
    <w:p>
      <w:pPr>
        <w:pBdr>
          <w:bottom w:val="single" w:color="D3D1C7" w:sz="4" w:space="1"/>
        </w:pBdr>
        <w:spacing w:after="160" w:before="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Bloque 4 — Stablecoins y liquidación  [3:30 – 4:30]</w:t>
      </w:r>
    </w:p>
    <w:p>
      <w:pPr>
        <w:spacing w:after="80" w:before="80"/>
      </w:pPr>
      <w:r>
        <w:rPr>
          <w:rFonts w:ascii="Arial Narrow" w:cs="Arial Narrow" w:eastAsia="Arial Narrow" w:hAnsi="Arial Narrow"/>
          <w:b/>
          <w:bCs/>
          <w:color w:val="5F5E5A"/>
          <w:sz w:val="20"/>
          <w:szCs w:val="20"/>
        </w:rPr>
        <w:t xml:space="preserve">[3:30]  </w:t>
      </w:r>
    </w:p>
    <w:p>
      <w:pPr>
        <w:spacing w:after="60"/>
      </w:pPr>
      <w:r>
        <w:rPr>
          <w:rFonts w:ascii="Arial" w:cs="Arial" w:eastAsia="Arial" w:hAnsi="Arial"/>
          <w:i/>
          <w:iCs/>
          <w:color w:val="185FA5"/>
          <w:sz w:val="20"/>
          <w:szCs w:val="20"/>
        </w:rPr>
        <w:t xml:space="preserve">► Ir a la pestaña Historial de Liquidaciones. Mostrar las tarjetas de transacción.</w:t>
      </w:r>
    </w:p>
    <w:p>
      <w:pPr>
        <w:spacing w:after="100"/>
        <w:ind w:left="440"/>
      </w:pPr>
      <w:r>
        <w:rPr>
          <w:rFonts w:ascii="Arial" w:cs="Arial" w:eastAsia="Arial" w:hAnsi="Arial"/>
          <w:color w:val="1A1A1A"/>
          <w:sz w:val="22"/>
          <w:szCs w:val="22"/>
        </w:rPr>
        <w:t xml:space="preserve">El módulo de liquidación es donde la tecnología hace la diferencia. Cuando el contrato se activa, el sistema calcula el pago, lo convierte a pesos usando la TRM del día, y simula una transferencia en USDC.</w:t>
      </w:r>
    </w:p>
    <w:p>
      <w:pPr>
        <w:spacing w:after="80"/>
      </w:pPr>
      <w:r>
        <w:t xml:space="preserve"/>
      </w:r>
    </w:p>
    <w:p>
      <w:pPr>
        <w:spacing w:after="80" w:before="80"/>
      </w:pPr>
      <w:r>
        <w:rPr>
          <w:rFonts w:ascii="Arial Narrow" w:cs="Arial Narrow" w:eastAsia="Arial Narrow" w:hAnsi="Arial Narrow"/>
          <w:b/>
          <w:bCs/>
          <w:color w:val="5F5E5A"/>
          <w:sz w:val="20"/>
          <w:szCs w:val="20"/>
        </w:rPr>
        <w:t xml:space="preserve">[3:45]  </w:t>
      </w:r>
    </w:p>
    <w:p>
      <w:pPr>
        <w:spacing w:after="60"/>
      </w:pPr>
      <w:r>
        <w:rPr>
          <w:rFonts w:ascii="Arial" w:cs="Arial" w:eastAsia="Arial" w:hAnsi="Arial"/>
          <w:i/>
          <w:iCs/>
          <w:color w:val="185FA5"/>
          <w:sz w:val="20"/>
          <w:szCs w:val="20"/>
        </w:rPr>
        <w:t xml:space="preserve">► Hacer clic en una tarjeta activada. Mostrar el hash de transacción.</w:t>
      </w:r>
    </w:p>
    <w:p>
      <w:pPr>
        <w:spacing w:after="100"/>
        <w:ind w:left="440"/>
      </w:pPr>
      <w:r>
        <w:rPr>
          <w:rFonts w:ascii="Arial" w:cs="Arial" w:eastAsia="Arial" w:hAnsi="Arial"/>
          <w:color w:val="1A1A1A"/>
          <w:sz w:val="22"/>
          <w:szCs w:val="22"/>
        </w:rPr>
        <w:t xml:space="preserve">¿Por qué USDC y no pesos directamente? Tres razones. Primero: la liquidación es instantánea, sin clearing bancario de 24 a 48 horas. Segundo: el USDC es estable en dólares, así que el agricultor no pierde por volatilidad cripto mientras recibe el pago. Tercero: el hash de la transacción es un registro público e inmutable del pago.</w:t>
      </w:r>
    </w:p>
    <w:p>
      <w:pPr>
        <w:spacing w:after="80"/>
      </w:pPr>
      <w:r>
        <w:t xml:space="preserve"/>
      </w:r>
    </w:p>
    <w:p>
      <w:pPr>
        <w:spacing w:after="80" w:before="80"/>
      </w:pPr>
      <w:r>
        <w:rPr>
          <w:rFonts w:ascii="Arial Narrow" w:cs="Arial Narrow" w:eastAsia="Arial Narrow" w:hAnsi="Arial Narrow"/>
          <w:b/>
          <w:bCs/>
          <w:color w:val="5F5E5A"/>
          <w:sz w:val="20"/>
          <w:szCs w:val="20"/>
        </w:rPr>
        <w:t xml:space="preserve">[4:05]  </w:t>
      </w:r>
    </w:p>
    <w:p>
      <w:pPr>
        <w:spacing w:after="60"/>
      </w:pPr>
      <w:r>
        <w:rPr>
          <w:rFonts w:ascii="Arial" w:cs="Arial" w:eastAsia="Arial" w:hAnsi="Arial"/>
          <w:i/>
          <w:iCs/>
          <w:color w:val="185FA5"/>
          <w:sz w:val="20"/>
          <w:szCs w:val="20"/>
        </w:rPr>
        <w:t xml:space="preserve">► Mostrar el widget del contrato inteligente con HDD=145 ingresado.</w:t>
      </w:r>
    </w:p>
    <w:p>
      <w:pPr>
        <w:spacing w:after="100"/>
        <w:ind w:left="440"/>
      </w:pPr>
      <w:r>
        <w:rPr>
          <w:rFonts w:ascii="Arial" w:cs="Arial" w:eastAsia="Arial" w:hAnsi="Arial"/>
          <w:color w:val="1A1A1A"/>
          <w:sz w:val="22"/>
          <w:szCs w:val="22"/>
        </w:rPr>
        <w:t xml:space="preserve">La lógica del contrato inteligente es deliberadamente simple: si el índice supera el strike, paga. No hay cláusulas de exclusión. No hay letra pequeña. No hay perito que decida si fue helada 'verdadera' o no.</w:t>
      </w:r>
    </w:p>
    <w:p>
      <w:pPr>
        <w:spacing w:after="100"/>
        <w:ind w:left="440"/>
      </w:pPr>
      <w:r>
        <w:rPr>
          <w:rFonts w:ascii="Arial" w:cs="Arial" w:eastAsia="Arial" w:hAnsi="Arial"/>
          <w:color w:val="1A1A1A"/>
          <w:sz w:val="22"/>
          <w:szCs w:val="22"/>
        </w:rPr>
        <w:t xml:space="preserve">Esto elimina el principal problema de los seguros agrícolas colombianos: el riesgo moral y la asimetría de información entre el agricultor y la aseguradora.</w:t>
      </w:r>
    </w:p>
    <w:p>
      <w:pPr>
        <w:spacing w:after="80"/>
      </w:pPr>
      <w:r>
        <w:t xml:space="preserve"/>
      </w:r>
    </w:p>
    <w:p>
      <w:pPr>
        <w:spacing w:after="80" w:before="80"/>
      </w:pPr>
      <w:r>
        <w:rPr>
          <w:rFonts w:ascii="Arial Narrow" w:cs="Arial Narrow" w:eastAsia="Arial Narrow" w:hAnsi="Arial Narrow"/>
          <w:b/>
          <w:bCs/>
          <w:color w:val="5F5E5A"/>
          <w:sz w:val="20"/>
          <w:szCs w:val="20"/>
        </w:rPr>
        <w:t xml:space="preserve">[4:20]  </w:t>
      </w:r>
    </w:p>
    <w:p>
      <w:pPr>
        <w:spacing w:after="60"/>
      </w:pPr>
      <w:r>
        <w:rPr>
          <w:rFonts w:ascii="Arial" w:cs="Arial" w:eastAsia="Arial" w:hAnsi="Arial"/>
          <w:i/>
          <w:iCs/>
          <w:color w:val="185FA5"/>
          <w:sz w:val="20"/>
          <w:szCs w:val="20"/>
        </w:rPr>
        <w:t xml:space="preserve">► Volver al Dashboard. Mostrar la paleta de diseño y las tarjetas KPI.</w:t>
      </w:r>
    </w:p>
    <w:p>
      <w:pPr>
        <w:spacing w:after="100"/>
        <w:ind w:left="440"/>
      </w:pPr>
      <w:r>
        <w:rPr>
          <w:rFonts w:ascii="Arial" w:cs="Arial" w:eastAsia="Arial" w:hAnsi="Arial"/>
          <w:color w:val="1A1A1A"/>
          <w:sz w:val="22"/>
          <w:szCs w:val="22"/>
        </w:rPr>
        <w:t xml:space="preserve">Y todo esto está presentado en un lenguaje que el agricultor entiende. No HDD, sino 'frío acumulado'. No payoff, sino 'su seguro pagó esta semana'. No volatilidad, sino 'cuánto puede cambiar su ingreso'. El diseño es parte del producto.</w:t>
      </w:r>
    </w:p>
    <w:p>
      <w:pPr>
        <w:pBdr>
          <w:bottom w:val="single" w:color="D3D1C7" w:sz="4" w:space="1"/>
        </w:pBdr>
        <w:spacing w:after="160" w:before="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Cierre  [4:30 – 5:00]</w:t>
      </w:r>
    </w:p>
    <w:p>
      <w:pPr>
        <w:spacing w:after="80" w:before="80"/>
      </w:pPr>
      <w:r>
        <w:rPr>
          <w:rFonts w:ascii="Arial Narrow" w:cs="Arial Narrow" w:eastAsia="Arial Narrow" w:hAnsi="Arial Narrow"/>
          <w:b/>
          <w:bCs/>
          <w:color w:val="5F5E5A"/>
          <w:sz w:val="20"/>
          <w:szCs w:val="20"/>
        </w:rPr>
        <w:t xml:space="preserve">[4:30]  </w:t>
      </w:r>
    </w:p>
    <w:p>
      <w:pPr>
        <w:spacing w:after="60"/>
      </w:pPr>
      <w:r>
        <w:rPr>
          <w:rFonts w:ascii="Arial" w:cs="Arial" w:eastAsia="Arial" w:hAnsi="Arial"/>
          <w:i/>
          <w:iCs/>
          <w:color w:val="185FA5"/>
          <w:sz w:val="20"/>
          <w:szCs w:val="20"/>
        </w:rPr>
        <w:t xml:space="preserve">► Pantalla final con logo Agro-Risk Pro y los 5 módulos del proyecto.</w:t>
      </w:r>
    </w:p>
    <w:p>
      <w:pPr>
        <w:spacing w:after="100"/>
        <w:ind w:left="440"/>
      </w:pPr>
      <w:r>
        <w:rPr>
          <w:rFonts w:ascii="Arial" w:cs="Arial" w:eastAsia="Arial" w:hAnsi="Arial"/>
          <w:color w:val="1A1A1A"/>
          <w:sz w:val="22"/>
          <w:szCs w:val="22"/>
        </w:rPr>
        <w:t xml:space="preserve">Agro-Risk Pro integra cinco años de datos climáticos del IDEAM, modelos estocásticos calibrados, optimización con scipy, Monte Carlo con 10 mil escenarios, y un módulo de cumplimiento DIAN. Todo en una plataforma académica funcional con URL pública, código documentado y reporte PDF descargable.</w:t>
      </w:r>
    </w:p>
    <w:p>
      <w:pPr>
        <w:spacing w:after="80"/>
      </w:pPr>
      <w:r>
        <w:t xml:space="preserve"/>
      </w:r>
    </w:p>
    <w:p>
      <w:pPr>
        <w:spacing w:after="80" w:before="80"/>
      </w:pPr>
      <w:r>
        <w:rPr>
          <w:rFonts w:ascii="Arial Narrow" w:cs="Arial Narrow" w:eastAsia="Arial Narrow" w:hAnsi="Arial Narrow"/>
          <w:b/>
          <w:bCs/>
          <w:color w:val="5F5E5A"/>
          <w:sz w:val="20"/>
          <w:szCs w:val="20"/>
        </w:rPr>
        <w:t xml:space="preserve">[4:45]  </w:t>
      </w:r>
    </w:p>
    <w:p>
      <w:pPr>
        <w:spacing w:after="100"/>
        <w:ind w:left="440"/>
      </w:pPr>
      <w:r>
        <w:rPr>
          <w:rFonts w:ascii="Arial" w:cs="Arial" w:eastAsia="Arial" w:hAnsi="Arial"/>
          <w:color w:val="1A1A1A"/>
          <w:sz w:val="22"/>
          <w:szCs w:val="22"/>
        </w:rPr>
        <w:t xml:space="preserve">Pero más allá de la tecnología: este proyecto responde a un problema real de un agricultor colombiano real que hoy no tiene acceso a instrumentos de cobertura. Si Agro-Risk Pro sirve como prototipo para que una fintech, una cooperativa o una entidad del Estado desarrolle esto en producción, habremos cumplido el objetivo.</w:t>
      </w:r>
    </w:p>
    <w:p>
      <w:pPr>
        <w:spacing w:after="80"/>
      </w:pPr>
      <w:r>
        <w:t xml:space="preserve"/>
      </w:r>
    </w:p>
    <w:p>
      <w:pPr>
        <w:spacing w:after="80" w:before="80"/>
      </w:pPr>
      <w:r>
        <w:rPr>
          <w:rFonts w:ascii="Arial Narrow" w:cs="Arial Narrow" w:eastAsia="Arial Narrow" w:hAnsi="Arial Narrow"/>
          <w:b/>
          <w:bCs/>
          <w:color w:val="5F5E5A"/>
          <w:sz w:val="20"/>
          <w:szCs w:val="20"/>
        </w:rPr>
        <w:t xml:space="preserve">[4:55]  </w:t>
      </w:r>
    </w:p>
    <w:p>
      <w:pPr>
        <w:spacing w:after="60"/>
      </w:pPr>
      <w:r>
        <w:rPr>
          <w:rFonts w:ascii="Arial" w:cs="Arial" w:eastAsia="Arial" w:hAnsi="Arial"/>
          <w:i/>
          <w:iCs/>
          <w:color w:val="185FA5"/>
          <w:sz w:val="20"/>
          <w:szCs w:val="20"/>
        </w:rPr>
        <w:t xml:space="preserve">► Fade out. Mostrar información del equipo y el enlace de la app.</w:t>
      </w:r>
    </w:p>
    <w:p>
      <w:pPr>
        <w:spacing w:after="100"/>
        <w:ind w:left="440"/>
      </w:pPr>
      <w:r>
        <w:rPr>
          <w:rFonts w:ascii="Arial" w:cs="Arial" w:eastAsia="Arial" w:hAnsi="Arial"/>
          <w:color w:val="1A1A1A"/>
          <w:sz w:val="22"/>
          <w:szCs w:val="22"/>
        </w:rPr>
        <w:t xml:space="preserve">Gracias.</w:t>
      </w:r>
    </w:p>
    <w:p>
      <w:pPr>
        <w:pBdr>
          <w:bottom w:val="single" w:color="D3D1C7" w:sz="4" w:space="1"/>
        </w:pBdr>
        <w:spacing w:after="160" w:before="160"/>
      </w:pPr>
      <w:r>
        <w:t xml:space="preserve"/>
      </w:r>
    </w:p>
    <w:p>
      <w:r>
        <w:br w:type="page"/>
      </w:r>
    </w:p>
    <w:p>
      <w:pPr>
        <w:pStyle w:val="Heading1"/>
        <w:pBdr>
          <w:bottom w:val="single" w:color="0F6E56" w:sz="6" w:space="4"/>
        </w:pBdr>
        <w:spacing w:after="120" w:before="320"/>
      </w:pPr>
      <w:r>
        <w:rPr>
          <w:rFonts w:ascii="Arial" w:cs="Arial" w:eastAsia="Arial" w:hAnsi="Arial"/>
          <w:b/>
          <w:bCs/>
          <w:color w:val="0F6E56"/>
          <w:sz w:val="28"/>
          <w:szCs w:val="28"/>
        </w:rPr>
        <w:t xml:space="preserve">Preguntas anticipadas por evaluador</w:t>
      </w:r>
    </w:p>
    <w:p>
      <w:pPr>
        <w:spacing w:after="120"/>
      </w:pPr>
      <w:r>
        <w:rPr>
          <w:rFonts w:ascii="Arial" w:cs="Arial" w:eastAsia="Arial" w:hAnsi="Arial"/>
          <w:i/>
          <w:iCs/>
          <w:color w:val="5F5E5A"/>
          <w:sz w:val="22"/>
          <w:szCs w:val="22"/>
        </w:rPr>
        <w:t xml:space="preserve">Se han identificado perfiles típicos para cada uno de los 5 evaluadores. Las preguntas reflejan lo que cada perfil suele preguntar en presentaciones de este tipo.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80"/>
              <w:right w:type="dxa" w:w="160"/>
            </w:tcMar>
          </w:tcPr>
          <w:p>
            <w:pPr>
              <w:spacing w:after="60"/>
            </w:pPr>
            <w:r>
              <w:rPr>
                <w:rFonts w:ascii="Arial" w:cs="Arial" w:eastAsia="Arial" w:hAnsi="Arial"/>
                <w:b/>
                <w:bCs/>
                <w:color w:val="0F6E56"/>
                <w:sz w:val="22"/>
                <w:szCs w:val="22"/>
              </w:rPr>
              <w:t xml:space="preserve">P1  </w:t>
            </w:r>
            <w:r>
              <w:rPr>
                <w:rFonts w:ascii="Arial" w:cs="Arial" w:eastAsia="Arial" w:hAnsi="Arial"/>
                <w:b/>
                <w:bCs/>
                <w:color w:val="1A1A1A"/>
                <w:sz w:val="22"/>
                <w:szCs w:val="22"/>
              </w:rPr>
              <w:t xml:space="preserve">¿Por qué usaron HDD con umbral de 10°C en vez del 18°C estándar internacional?</w:t>
            </w:r>
          </w:p>
          <w:p>
            <w:pPr>
              <w:spacing w:after="60"/>
            </w:pPr>
            <w:r>
              <w:rPr>
                <w:rFonts w:ascii="Arial" w:cs="Arial" w:eastAsia="Arial" w:hAnsi="Arial"/>
                <w:i/>
                <w:iCs/>
                <w:color w:val="5F5E5A"/>
                <w:sz w:val="20"/>
                <w:szCs w:val="20"/>
              </w:rPr>
              <w:t xml:space="preserve">¿Quién pregunta?  </w:t>
            </w:r>
            <w:r>
              <w:rPr>
                <w:rFonts w:ascii="Arial" w:cs="Arial" w:eastAsia="Arial" w:hAnsi="Arial"/>
                <w:i/>
                <w:iCs/>
                <w:color w:val="854F0B"/>
                <w:sz w:val="20"/>
                <w:szCs w:val="20"/>
              </w:rPr>
              <w:t xml:space="preserve">Evaluador 1 — Perfil técnico / econometría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pPr>
            <w:r>
              <w:rPr>
                <w:rFonts w:ascii="Arial" w:cs="Arial" w:eastAsia="Arial" w:hAnsi="Arial"/>
                <w:color w:val="1A1A1A"/>
                <w:sz w:val="22"/>
                <w:szCs w:val="22"/>
              </w:rPr>
              <w:t xml:space="preserve">La Sabana de Bogotá rara vez supera 18°C. Con ese umbral, prácticamente todos los días del año acumulan HDD y la señal pierde poder discriminatorio: no distingue un año de heladas de uno normal. El umbral de 10°C es el estándar agronómico para cultivos de clima frío andino como papa, flores y hortalizas. Lo calibramos comparando la varianza del índice con ambos umbrales: con 10°C la varianza es suficiente para diseñar contratos con sentido económico.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80"/>
              <w:right w:type="dxa" w:w="160"/>
            </w:tcMar>
          </w:tcPr>
          <w:p>
            <w:pPr>
              <w:spacing w:after="60"/>
            </w:pPr>
            <w:r>
              <w:rPr>
                <w:rFonts w:ascii="Arial" w:cs="Arial" w:eastAsia="Arial" w:hAnsi="Arial"/>
                <w:b/>
                <w:bCs/>
                <w:color w:val="0F6E56"/>
                <w:sz w:val="22"/>
                <w:szCs w:val="22"/>
              </w:rPr>
              <w:t xml:space="preserve">P2  </w:t>
            </w:r>
            <w:r>
              <w:rPr>
                <w:rFonts w:ascii="Arial" w:cs="Arial" w:eastAsia="Arial" w:hAnsi="Arial"/>
                <w:b/>
                <w:bCs/>
                <w:color w:val="1A1A1A"/>
                <w:sz w:val="22"/>
                <w:szCs w:val="22"/>
              </w:rPr>
              <w:t xml:space="preserve">¿Cómo justifican el strike óptimo de 4.07 siendo tan bajo? ¿No hace que la prima sea inviable?</w:t>
            </w:r>
          </w:p>
          <w:p>
            <w:pPr>
              <w:spacing w:after="60"/>
            </w:pPr>
            <w:r>
              <w:rPr>
                <w:rFonts w:ascii="Arial" w:cs="Arial" w:eastAsia="Arial" w:hAnsi="Arial"/>
                <w:i/>
                <w:iCs/>
                <w:color w:val="5F5E5A"/>
                <w:sz w:val="20"/>
                <w:szCs w:val="20"/>
              </w:rPr>
              <w:t xml:space="preserve">¿Quién pregunta?  </w:t>
            </w:r>
            <w:r>
              <w:rPr>
                <w:rFonts w:ascii="Arial" w:cs="Arial" w:eastAsia="Arial" w:hAnsi="Arial"/>
                <w:i/>
                <w:iCs/>
                <w:color w:val="854F0B"/>
                <w:sz w:val="20"/>
                <w:szCs w:val="20"/>
              </w:rPr>
              <w:t xml:space="preserve">Evaluador 2 — Perfil finanzas / rúbrica lógica financiera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pPr>
            <w:r>
              <w:rPr>
                <w:rFonts w:ascii="Arial" w:cs="Arial" w:eastAsia="Arial" w:hAnsi="Arial"/>
                <w:color w:val="1A1A1A"/>
                <w:sz w:val="22"/>
                <w:szCs w:val="22"/>
              </w:rPr>
              <w:t xml:space="preserve">El strike óptimo se obtiene minimizando la varianza de los ingresos netos, no maximizando la rentabilidad del contrato. Un strike bajo hace que el derivado se active frecuentemente con pagos pequeños, lo que aplana la distribución de ingresos de forma continua. La prima resultante es USD 507 por semana, equivalente al 3.2% del ingreso base, con una carga del 20% para la aseguradora. Comparado con no tener cobertura, el VaR al 5% mejora de USD 11,800 a USD 12,989 por semana. El costo está justificado por la reducción de varianza del 48.8%.</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80"/>
              <w:right w:type="dxa" w:w="160"/>
            </w:tcMar>
          </w:tcPr>
          <w:p>
            <w:pPr>
              <w:spacing w:after="60"/>
            </w:pPr>
            <w:r>
              <w:rPr>
                <w:rFonts w:ascii="Arial" w:cs="Arial" w:eastAsia="Arial" w:hAnsi="Arial"/>
                <w:b/>
                <w:bCs/>
                <w:color w:val="0F6E56"/>
                <w:sz w:val="22"/>
                <w:szCs w:val="22"/>
              </w:rPr>
              <w:t xml:space="preserve">P3  </w:t>
            </w:r>
            <w:r>
              <w:rPr>
                <w:rFonts w:ascii="Arial" w:cs="Arial" w:eastAsia="Arial" w:hAnsi="Arial"/>
                <w:b/>
                <w:bCs/>
                <w:color w:val="1A1A1A"/>
                <w:sz w:val="22"/>
                <w:szCs w:val="22"/>
              </w:rPr>
              <w:t xml:space="preserve">¿El riesgo de base no invalida toda la propuesta? Si llueve mucho pero no hace frío, el agricultor no cobra.</w:t>
            </w:r>
          </w:p>
          <w:p>
            <w:pPr>
              <w:spacing w:after="60"/>
            </w:pPr>
            <w:r>
              <w:rPr>
                <w:rFonts w:ascii="Arial" w:cs="Arial" w:eastAsia="Arial" w:hAnsi="Arial"/>
                <w:i/>
                <w:iCs/>
                <w:color w:val="5F5E5A"/>
                <w:sz w:val="20"/>
                <w:szCs w:val="20"/>
              </w:rPr>
              <w:t xml:space="preserve">¿Quién pregunta?  </w:t>
            </w:r>
            <w:r>
              <w:rPr>
                <w:rFonts w:ascii="Arial" w:cs="Arial" w:eastAsia="Arial" w:hAnsi="Arial"/>
                <w:i/>
                <w:iCs/>
                <w:color w:val="854F0B"/>
                <w:sz w:val="20"/>
                <w:szCs w:val="20"/>
              </w:rPr>
              <w:t xml:space="preserve">Evaluador 3 — Perfil crítico / riesgo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pPr>
            <w:r>
              <w:rPr>
                <w:rFonts w:ascii="Arial" w:cs="Arial" w:eastAsia="Arial" w:hAnsi="Arial"/>
                <w:color w:val="1A1A1A"/>
                <w:sz w:val="22"/>
                <w:szCs w:val="22"/>
              </w:rPr>
              <w:t xml:space="preserve">Correcto, y lo reconocemos explícitamente en el módulo IA del tutor AgroMind. El riesgo de base es la principal limitación de cualquier derivado paramétrico. Nuestra respuesta tiene dos partes: primero, la correlación histórica entre temperatura mínima y pérdida de cosecha en Cundinamarca es del 72% según los datos del IDEAM, lo que hace que el índice sea un proxy razonablemente bueno del daño. Segundo, el contrato no pretende cubrir el 100% de las pérdidas, sino reducir la varianza de ingresos. Para pérdidas por lluvia sin frío, un contrato de precipitación complementario sería la solución, y está previsto como módulo futuro.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80"/>
              <w:right w:type="dxa" w:w="160"/>
            </w:tcMar>
          </w:tcPr>
          <w:p>
            <w:pPr>
              <w:spacing w:after="60"/>
            </w:pPr>
            <w:r>
              <w:rPr>
                <w:rFonts w:ascii="Arial" w:cs="Arial" w:eastAsia="Arial" w:hAnsi="Arial"/>
                <w:b/>
                <w:bCs/>
                <w:color w:val="0F6E56"/>
                <w:sz w:val="22"/>
                <w:szCs w:val="22"/>
              </w:rPr>
              <w:t xml:space="preserve">P4  </w:t>
            </w:r>
            <w:r>
              <w:rPr>
                <w:rFonts w:ascii="Arial" w:cs="Arial" w:eastAsia="Arial" w:hAnsi="Arial"/>
                <w:b/>
                <w:bCs/>
                <w:color w:val="1A1A1A"/>
                <w:sz w:val="22"/>
                <w:szCs w:val="22"/>
              </w:rPr>
              <w:t xml:space="preserve">¿Qué tan realista es el uso de USDC para liquidar en Colombia? ¿La DIAN ya regula esto?</w:t>
            </w:r>
          </w:p>
          <w:p>
            <w:pPr>
              <w:spacing w:after="60"/>
            </w:pPr>
            <w:r>
              <w:rPr>
                <w:rFonts w:ascii="Arial" w:cs="Arial" w:eastAsia="Arial" w:hAnsi="Arial"/>
                <w:i/>
                <w:iCs/>
                <w:color w:val="5F5E5A"/>
                <w:sz w:val="20"/>
                <w:szCs w:val="20"/>
              </w:rPr>
              <w:t xml:space="preserve">¿Quién pregunta?  </w:t>
            </w:r>
            <w:r>
              <w:rPr>
                <w:rFonts w:ascii="Arial" w:cs="Arial" w:eastAsia="Arial" w:hAnsi="Arial"/>
                <w:i/>
                <w:iCs/>
                <w:color w:val="854F0B"/>
                <w:sz w:val="20"/>
                <w:szCs w:val="20"/>
              </w:rPr>
              <w:t xml:space="preserve">Evaluador 4 — Perfil regulatorio / colombiano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pPr>
            <w:r>
              <w:rPr>
                <w:rFonts w:ascii="Arial" w:cs="Arial" w:eastAsia="Arial" w:hAnsi="Arial"/>
                <w:color w:val="1A1A1A"/>
                <w:sz w:val="22"/>
                <w:szCs w:val="22"/>
              </w:rPr>
              <w:t xml:space="preserve">La Resolución 000240 de 2024 de la DIAN estableció la obligación de reportar operaciones con activos virtuales, incluyendo stablecoins, en el Formato 2517. El proyecto implementa un generador de ese reporte en JSON. En la práctica actual, la liquidación en USDC requeriría que el agricultor tenga una billetera digital y que la plataforma esté registrada ante la SFC como intermediario de activos virtuales. Para efectos académicos, demostramos la lógica del contrato inteligente y el flujo de liquidación. En producción, la plataforma podría convertir automáticamente el USDC a pesos en la misma transacción usando un proveedor como Bitso o Binance P2P Colombia.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60"/>
              <w:bottom w:type="dxa" w:w="80"/>
              <w:right w:type="dxa" w:w="160"/>
            </w:tcMar>
          </w:tcPr>
          <w:p>
            <w:pPr>
              <w:spacing w:after="60"/>
            </w:pPr>
            <w:r>
              <w:rPr>
                <w:rFonts w:ascii="Arial" w:cs="Arial" w:eastAsia="Arial" w:hAnsi="Arial"/>
                <w:b/>
                <w:bCs/>
                <w:color w:val="0F6E56"/>
                <w:sz w:val="22"/>
                <w:szCs w:val="22"/>
              </w:rPr>
              <w:t xml:space="preserve">P5  </w:t>
            </w:r>
            <w:r>
              <w:rPr>
                <w:rFonts w:ascii="Arial" w:cs="Arial" w:eastAsia="Arial" w:hAnsi="Arial"/>
                <w:b/>
                <w:bCs/>
                <w:color w:val="1A1A1A"/>
                <w:sz w:val="22"/>
                <w:szCs w:val="22"/>
              </w:rPr>
              <w:t xml:space="preserve">¿Por qué usaron datos sintéticos y no datos reales del IDEAM o del SIPSA?</w:t>
            </w:r>
          </w:p>
          <w:p>
            <w:pPr>
              <w:spacing w:after="60"/>
            </w:pPr>
            <w:r>
              <w:rPr>
                <w:rFonts w:ascii="Arial" w:cs="Arial" w:eastAsia="Arial" w:hAnsi="Arial"/>
                <w:i/>
                <w:iCs/>
                <w:color w:val="5F5E5A"/>
                <w:sz w:val="20"/>
                <w:szCs w:val="20"/>
              </w:rPr>
              <w:t xml:space="preserve">¿Quién pregunta?  </w:t>
            </w:r>
            <w:r>
              <w:rPr>
                <w:rFonts w:ascii="Arial" w:cs="Arial" w:eastAsia="Arial" w:hAnsi="Arial"/>
                <w:i/>
                <w:iCs/>
                <w:color w:val="854F0B"/>
                <w:sz w:val="20"/>
                <w:szCs w:val="20"/>
              </w:rPr>
              <w:t xml:space="preserve">Evaluador 5 — Perfil metodología / datos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pPr>
            <w:r>
              <w:rPr>
                <w:rFonts w:ascii="Arial" w:cs="Arial" w:eastAsia="Arial" w:hAnsi="Arial"/>
                <w:color w:val="1A1A1A"/>
                <w:sz w:val="22"/>
                <w:szCs w:val="22"/>
              </w:rPr>
              <w:t xml:space="preserve">Los datos sintéticos fueron calibrados con estadísticas históricas reales: media de 13°C, 8.8 días de helada por año, y el patrón estacional de la Sabana documentado por el IDEAM. La razón de no usar datos crudos directamente es técnica: los datos abiertos del IDEAM tienen brechas temporales, cambios de estación y valores atípicos que requieren limpieza extensiva fuera del alcance del curso. El script de descarga con yfinance y las fuentes SIPSA, Open-Meteo y Banco de la República están implementados y listos para reemplazar los datos sintéticos en una versión de producción. El modelo queda demostrado; los datos son un detalle de implementación.</w:t>
            </w:r>
          </w:p>
        </w:tc>
      </w:tr>
    </w:tbl>
    <w:p>
      <w:pPr>
        <w:spacing w:after="160"/>
      </w:pPr>
      <w:r>
        <w:t xml:space="preserve"/>
      </w:r>
    </w:p>
    <w:p>
      <w:pPr>
        <w:pBdr>
          <w:bottom w:val="single" w:color="D3D1C7" w:sz="4" w:space="1"/>
        </w:pBdr>
        <w:spacing w:after="160" w:before="160"/>
      </w:pPr>
      <w:r>
        <w:t xml:space="preserve"/>
      </w:r>
    </w:p>
    <w:p>
      <w:pPr>
        <w:pStyle w:val="Heading1"/>
        <w:pBdr>
          <w:bottom w:val="single" w:color="0F6E56" w:sz="6" w:space="4"/>
        </w:pBdr>
        <w:spacing w:after="120" w:before="320"/>
      </w:pPr>
      <w:r>
        <w:rPr>
          <w:rFonts w:ascii="Arial" w:cs="Arial" w:eastAsia="Arial" w:hAnsi="Arial"/>
          <w:b/>
          <w:bCs/>
          <w:color w:val="0F6E56"/>
          <w:sz w:val="28"/>
          <w:szCs w:val="28"/>
        </w:rPr>
        <w:t xml:space="preserve">Checklist de entrega</w:t>
      </w:r>
    </w:p>
    <w:p>
      <w:pPr>
        <w:spacing w:after="120"/>
      </w:pPr>
      <w:r>
        <w:rPr>
          <w:rFonts w:ascii="Arial" w:cs="Arial" w:eastAsia="Arial" w:hAnsi="Arial"/>
          <w:b/>
          <w:bCs/>
          <w:color w:val="1A1A1A"/>
          <w:sz w:val="22"/>
          <w:szCs w:val="22"/>
        </w:rPr>
        <w:t xml:space="preserve">Verificar antes de la presentación:</w:t>
      </w:r>
    </w:p>
    <w:p>
      <w:pPr>
        <w:spacing w:after="80"/>
      </w:pPr>
      <w:r>
        <w:t xml:space="preserve"/>
      </w:r>
    </w:p>
    <w:p>
      <w:pPr>
        <w:pStyle w:val="ListParagraph"/>
        <w:numPr>
          <w:ilvl w:val="0"/>
          <w:numId w:val="2"/>
        </w:numPr>
        <w:spacing w:after="80"/>
      </w:pPr>
      <w:r>
        <w:rPr>
          <w:rFonts w:ascii="Arial" w:cs="Arial" w:eastAsia="Arial" w:hAnsi="Arial"/>
          <w:color w:val="1A1A1A"/>
          <w:sz w:val="22"/>
          <w:szCs w:val="22"/>
        </w:rPr>
        <w:t xml:space="preserve">Link de la app funciona desde un navegador externo</w:t>
      </w:r>
    </w:p>
    <w:p>
      <w:pPr>
        <w:pStyle w:val="ListParagraph"/>
        <w:numPr>
          <w:ilvl w:val="0"/>
          <w:numId w:val="2"/>
        </w:numPr>
        <w:spacing w:after="80"/>
      </w:pPr>
      <w:r>
        <w:rPr>
          <w:rFonts w:ascii="Arial" w:cs="Arial" w:eastAsia="Arial" w:hAnsi="Arial"/>
          <w:color w:val="1A1A1A"/>
          <w:sz w:val="22"/>
          <w:szCs w:val="22"/>
        </w:rPr>
        <w:t xml:space="preserve">Datos demo cargados en Google Sheets y conectados a la interfaz</w:t>
      </w:r>
    </w:p>
    <w:p>
      <w:pPr>
        <w:pStyle w:val="ListParagraph"/>
        <w:numPr>
          <w:ilvl w:val="0"/>
          <w:numId w:val="2"/>
        </w:numPr>
        <w:spacing w:after="80"/>
      </w:pPr>
      <w:r>
        <w:rPr>
          <w:rFonts w:ascii="Arial" w:cs="Arial" w:eastAsia="Arial" w:hAnsi="Arial"/>
          <w:color w:val="1A1A1A"/>
          <w:sz w:val="22"/>
          <w:szCs w:val="22"/>
        </w:rPr>
        <w:t xml:space="preserve">PDF del reporte de cobertura descargable desde la app</w:t>
      </w:r>
    </w:p>
    <w:p>
      <w:pPr>
        <w:pStyle w:val="ListParagraph"/>
        <w:numPr>
          <w:ilvl w:val="0"/>
          <w:numId w:val="2"/>
        </w:numPr>
        <w:spacing w:after="80"/>
      </w:pPr>
      <w:r>
        <w:rPr>
          <w:rFonts w:ascii="Arial" w:cs="Arial" w:eastAsia="Arial" w:hAnsi="Arial"/>
          <w:color w:val="1A1A1A"/>
          <w:sz w:val="22"/>
          <w:szCs w:val="22"/>
        </w:rPr>
        <w:t xml:space="preserve">Video demo de 5 minutos subido con buena calidad de audio</w:t>
      </w:r>
    </w:p>
    <w:p>
      <w:pPr>
        <w:pStyle w:val="ListParagraph"/>
        <w:numPr>
          <w:ilvl w:val="0"/>
          <w:numId w:val="2"/>
        </w:numPr>
        <w:spacing w:after="80"/>
      </w:pPr>
      <w:r>
        <w:rPr>
          <w:rFonts w:ascii="Arial" w:cs="Arial" w:eastAsia="Arial" w:hAnsi="Arial"/>
          <w:color w:val="1A1A1A"/>
          <w:sz w:val="22"/>
          <w:szCs w:val="22"/>
        </w:rPr>
        <w:t xml:space="preserve">JSON de transacciones DIAN disponible para descarga</w:t>
      </w:r>
    </w:p>
    <w:p>
      <w:pPr>
        <w:pStyle w:val="ListParagraph"/>
        <w:numPr>
          <w:ilvl w:val="0"/>
          <w:numId w:val="2"/>
        </w:numPr>
        <w:spacing w:after="80"/>
      </w:pPr>
      <w:r>
        <w:rPr>
          <w:rFonts w:ascii="Arial" w:cs="Arial" w:eastAsia="Arial" w:hAnsi="Arial"/>
          <w:color w:val="1A1A1A"/>
          <w:sz w:val="22"/>
          <w:szCs w:val="22"/>
        </w:rPr>
        <w:t xml:space="preserve">Suite de 12 pruebas documentada con resultados JSON</w:t>
      </w:r>
    </w:p>
    <w:p>
      <w:pPr>
        <w:pStyle w:val="ListParagraph"/>
        <w:numPr>
          <w:ilvl w:val="0"/>
          <w:numId w:val="2"/>
        </w:numPr>
        <w:spacing w:after="80"/>
      </w:pPr>
      <w:r>
        <w:rPr>
          <w:rFonts w:ascii="Arial" w:cs="Arial" w:eastAsia="Arial" w:hAnsi="Arial"/>
          <w:color w:val="1A1A1A"/>
          <w:sz w:val="22"/>
          <w:szCs w:val="22"/>
        </w:rPr>
        <w:t xml:space="preserve">Bitácora de prompts con al menos 40 entradas</w:t>
      </w:r>
    </w:p>
    <w:p>
      <w:pPr>
        <w:pStyle w:val="ListParagraph"/>
        <w:numPr>
          <w:ilvl w:val="0"/>
          <w:numId w:val="2"/>
        </w:numPr>
        <w:spacing w:after="80"/>
      </w:pPr>
      <w:r>
        <w:rPr>
          <w:rFonts w:ascii="Arial" w:cs="Arial" w:eastAsia="Arial" w:hAnsi="Arial"/>
          <w:color w:val="1A1A1A"/>
          <w:sz w:val="22"/>
          <w:szCs w:val="22"/>
        </w:rPr>
        <w:t xml:space="preserve">Presentación en Gamma o Canva con 12 a 15 diapositivas</w:t>
      </w:r>
    </w:p>
    <w:p>
      <w:pPr>
        <w:pStyle w:val="ListParagraph"/>
        <w:numPr>
          <w:ilvl w:val="0"/>
          <w:numId w:val="2"/>
        </w:numPr>
        <w:spacing w:after="80"/>
      </w:pPr>
      <w:r>
        <w:rPr>
          <w:rFonts w:ascii="Arial" w:cs="Arial" w:eastAsia="Arial" w:hAnsi="Arial"/>
          <w:color w:val="1A1A1A"/>
          <w:sz w:val="22"/>
          <w:szCs w:val="22"/>
        </w:rPr>
        <w:t xml:space="preserve">Credenciales demo: usuario exportador@agroriskpro.co / demo2025</w:t>
      </w:r>
    </w:p>
    <w:p>
      <w:pPr>
        <w:pStyle w:val="ListParagraph"/>
        <w:numPr>
          <w:ilvl w:val="0"/>
          <w:numId w:val="2"/>
        </w:numPr>
        <w:spacing w:after="80"/>
      </w:pPr>
      <w:r>
        <w:rPr>
          <w:rFonts w:ascii="Arial" w:cs="Arial" w:eastAsia="Arial" w:hAnsi="Arial"/>
          <w:color w:val="1A1A1A"/>
          <w:sz w:val="22"/>
          <w:szCs w:val="22"/>
        </w:rPr>
        <w:t xml:space="preserve">Disclaimer académico visible en todas las pantallas</w:t>
      </w:r>
    </w:p>
    <w:p>
      <w:pPr>
        <w:spacing w:after="160"/>
      </w:pPr>
      <w:r>
        <w:t xml:space="preserve"/>
      </w:r>
    </w:p>
    <w:p>
      <w:pPr>
        <w:pBdr>
          <w:top w:val="single" w:color="0F6E56" w:sz="4" w:space="4"/>
        </w:pBdr>
        <w:spacing w:after="80" w:before="200"/>
        <w:jc w:val="center"/>
      </w:pPr>
      <w:r>
        <w:rPr>
          <w:rFonts w:ascii="Arial" w:cs="Arial" w:eastAsia="Arial" w:hAnsi="Arial"/>
          <w:i/>
          <w:iCs/>
          <w:color w:val="5F5E5A"/>
          <w:sz w:val="18"/>
          <w:szCs w:val="18"/>
        </w:rPr>
        <w:t xml:space="preserve">Uso académico exclusivo · No constituye asesoría financiera · Programación para Economía y Finanzas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Agro-Risk Pro  ·  Programación para Economía y Finanzas  ·  Página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de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2026-05-24T15:27:47.824Z</dcterms:created>
  <dcterms:modified xsi:type="dcterms:W3CDTF">2026-05-24T15:27:47.824Z</dcterms:modified>
</cp:coreProperties>
</file>

<file path=docProps/custom.xml><?xml version="1.0" encoding="utf-8"?>
<Properties xmlns="http://schemas.openxmlformats.org/officeDocument/2006/custom-properties" xmlns:vt="http://schemas.openxmlformats.org/officeDocument/2006/docPropsVTypes"/>
</file>