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Supplementary Methods</w:t>
      </w:r>
    </w:p>
    <w:p/>
    <w:p>
      <w:pPr>
        <w:jc w:val="center"/>
      </w:pPr>
      <w:r>
        <w:rPr>
          <w:b w:val="0"/>
          <w:i/>
          <w:sz w:val="24"/>
        </w:rPr>
        <w:t>The dissolved organic matter clonome: constrained isomeric richness reveals hidden structural diversity across aquatic and terrestrial ecosystems</w:t>
      </w:r>
    </w:p>
    <w:p/>
    <w:p>
      <w:pPr>
        <w:jc w:val="center"/>
      </w:pPr>
      <w:r>
        <w:rPr>
          <w:b w:val="0"/>
          <w:i w:val="0"/>
          <w:sz w:val="22"/>
        </w:rPr>
        <w:t>[Author A, Author B, Author C]</w:t>
      </w:r>
    </w:p>
    <w:p/>
    <w:p>
      <w:pPr>
        <w:jc w:val="center"/>
      </w:pPr>
      <w:r>
        <w:rPr>
          <w:b w:val="0"/>
          <w:i/>
          <w:sz w:val="20"/>
        </w:rPr>
        <w:t>This document provides complete technical details for all methods, equations, constraint rules, and sensitivity analyses described in the main text. All code is available at https://github.com/erikafreeman/dom-clonome</w:t>
      </w:r>
    </w:p>
    <w:p>
      <w:r>
        <w:br w:type="page"/>
      </w:r>
    </w:p>
    <w:p>
      <w:pPr>
        <w:pStyle w:val="Heading1"/>
      </w:pPr>
      <w:r>
        <w:t>S1. Data Sources and Preprocessing</w:t>
      </w:r>
    </w:p>
    <w:p>
      <w:pPr>
        <w:pStyle w:val="Heading2"/>
      </w:pPr>
      <w:r>
        <w:t>S1.1 Primary dataset: WHONDRS 2018 Surface Water</w:t>
      </w:r>
    </w:p>
    <w:p>
      <w:pPr>
        <w:ind w:firstLine="576"/>
      </w:pPr>
      <w:r>
        <w:rPr>
          <w:b w:val="0"/>
          <w:i w:val="0"/>
          <w:sz w:val="22"/>
        </w:rPr>
        <w:t>The primary analysis used FT-ICR-MS data from the WHONDRS (Worldwide Hydrobiogeochemistry Observation Network for Dynamic River Systems) 2018 Surface Water Metabolite and Biogeochemistry campaign (Stegen et al. 2022; Goldman et al. 2020). Data were downloaded from ESS-DIVE (doi:10.15485/1484811) as a single CSV file (WHONDRS_SW_Kits_FTICR_Aug2018.csv) containing 34,021 rows (mass spectral features) and 93 columns (13 metadata columns plus 80 sample intensity columns).</w:t>
      </w:r>
    </w:p>
    <w:p>
      <w:pPr>
        <w:ind w:firstLine="576"/>
      </w:pPr>
      <w:r>
        <w:rPr>
          <w:b w:val="0"/>
          <w:i w:val="0"/>
          <w:sz w:val="22"/>
        </w:rPr>
        <w:t>Metadata columns: Mass, C, H, O, N, C13, S, P, Na, El_comp, NeutralMass, Error_ppm, Candidates. Sample columns follow the naming convention SiteID.Replicate (e.g., S000003.1, S000003.2, S000003.3), with triplicate samples per site. Values represent FT-ICR-MS peak intensities; zero indicates absence.</w:t>
      </w:r>
    </w:p>
    <w:p>
      <w:pPr>
        <w:ind w:firstLine="576"/>
      </w:pPr>
      <w:r>
        <w:rPr>
          <w:b w:val="0"/>
          <w:i w:val="0"/>
          <w:sz w:val="22"/>
        </w:rPr>
        <w:t>Of the 34,021 features, 8,972 (26.4%) had C &gt; 0 and were retained as assigned molecular formulae. Element counts (C, H, O, N, S, P) were read directly from the CSV columns and cast to integer after coercing non-numeric values to zero.</w:t>
      </w:r>
    </w:p>
    <w:p>
      <w:pPr>
        <w:pStyle w:val="Heading2"/>
      </w:pPr>
      <w:r>
        <w:t>S1.2 Metadata and geochemistry</w:t>
      </w:r>
    </w:p>
    <w:p>
      <w:pPr>
        <w:ind w:firstLine="576"/>
      </w:pPr>
      <w:r>
        <w:rPr>
          <w:b w:val="0"/>
          <w:i w:val="0"/>
          <w:sz w:val="22"/>
        </w:rPr>
        <w:t>Site metadata (WHONDRS_SW_Kits_Metadata_20Nov2018.csv) provided latitude, longitude, water temperature, river name, and state for 27 sites across 8 U.S. states (Oregon, Washington, California, Colorado, New Mexico, Texas, Ohio, Tennessee). This file required latin-1 encoding due to special characters. One site (S000022) reported a water temperature of 63°C, likely indicating geothermal influence; it was retained in all analyses, and excluding it did not qualitatively alter any result.</w:t>
      </w:r>
    </w:p>
    <w:p>
      <w:pPr>
        <w:ind w:firstLine="576"/>
      </w:pPr>
      <w:r>
        <w:rPr>
          <w:b w:val="0"/>
          <w:i w:val="0"/>
          <w:sz w:val="22"/>
        </w:rPr>
        <w:t>Dissolved organic carbon (DOC) was obtained from the geochemistry file (WHONDRS_SW_Kits_Geochem_20Nov2018.csv), column X681_NPOC_mg_per_L_as_C (non-purgeable organic carbon). DOC ranged from 0.92 to 5.16 mg L⁻¹.</w:t>
      </w:r>
    </w:p>
    <w:p>
      <w:pPr>
        <w:pStyle w:val="Heading2"/>
      </w:pPr>
      <w:r>
        <w:t>S1.3 Cross-ecosystem datasets</w:t>
      </w:r>
    </w:p>
    <w:p>
      <w:pPr>
        <w:ind w:firstLine="576"/>
      </w:pPr>
      <w:r>
        <w:rPr>
          <w:b w:val="0"/>
          <w:i w:val="0"/>
          <w:sz w:val="22"/>
        </w:rPr>
        <w:t>Six additional datasets were processed using the same CIR pipeline without parameter adjustment: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Arial" w:hAnsi="Arial"/>
                <w:b/>
                <w:sz w:val="19"/>
              </w:rPr>
              <w:t>Dataset</w:t>
            </w:r>
          </w:p>
        </w:tc>
        <w:tc>
          <w:tcPr>
            <w:tcW w:type="dxa" w:w="1872"/>
          </w:tcPr>
          <w:p>
            <w:r/>
            <w:r>
              <w:rPr>
                <w:rFonts w:ascii="Arial" w:hAnsi="Arial"/>
                <w:b/>
                <w:sz w:val="19"/>
              </w:rPr>
              <w:t>Source</w:t>
            </w:r>
          </w:p>
        </w:tc>
        <w:tc>
          <w:tcPr>
            <w:tcW w:type="dxa" w:w="1872"/>
          </w:tcPr>
          <w:p>
            <w:r/>
            <w:r>
              <w:rPr>
                <w:rFonts w:ascii="Arial" w:hAnsi="Arial"/>
                <w:b/>
                <w:sz w:val="19"/>
              </w:rPr>
              <w:t>Formulae</w:t>
            </w:r>
          </w:p>
        </w:tc>
        <w:tc>
          <w:tcPr>
            <w:tcW w:type="dxa" w:w="1872"/>
          </w:tcPr>
          <w:p>
            <w:r/>
            <w:r>
              <w:rPr>
                <w:rFonts w:ascii="Arial" w:hAnsi="Arial"/>
                <w:b/>
                <w:sz w:val="19"/>
              </w:rPr>
              <w:t>Samples</w:t>
            </w:r>
          </w:p>
        </w:tc>
        <w:tc>
          <w:tcPr>
            <w:tcW w:type="dxa" w:w="1872"/>
          </w:tcPr>
          <w:p>
            <w:r/>
            <w:r>
              <w:rPr>
                <w:rFonts w:ascii="Arial" w:hAnsi="Arial"/>
                <w:b/>
                <w:sz w:val="19"/>
              </w:rPr>
              <w:t>Format</w:t>
            </w:r>
          </w:p>
        </w:tc>
      </w:tr>
      <w:tr>
        <w:tc>
          <w:tcPr>
            <w:tcW w:type="dxa" w:w="1872"/>
          </w:tcPr>
          <w:p>
            <w:r/>
            <w:r>
              <w:rPr>
                <w:sz w:val="19"/>
              </w:rPr>
              <w:t>WHONDRS S19S 2019</w:t>
              <w:br/>
              <w:t>Surface Water</w:t>
            </w:r>
          </w:p>
        </w:tc>
        <w:tc>
          <w:tcPr>
            <w:tcW w:type="dxa" w:w="1872"/>
          </w:tcPr>
          <w:p>
            <w:r/>
            <w:r>
              <w:rPr>
                <w:sz w:val="19"/>
              </w:rPr>
              <w:t>ESS-DIVE</w:t>
              <w:br/>
              <w:t>doi:10.15485/1603775</w:t>
            </w:r>
          </w:p>
        </w:tc>
        <w:tc>
          <w:tcPr>
            <w:tcW w:type="dxa" w:w="1872"/>
          </w:tcPr>
          <w:p>
            <w:r/>
            <w:r>
              <w:rPr>
                <w:sz w:val="19"/>
              </w:rPr>
              <w:t>166,262</w:t>
            </w:r>
          </w:p>
        </w:tc>
        <w:tc>
          <w:tcPr>
            <w:tcW w:type="dxa" w:w="1872"/>
          </w:tcPr>
          <w:p>
            <w:r/>
            <w:r>
              <w:rPr>
                <w:sz w:val="19"/>
              </w:rPr>
              <w:t>282</w:t>
            </w:r>
          </w:p>
        </w:tc>
        <w:tc>
          <w:tcPr>
            <w:tcW w:type="dxa" w:w="1872"/>
          </w:tcPr>
          <w:p>
            <w:r/>
            <w:r>
              <w:rPr>
                <w:sz w:val="19"/>
              </w:rPr>
              <w:t>Raw XML</w:t>
            </w:r>
          </w:p>
        </w:tc>
      </w:tr>
      <w:tr>
        <w:tc>
          <w:tcPr>
            <w:tcW w:type="dxa" w:w="1872"/>
          </w:tcPr>
          <w:p>
            <w:r/>
            <w:r>
              <w:rPr>
                <w:sz w:val="19"/>
              </w:rPr>
              <w:t>WHONDRS S19S 2019</w:t>
              <w:br/>
              <w:t>Sediment</w:t>
            </w:r>
          </w:p>
        </w:tc>
        <w:tc>
          <w:tcPr>
            <w:tcW w:type="dxa" w:w="1872"/>
          </w:tcPr>
          <w:p>
            <w:r/>
            <w:r>
              <w:rPr>
                <w:sz w:val="19"/>
              </w:rPr>
              <w:t>ESS-DIVE</w:t>
              <w:br/>
              <w:t>doi:10.15485/1729719</w:t>
            </w:r>
          </w:p>
        </w:tc>
        <w:tc>
          <w:tcPr>
            <w:tcW w:type="dxa" w:w="1872"/>
          </w:tcPr>
          <w:p>
            <w:r/>
            <w:r>
              <w:rPr>
                <w:sz w:val="19"/>
              </w:rPr>
              <w:t>127,136</w:t>
            </w:r>
          </w:p>
        </w:tc>
        <w:tc>
          <w:tcPr>
            <w:tcW w:type="dxa" w:w="1872"/>
          </w:tcPr>
          <w:p>
            <w:r/>
            <w:r>
              <w:rPr>
                <w:sz w:val="19"/>
              </w:rPr>
              <w:t>276</w:t>
            </w:r>
          </w:p>
        </w:tc>
        <w:tc>
          <w:tcPr>
            <w:tcW w:type="dxa" w:w="1872"/>
          </w:tcPr>
          <w:p>
            <w:r/>
            <w:r>
              <w:rPr>
                <w:sz w:val="19"/>
              </w:rPr>
              <w:t>Raw XML</w:t>
            </w:r>
          </w:p>
        </w:tc>
      </w:tr>
      <w:tr>
        <w:tc>
          <w:tcPr>
            <w:tcW w:type="dxa" w:w="1872"/>
          </w:tcPr>
          <w:p>
            <w:r/>
            <w:r>
              <w:rPr>
                <w:sz w:val="19"/>
              </w:rPr>
              <w:t>WHONDRS WROL 2019</w:t>
              <w:br/>
              <w:t>Watershed Resilience</w:t>
            </w:r>
          </w:p>
        </w:tc>
        <w:tc>
          <w:tcPr>
            <w:tcW w:type="dxa" w:w="1872"/>
          </w:tcPr>
          <w:p>
            <w:r/>
            <w:r>
              <w:rPr>
                <w:sz w:val="19"/>
              </w:rPr>
              <w:t>ESS-DIVE</w:t>
            </w:r>
          </w:p>
        </w:tc>
        <w:tc>
          <w:tcPr>
            <w:tcW w:type="dxa" w:w="1872"/>
          </w:tcPr>
          <w:p>
            <w:r/>
            <w:r>
              <w:rPr>
                <w:sz w:val="19"/>
              </w:rPr>
              <w:t>150,999</w:t>
            </w:r>
          </w:p>
        </w:tc>
        <w:tc>
          <w:tcPr>
            <w:tcW w:type="dxa" w:w="1872"/>
          </w:tcPr>
          <w:p>
            <w:r/>
            <w:r>
              <w:rPr>
                <w:sz w:val="19"/>
              </w:rPr>
              <w:t>501</w:t>
            </w:r>
          </w:p>
        </w:tc>
        <w:tc>
          <w:tcPr>
            <w:tcW w:type="dxa" w:w="1872"/>
          </w:tcPr>
          <w:p>
            <w:r/>
            <w:r>
              <w:rPr>
                <w:sz w:val="19"/>
              </w:rPr>
              <w:t>Raw XML</w:t>
            </w:r>
          </w:p>
        </w:tc>
      </w:tr>
      <w:tr>
        <w:tc>
          <w:tcPr>
            <w:tcW w:type="dxa" w:w="1872"/>
          </w:tcPr>
          <w:p>
            <w:r/>
            <w:r>
              <w:rPr>
                <w:sz w:val="19"/>
              </w:rPr>
              <w:t>WHONDRS YDE21</w:t>
              <w:br/>
              <w:t>Yukon Delta Arctic</w:t>
            </w:r>
          </w:p>
        </w:tc>
        <w:tc>
          <w:tcPr>
            <w:tcW w:type="dxa" w:w="1872"/>
          </w:tcPr>
          <w:p>
            <w:r/>
            <w:r>
              <w:rPr>
                <w:sz w:val="19"/>
              </w:rPr>
              <w:t>ESS-DIVE</w:t>
            </w:r>
          </w:p>
        </w:tc>
        <w:tc>
          <w:tcPr>
            <w:tcW w:type="dxa" w:w="1872"/>
          </w:tcPr>
          <w:p>
            <w:r/>
            <w:r>
              <w:rPr>
                <w:sz w:val="19"/>
              </w:rPr>
              <w:t>86,338</w:t>
            </w:r>
          </w:p>
        </w:tc>
        <w:tc>
          <w:tcPr>
            <w:tcW w:type="dxa" w:w="1872"/>
          </w:tcPr>
          <w:p>
            <w:r/>
            <w:r>
              <w:rPr>
                <w:sz w:val="19"/>
              </w:rPr>
              <w:t>180</w:t>
            </w:r>
          </w:p>
        </w:tc>
        <w:tc>
          <w:tcPr>
            <w:tcW w:type="dxa" w:w="1872"/>
          </w:tcPr>
          <w:p>
            <w:r/>
            <w:r>
              <w:rPr>
                <w:sz w:val="19"/>
              </w:rPr>
              <w:t>Raw XML</w:t>
            </w:r>
          </w:p>
        </w:tc>
      </w:tr>
      <w:tr>
        <w:tc>
          <w:tcPr>
            <w:tcW w:type="dxa" w:w="1872"/>
          </w:tcPr>
          <w:p>
            <w:r/>
            <w:r>
              <w:rPr>
                <w:sz w:val="19"/>
              </w:rPr>
              <w:t>Soil DOM</w:t>
              <w:br/>
              <w:t>(Xia &amp; Liu 2025)</w:t>
            </w:r>
          </w:p>
        </w:tc>
        <w:tc>
          <w:tcPr>
            <w:tcW w:type="dxa" w:w="1872"/>
          </w:tcPr>
          <w:p>
            <w:r/>
            <w:r>
              <w:rPr>
                <w:sz w:val="19"/>
              </w:rPr>
              <w:t>Dryad</w:t>
              <w:br/>
              <w:t>doi:10.5061/dryad.pvmcvdnw4</w:t>
            </w:r>
          </w:p>
        </w:tc>
        <w:tc>
          <w:tcPr>
            <w:tcW w:type="dxa" w:w="1872"/>
          </w:tcPr>
          <w:p>
            <w:r/>
            <w:r>
              <w:rPr>
                <w:sz w:val="19"/>
              </w:rPr>
              <w:t>121,324</w:t>
            </w:r>
          </w:p>
        </w:tc>
        <w:tc>
          <w:tcPr>
            <w:tcW w:type="dxa" w:w="1872"/>
          </w:tcPr>
          <w:p>
            <w:r/>
            <w:r>
              <w:rPr>
                <w:sz w:val="19"/>
              </w:rPr>
              <w:t>21</w:t>
            </w:r>
          </w:p>
        </w:tc>
        <w:tc>
          <w:tcPr>
            <w:tcW w:type="dxa" w:w="1872"/>
          </w:tcPr>
          <w:p>
            <w:r/>
            <w:r>
              <w:rPr>
                <w:sz w:val="19"/>
              </w:rPr>
              <w:t>xlsx</w:t>
            </w:r>
          </w:p>
        </w:tc>
      </w:tr>
      <w:tr>
        <w:tc>
          <w:tcPr>
            <w:tcW w:type="dxa" w:w="1872"/>
          </w:tcPr>
          <w:p>
            <w:r/>
            <w:r>
              <w:rPr>
                <w:sz w:val="19"/>
              </w:rPr>
              <w:t>Marine DOM</w:t>
              <w:br/>
              <w:t>(Moye et al. 2025)</w:t>
            </w:r>
          </w:p>
        </w:tc>
        <w:tc>
          <w:tcPr>
            <w:tcW w:type="dxa" w:w="1872"/>
          </w:tcPr>
          <w:p>
            <w:r/>
            <w:r>
              <w:rPr>
                <w:sz w:val="19"/>
              </w:rPr>
              <w:t>PANGAEA</w:t>
              <w:br/>
              <w:t>doi:10.1594/PANGAEA.974714</w:t>
            </w:r>
          </w:p>
        </w:tc>
        <w:tc>
          <w:tcPr>
            <w:tcW w:type="dxa" w:w="1872"/>
          </w:tcPr>
          <w:p>
            <w:r/>
            <w:r>
              <w:rPr>
                <w:sz w:val="19"/>
              </w:rPr>
              <w:t>30,198</w:t>
            </w:r>
          </w:p>
        </w:tc>
        <w:tc>
          <w:tcPr>
            <w:tcW w:type="dxa" w:w="1872"/>
          </w:tcPr>
          <w:p>
            <w:r/>
            <w:r>
              <w:rPr>
                <w:sz w:val="19"/>
              </w:rPr>
              <w:t>3</w:t>
            </w:r>
          </w:p>
        </w:tc>
        <w:tc>
          <w:tcPr>
            <w:tcW w:type="dxa" w:w="1872"/>
          </w:tcPr>
          <w:p>
            <w:r/>
            <w:r>
              <w:rPr>
                <w:sz w:val="19"/>
              </w:rPr>
              <w:t>TSV</w:t>
            </w:r>
          </w:p>
        </w:tc>
      </w:tr>
    </w:tbl>
    <w:p/>
    <w:p>
      <w:r>
        <w:rPr>
          <w:b w:val="0"/>
          <w:i/>
          <w:sz w:val="20"/>
        </w:rPr>
        <w:t>Table S1. Cross-ecosystem datasets processed with CIR. Total: 691,229 formulae across 1,343 samples.</w:t>
      </w:r>
    </w:p>
    <w:p>
      <w:pPr>
        <w:pStyle w:val="Heading2"/>
      </w:pPr>
      <w:r>
        <w:t>S1.4 Formula assignment from raw XML peak lists</w:t>
      </w:r>
    </w:p>
    <w:p>
      <w:pPr>
        <w:ind w:firstLine="576"/>
      </w:pPr>
      <w:r>
        <w:rPr>
          <w:b w:val="0"/>
          <w:i w:val="0"/>
          <w:sz w:val="22"/>
        </w:rPr>
        <w:t>Four of the six cross-ecosystem datasets (S19S Surface Water, S19S Sediment, WROL 2019, YDE21) were provided as Bruker DataAnalysis XML peak lists rather than pre-processed formula assignments. We implemented a Python formula assignment engine (formularity_python.py, 306 lines) that:</w:t>
      </w:r>
    </w:p>
    <w:p>
      <w:pPr>
        <w:jc w:val="both"/>
      </w:pPr>
      <w:r>
        <w:rPr>
          <w:b w:val="0"/>
          <w:i w:val="0"/>
          <w:sz w:val="22"/>
        </w:rPr>
        <w:t xml:space="preserve">1. Parses m/z and intensity values </w:t>
      </w:r>
      <w:r>
        <w:rPr>
          <w:b w:val="0"/>
          <w:i/>
          <w:sz w:val="22"/>
        </w:rPr>
        <w:t>from XML &lt;pk&gt; elements (attributes: mz, i, sn, algo).</w:t>
      </w:r>
    </w:p>
    <w:p>
      <w:pPr>
        <w:ind w:firstLine="576"/>
      </w:pPr>
      <w:r>
        <w:rPr>
          <w:b w:val="0"/>
          <w:i w:val="0"/>
          <w:sz w:val="22"/>
        </w:rPr>
        <w:t>2. Filters peaks by signal-to-noise ratio (S/N ≥ 7.0).</w:t>
      </w:r>
    </w:p>
    <w:p>
      <w:pPr>
        <w:ind w:firstLine="576"/>
      </w:pPr>
      <w:r>
        <w:rPr>
          <w:b w:val="0"/>
          <w:i w:val="0"/>
          <w:sz w:val="22"/>
        </w:rPr>
        <w:t>3. Converts m/z to neutral mass assuming negative ESI ionisation: M_neutral = m/z + 1.00727647 (proton mass).</w:t>
      </w:r>
    </w:p>
    <w:p>
      <w:pPr>
        <w:ind w:firstLine="576"/>
      </w:pPr>
      <w:r>
        <w:rPr>
          <w:b w:val="0"/>
          <w:i w:val="0"/>
          <w:sz w:val="22"/>
        </w:rPr>
        <w:t>4. Tests each neutral mass against a pre-computed database of 3,722,872 candidate molecular formulae in the 100–900 Da range, using binary search within ±1 ppm mass tolerance.</w:t>
      </w:r>
    </w:p>
    <w:p>
      <w:pPr>
        <w:ind w:firstLine="576"/>
      </w:pPr>
      <w:r>
        <w:rPr>
          <w:b w:val="0"/>
          <w:i w:val="0"/>
          <w:sz w:val="22"/>
        </w:rPr>
        <w:t>5. Selects the candidate with the lowest mass error for each peak.</w:t>
      </w:r>
    </w:p>
    <w:p>
      <w:pPr>
        <w:ind w:firstLine="576"/>
      </w:pPr>
      <w:r>
        <w:rPr>
          <w:b w:val="0"/>
          <w:i w:val="0"/>
          <w:sz w:val="22"/>
        </w:rPr>
        <w:t>6. Applies chemical validity filters: DBE ≥ 0, 0.2 ≤ H/C ≤ 3.0, O/C ≤ 1.5.</w:t>
      </w:r>
    </w:p>
    <w:p>
      <w:pPr>
        <w:ind w:firstLine="576"/>
      </w:pPr>
      <w:r>
        <w:rPr>
          <w:b w:val="0"/>
          <w:i w:val="0"/>
          <w:sz w:val="22"/>
        </w:rPr>
        <w:t>The candidate database was constructed by exhaustive enumeration of all chemically valid formulae within element bounds: C(1–57), H(1–100), O(0–30), N(0–5), S(0–3), P(0–2). Exact monoisotopic masses were computed using IUPAC 2016 atomic masses: C = 12.000000000, H = 1.007825032, O = 15.994914620, N = 14.003074005, S = 31.972071000, P = 30.973761630.</w:t>
      </w:r>
    </w:p>
    <w:p>
      <w:pPr>
        <w:ind w:firstLine="576"/>
      </w:pPr>
      <w:r>
        <w:rPr>
          <w:b w:val="0"/>
          <w:i w:val="0"/>
          <w:sz w:val="22"/>
        </w:rPr>
        <w:t>Processing time: approximately 1.5 minutes per 280 XML files on a standard laptop (Python 3.12, single-threaded).</w:t>
      </w:r>
    </w:p>
    <w:p>
      <w:pPr>
        <w:pStyle w:val="Heading2"/>
      </w:pPr>
      <w:r>
        <w:t>S1.5 Validation of the Python formula assignment engine</w:t>
      </w:r>
    </w:p>
    <w:p>
      <w:pPr>
        <w:ind w:firstLine="576"/>
      </w:pPr>
      <w:r>
        <w:rPr>
          <w:b w:val="0"/>
          <w:i w:val="0"/>
          <w:sz w:val="22"/>
        </w:rPr>
        <w:t>The Python formula assignment engine (formularity_python.py) was not benchmarked against the Formularity R package on a shared dataset, which is a limitation. However, several internal consistency checks support its validity:</w:t>
      </w:r>
    </w:p>
    <w:p>
      <w:pPr>
        <w:ind w:firstLine="576"/>
      </w:pPr>
      <w:r>
        <w:rPr>
          <w:b w:val="0"/>
          <w:i w:val="0"/>
          <w:sz w:val="22"/>
        </w:rPr>
        <w:t>• The assignment rate for the WHONDRS S19S 2019 Surface Water dataset (166,262 formulae from 282 XMLs) is consistent with the assignment rates reported for similar WHONDRS datasets processed with Formularity (approximately 25–35% of detected peaks receiving confident assignments).</w:t>
      </w:r>
    </w:p>
    <w:p>
      <w:pPr>
        <w:ind w:firstLine="576"/>
      </w:pPr>
      <w:r>
        <w:rPr>
          <w:b w:val="0"/>
          <w:i w:val="0"/>
          <w:sz w:val="22"/>
        </w:rPr>
        <w:t>• The compound class distribution for the S19S Surface Water dataset (22% CRAM, 21% condensed aromatic, 20% lipid-like) is broadly consistent with published WHONDRS distributions (Danczak et al. 2020), though exact proportions vary with instrument settings and sample matrix.</w:t>
      </w:r>
    </w:p>
    <w:p>
      <w:pPr>
        <w:ind w:firstLine="576"/>
      </w:pPr>
      <w:r>
        <w:rPr>
          <w:b w:val="0"/>
          <w:i w:val="0"/>
          <w:sz w:val="22"/>
        </w:rPr>
        <w:t>• CIR class ordering (aromatic lowest, lipid-like highest) was identical across all seven datasets regardless of whether formulae were assigned by the original WHONDRS pipeline (2018 dataset) or by our Python engine (S19S, WROL, YDE21 datasets). If the assignment engine introduced systematic biases, we would expect the CIR class ordering or magnitude to differ between the two assignment methods.</w:t>
      </w:r>
    </w:p>
    <w:p>
      <w:pPr>
        <w:ind w:firstLine="576"/>
      </w:pPr>
      <w:r>
        <w:rPr>
          <w:b w:val="0"/>
          <w:i w:val="0"/>
          <w:sz w:val="22"/>
        </w:rPr>
        <w:t>• We strongly recommend that future users validate this engine against Formularity output on a shared reference sample (e.g., Suwannee River NOM standard) by comparing assignment concordance, ppm error distributions, and downstream CIR values.</w:t>
      </w:r>
    </w:p>
    <w:p>
      <w:r>
        <w:br w:type="page"/>
      </w:r>
    </w:p>
    <w:p>
      <w:pPr>
        <w:pStyle w:val="Heading1"/>
      </w:pPr>
      <w:r>
        <w:t>S2. Chemical Index Calculation</w:t>
      </w:r>
    </w:p>
    <w:p>
      <w:pPr>
        <w:pStyle w:val="Heading2"/>
      </w:pPr>
      <w:r>
        <w:t>S2.1 Double Bond Equivalence (DBE)</w:t>
      </w:r>
    </w:p>
    <w:p>
      <w:pPr>
        <w:spacing w:before="80" w:after="80"/>
        <w:ind w:left="720"/>
      </w:pPr>
      <w:r>
        <w:rPr>
          <w:rFonts w:ascii="Consolas" w:hAnsi="Consolas"/>
          <w:sz w:val="19"/>
        </w:rPr>
        <w:t>DBE = 1 + C - H/2 + N/2</w:t>
      </w:r>
    </w:p>
    <w:p>
      <w:pPr>
        <w:ind w:firstLine="576"/>
      </w:pPr>
      <w:r>
        <w:rPr>
          <w:b w:val="0"/>
          <w:i w:val="0"/>
          <w:sz w:val="22"/>
        </w:rPr>
        <w:t>DBE represents the sum of rings and double bonds in a molecule. A DBE of 0 indicates a fully saturated acyclic molecule; higher values indicate increasing unsaturation.</w:t>
      </w:r>
    </w:p>
    <w:p>
      <w:pPr>
        <w:pStyle w:val="Heading2"/>
      </w:pPr>
      <w:r>
        <w:t>S2.2 Modified Aromaticity Index (AI_mod)</w:t>
      </w:r>
    </w:p>
    <w:p>
      <w:r>
        <w:rPr>
          <w:b w:val="0"/>
          <w:i/>
          <w:sz w:val="22"/>
        </w:rPr>
        <w:t>Koch and Dittmar (2006), Rapid Communications in Mass Spectrometry 20:926–932.</w:t>
      </w:r>
    </w:p>
    <w:p>
      <w:pPr>
        <w:spacing w:before="80" w:after="80"/>
        <w:ind w:left="720"/>
      </w:pPr>
      <w:r>
        <w:rPr>
          <w:rFonts w:ascii="Consolas" w:hAnsi="Consolas"/>
          <w:sz w:val="19"/>
        </w:rPr>
        <w:t>AI_mod = (1 + C - O/2 - S - H/2) / (C - O/2 - S - N - P)</w:t>
      </w:r>
    </w:p>
    <w:p>
      <w:pPr>
        <w:ind w:firstLine="576"/>
      </w:pPr>
      <w:r>
        <w:rPr>
          <w:b w:val="0"/>
          <w:i w:val="0"/>
          <w:sz w:val="22"/>
        </w:rPr>
        <w:t>The denominator represents the fraction of carbon not bound to heteroatoms. AI_mod is set to 0 when the denominator is ≤ 0, and is bounded below at 0 (cannot be negative). Values ≥ 0.50 indicate aromatic structures; values ≥ 0.66 indicate condensed (polycyclic) aromatics.</w:t>
      </w:r>
    </w:p>
    <w:p>
      <w:pPr>
        <w:pStyle w:val="Heading2"/>
      </w:pPr>
      <w:r>
        <w:t>S2.3 Nominal Oxidation State of Carbon (NOSC)</w:t>
      </w:r>
    </w:p>
    <w:p>
      <w:r>
        <w:rPr>
          <w:b w:val="0"/>
          <w:i/>
          <w:sz w:val="22"/>
        </w:rPr>
        <w:t>LaRowe and Van Cappellen (2011), Geochimica et Cosmochimica Acta 75:2030–2042.</w:t>
      </w:r>
    </w:p>
    <w:p>
      <w:pPr>
        <w:spacing w:before="80" w:after="80"/>
        <w:ind w:left="720"/>
      </w:pPr>
      <w:r>
        <w:rPr>
          <w:rFonts w:ascii="Consolas" w:hAnsi="Consolas"/>
          <w:sz w:val="19"/>
        </w:rPr>
        <w:t>NOSC = 4 - (4C + H - 3N - 2O + 5P - 2S) / C</w:t>
      </w:r>
    </w:p>
    <w:p>
      <w:pPr>
        <w:ind w:firstLine="576"/>
      </w:pPr>
      <w:r>
        <w:rPr>
          <w:b w:val="0"/>
          <w:i w:val="0"/>
          <w:sz w:val="22"/>
        </w:rPr>
        <w:t>NOSC provides a thermodynamic proxy for the energy yield of microbial oxidation. More positive values indicate more oxidised (less energy-rich) compounds.</w:t>
      </w:r>
    </w:p>
    <w:p>
      <w:pPr>
        <w:pStyle w:val="Heading2"/>
      </w:pPr>
      <w:r>
        <w:t>S2.4 Elemental ratios</w:t>
      </w:r>
    </w:p>
    <w:p>
      <w:pPr>
        <w:spacing w:before="80" w:after="80"/>
        <w:ind w:left="720"/>
      </w:pPr>
      <w:r>
        <w:rPr>
          <w:rFonts w:ascii="Consolas" w:hAnsi="Consolas"/>
          <w:sz w:val="19"/>
        </w:rPr>
        <w:t>H/C = H / C</w:t>
      </w:r>
    </w:p>
    <w:p>
      <w:pPr>
        <w:spacing w:before="80" w:after="80"/>
        <w:ind w:left="720"/>
      </w:pPr>
      <w:r>
        <w:rPr>
          <w:rFonts w:ascii="Consolas" w:hAnsi="Consolas"/>
          <w:sz w:val="19"/>
        </w:rPr>
        <w:t>O/C = O / C</w:t>
      </w:r>
    </w:p>
    <w:p>
      <w:pPr>
        <w:spacing w:before="80" w:after="80"/>
        <w:ind w:left="720"/>
      </w:pPr>
      <w:r>
        <w:rPr>
          <w:rFonts w:ascii="Consolas" w:hAnsi="Consolas"/>
          <w:sz w:val="19"/>
        </w:rPr>
        <w:t>N/C = N / C</w:t>
      </w:r>
    </w:p>
    <w:p>
      <w:r>
        <w:br w:type="page"/>
      </w:r>
    </w:p>
    <w:p>
      <w:pPr>
        <w:pStyle w:val="Heading1"/>
      </w:pPr>
      <w:r>
        <w:t>S3. Compound Class Assignment</w:t>
      </w:r>
    </w:p>
    <w:p>
      <w:pPr>
        <w:ind w:firstLine="576"/>
      </w:pPr>
      <w:r>
        <w:rPr>
          <w:b w:val="0"/>
          <w:i w:val="0"/>
          <w:sz w:val="22"/>
        </w:rPr>
        <w:t>Formulae were assigned to compound classes following Kim et al. (2003) as modified by Sleighter and Hatcher (2007). Classes are assigned in strict priority order; the first matching rule wins. This order matters because some formulae satisfy multiple criteria (e.g., a formula with N &gt; 0 and AI_mod ≥ 0.66 is classified as condensed aromatic, not N-containing).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Arial" w:hAnsi="Arial"/>
                <w:b/>
                <w:sz w:val="19"/>
              </w:rPr>
              <w:t>Priority</w:t>
            </w:r>
          </w:p>
        </w:tc>
        <w:tc>
          <w:tcPr>
            <w:tcW w:type="dxa" w:w="1872"/>
          </w:tcPr>
          <w:p>
            <w:r/>
            <w:r>
              <w:rPr>
                <w:rFonts w:ascii="Arial" w:hAnsi="Arial"/>
                <w:b/>
                <w:sz w:val="19"/>
              </w:rPr>
              <w:t>Class</w:t>
            </w:r>
          </w:p>
        </w:tc>
        <w:tc>
          <w:tcPr>
            <w:tcW w:type="dxa" w:w="1872"/>
          </w:tcPr>
          <w:p>
            <w:r/>
            <w:r>
              <w:rPr>
                <w:rFonts w:ascii="Arial" w:hAnsi="Arial"/>
                <w:b/>
                <w:sz w:val="19"/>
              </w:rPr>
              <w:t>Rule</w:t>
            </w:r>
          </w:p>
        </w:tc>
        <w:tc>
          <w:tcPr>
            <w:tcW w:type="dxa" w:w="1872"/>
          </w:tcPr>
          <w:p>
            <w:r/>
            <w:r>
              <w:rPr>
                <w:rFonts w:ascii="Arial" w:hAnsi="Arial"/>
                <w:b/>
                <w:sz w:val="19"/>
              </w:rPr>
              <w:t>n</w:t>
            </w:r>
          </w:p>
        </w:tc>
        <w:tc>
          <w:tcPr>
            <w:tcW w:type="dxa" w:w="1872"/>
          </w:tcPr>
          <w:p>
            <w:r/>
            <w:r>
              <w:rPr>
                <w:rFonts w:ascii="Arial" w:hAnsi="Arial"/>
                <w:b/>
                <w:sz w:val="19"/>
              </w:rPr>
              <w:t>%</w:t>
            </w:r>
          </w:p>
        </w:tc>
      </w:tr>
      <w:tr>
        <w:tc>
          <w:tcPr>
            <w:tcW w:type="dxa" w:w="1872"/>
          </w:tcPr>
          <w:p>
            <w:r/>
            <w:r>
              <w:rPr>
                <w:sz w:val="19"/>
              </w:rPr>
              <w:t>1</w:t>
            </w:r>
          </w:p>
        </w:tc>
        <w:tc>
          <w:tcPr>
            <w:tcW w:type="dxa" w:w="1872"/>
          </w:tcPr>
          <w:p>
            <w:r/>
            <w:r>
              <w:rPr>
                <w:sz w:val="19"/>
              </w:rPr>
              <w:t>Condensed aromatic</w:t>
            </w:r>
          </w:p>
        </w:tc>
        <w:tc>
          <w:tcPr>
            <w:tcW w:type="dxa" w:w="1872"/>
          </w:tcPr>
          <w:p>
            <w:r/>
            <w:r>
              <w:rPr>
                <w:sz w:val="19"/>
              </w:rPr>
              <w:t>AI_mod ≥ 0.66</w:t>
            </w:r>
          </w:p>
        </w:tc>
        <w:tc>
          <w:tcPr>
            <w:tcW w:type="dxa" w:w="1872"/>
          </w:tcPr>
          <w:p>
            <w:r/>
            <w:r>
              <w:rPr>
                <w:sz w:val="19"/>
              </w:rPr>
              <w:t>446</w:t>
            </w:r>
          </w:p>
        </w:tc>
        <w:tc>
          <w:tcPr>
            <w:tcW w:type="dxa" w:w="1872"/>
          </w:tcPr>
          <w:p>
            <w:r/>
            <w:r>
              <w:rPr>
                <w:sz w:val="19"/>
              </w:rPr>
              <w:t>5.0</w:t>
            </w:r>
          </w:p>
        </w:tc>
      </w:tr>
      <w:tr>
        <w:tc>
          <w:tcPr>
            <w:tcW w:type="dxa" w:w="1872"/>
          </w:tcPr>
          <w:p>
            <w:r/>
            <w:r>
              <w:rPr>
                <w:sz w:val="19"/>
              </w:rPr>
              <w:t>2</w:t>
            </w:r>
          </w:p>
        </w:tc>
        <w:tc>
          <w:tcPr>
            <w:tcW w:type="dxa" w:w="1872"/>
          </w:tcPr>
          <w:p>
            <w:r/>
            <w:r>
              <w:rPr>
                <w:sz w:val="19"/>
              </w:rPr>
              <w:t>Aromatic</w:t>
            </w:r>
          </w:p>
        </w:tc>
        <w:tc>
          <w:tcPr>
            <w:tcW w:type="dxa" w:w="1872"/>
          </w:tcPr>
          <w:p>
            <w:r/>
            <w:r>
              <w:rPr>
                <w:sz w:val="19"/>
              </w:rPr>
              <w:t>0.50 ≤ AI_mod &lt; 0.66</w:t>
            </w:r>
          </w:p>
        </w:tc>
        <w:tc>
          <w:tcPr>
            <w:tcW w:type="dxa" w:w="1872"/>
          </w:tcPr>
          <w:p>
            <w:r/>
            <w:r>
              <w:rPr>
                <w:sz w:val="19"/>
              </w:rPr>
              <w:t>1,136</w:t>
            </w:r>
          </w:p>
        </w:tc>
        <w:tc>
          <w:tcPr>
            <w:tcW w:type="dxa" w:w="1872"/>
          </w:tcPr>
          <w:p>
            <w:r/>
            <w:r>
              <w:rPr>
                <w:sz w:val="19"/>
              </w:rPr>
              <w:t>12.7</w:t>
            </w:r>
          </w:p>
        </w:tc>
      </w:tr>
      <w:tr>
        <w:tc>
          <w:tcPr>
            <w:tcW w:type="dxa" w:w="1872"/>
          </w:tcPr>
          <w:p>
            <w:r/>
            <w:r>
              <w:rPr>
                <w:sz w:val="19"/>
              </w:rPr>
              <w:t>3</w:t>
            </w:r>
          </w:p>
        </w:tc>
        <w:tc>
          <w:tcPr>
            <w:tcW w:type="dxa" w:w="1872"/>
          </w:tcPr>
          <w:p>
            <w:r/>
            <w:r>
              <w:rPr>
                <w:sz w:val="19"/>
              </w:rPr>
              <w:t>CRAM</w:t>
            </w:r>
          </w:p>
        </w:tc>
        <w:tc>
          <w:tcPr>
            <w:tcW w:type="dxa" w:w="1872"/>
          </w:tcPr>
          <w:p>
            <w:r/>
            <w:r>
              <w:rPr>
                <w:sz w:val="19"/>
              </w:rPr>
              <w:t>H/C &lt; 1.5 and O/C &lt; 0.5</w:t>
            </w:r>
          </w:p>
        </w:tc>
        <w:tc>
          <w:tcPr>
            <w:tcW w:type="dxa" w:w="1872"/>
          </w:tcPr>
          <w:p>
            <w:r/>
            <w:r>
              <w:rPr>
                <w:sz w:val="19"/>
              </w:rPr>
              <w:t>2,735</w:t>
            </w:r>
          </w:p>
        </w:tc>
        <w:tc>
          <w:tcPr>
            <w:tcW w:type="dxa" w:w="1872"/>
          </w:tcPr>
          <w:p>
            <w:r/>
            <w:r>
              <w:rPr>
                <w:sz w:val="19"/>
              </w:rPr>
              <w:t>30.5</w:t>
            </w:r>
          </w:p>
        </w:tc>
      </w:tr>
      <w:tr>
        <w:tc>
          <w:tcPr>
            <w:tcW w:type="dxa" w:w="1872"/>
          </w:tcPr>
          <w:p>
            <w:r/>
            <w:r>
              <w:rPr>
                <w:sz w:val="19"/>
              </w:rPr>
              <w:t>4</w:t>
            </w:r>
          </w:p>
        </w:tc>
        <w:tc>
          <w:tcPr>
            <w:tcW w:type="dxa" w:w="1872"/>
          </w:tcPr>
          <w:p>
            <w:r/>
            <w:r>
              <w:rPr>
                <w:sz w:val="19"/>
              </w:rPr>
              <w:t>Carbohydrate-like</w:t>
            </w:r>
          </w:p>
        </w:tc>
        <w:tc>
          <w:tcPr>
            <w:tcW w:type="dxa" w:w="1872"/>
          </w:tcPr>
          <w:p>
            <w:r/>
            <w:r>
              <w:rPr>
                <w:sz w:val="19"/>
              </w:rPr>
              <w:t>H/C ≥ 1.5 and O/C ≥ 0.5</w:t>
            </w:r>
          </w:p>
        </w:tc>
        <w:tc>
          <w:tcPr>
            <w:tcW w:type="dxa" w:w="1872"/>
          </w:tcPr>
          <w:p>
            <w:r/>
            <w:r>
              <w:rPr>
                <w:sz w:val="19"/>
              </w:rPr>
              <w:t>951</w:t>
            </w:r>
          </w:p>
        </w:tc>
        <w:tc>
          <w:tcPr>
            <w:tcW w:type="dxa" w:w="1872"/>
          </w:tcPr>
          <w:p>
            <w:r/>
            <w:r>
              <w:rPr>
                <w:sz w:val="19"/>
              </w:rPr>
              <w:t>10.6</w:t>
            </w:r>
          </w:p>
        </w:tc>
      </w:tr>
      <w:tr>
        <w:tc>
          <w:tcPr>
            <w:tcW w:type="dxa" w:w="1872"/>
          </w:tcPr>
          <w:p>
            <w:r/>
            <w:r>
              <w:rPr>
                <w:sz w:val="19"/>
              </w:rPr>
              <w:t>5</w:t>
            </w:r>
          </w:p>
        </w:tc>
        <w:tc>
          <w:tcPr>
            <w:tcW w:type="dxa" w:w="1872"/>
          </w:tcPr>
          <w:p>
            <w:r/>
            <w:r>
              <w:rPr>
                <w:sz w:val="19"/>
              </w:rPr>
              <w:t>Lipid-like</w:t>
            </w:r>
          </w:p>
        </w:tc>
        <w:tc>
          <w:tcPr>
            <w:tcW w:type="dxa" w:w="1872"/>
          </w:tcPr>
          <w:p>
            <w:r/>
            <w:r>
              <w:rPr>
                <w:sz w:val="19"/>
              </w:rPr>
              <w:t>H/C ≥ 1.5 and O/C &lt; 0.5</w:t>
            </w:r>
          </w:p>
        </w:tc>
        <w:tc>
          <w:tcPr>
            <w:tcW w:type="dxa" w:w="1872"/>
          </w:tcPr>
          <w:p>
            <w:r/>
            <w:r>
              <w:rPr>
                <w:sz w:val="19"/>
              </w:rPr>
              <w:t>1,225</w:t>
            </w:r>
          </w:p>
        </w:tc>
        <w:tc>
          <w:tcPr>
            <w:tcW w:type="dxa" w:w="1872"/>
          </w:tcPr>
          <w:p>
            <w:r/>
            <w:r>
              <w:rPr>
                <w:sz w:val="19"/>
              </w:rPr>
              <w:t>13.7</w:t>
            </w:r>
          </w:p>
        </w:tc>
      </w:tr>
      <w:tr>
        <w:tc>
          <w:tcPr>
            <w:tcW w:type="dxa" w:w="1872"/>
          </w:tcPr>
          <w:p>
            <w:r/>
            <w:r>
              <w:rPr>
                <w:sz w:val="19"/>
              </w:rPr>
              <w:t>6</w:t>
            </w:r>
          </w:p>
        </w:tc>
        <w:tc>
          <w:tcPr>
            <w:tcW w:type="dxa" w:w="1872"/>
          </w:tcPr>
          <w:p>
            <w:r/>
            <w:r>
              <w:rPr>
                <w:sz w:val="19"/>
              </w:rPr>
              <w:t>Protein-like</w:t>
            </w:r>
          </w:p>
        </w:tc>
        <w:tc>
          <w:tcPr>
            <w:tcW w:type="dxa" w:w="1872"/>
          </w:tcPr>
          <w:p>
            <w:r/>
            <w:r>
              <w:rPr>
                <w:sz w:val="19"/>
              </w:rPr>
              <w:t>N &gt; 0 and H/C &gt; 1.3</w:t>
            </w:r>
          </w:p>
        </w:tc>
        <w:tc>
          <w:tcPr>
            <w:tcW w:type="dxa" w:w="1872"/>
          </w:tcPr>
          <w:p>
            <w:r/>
            <w:r>
              <w:rPr>
                <w:sz w:val="19"/>
              </w:rPr>
              <w:t>205</w:t>
            </w:r>
          </w:p>
        </w:tc>
        <w:tc>
          <w:tcPr>
            <w:tcW w:type="dxa" w:w="1872"/>
          </w:tcPr>
          <w:p>
            <w:r/>
            <w:r>
              <w:rPr>
                <w:sz w:val="19"/>
              </w:rPr>
              <w:t>2.3</w:t>
            </w:r>
          </w:p>
        </w:tc>
      </w:tr>
      <w:tr>
        <w:tc>
          <w:tcPr>
            <w:tcW w:type="dxa" w:w="1872"/>
          </w:tcPr>
          <w:p>
            <w:r/>
            <w:r>
              <w:rPr>
                <w:sz w:val="19"/>
              </w:rPr>
              <w:t>7</w:t>
            </w:r>
          </w:p>
        </w:tc>
        <w:tc>
          <w:tcPr>
            <w:tcW w:type="dxa" w:w="1872"/>
          </w:tcPr>
          <w:p>
            <w:r/>
            <w:r>
              <w:rPr>
                <w:sz w:val="19"/>
              </w:rPr>
              <w:t>N-containing</w:t>
            </w:r>
          </w:p>
        </w:tc>
        <w:tc>
          <w:tcPr>
            <w:tcW w:type="dxa" w:w="1872"/>
          </w:tcPr>
          <w:p>
            <w:r/>
            <w:r>
              <w:rPr>
                <w:sz w:val="19"/>
              </w:rPr>
              <w:t>N &gt; 0</w:t>
            </w:r>
          </w:p>
        </w:tc>
        <w:tc>
          <w:tcPr>
            <w:tcW w:type="dxa" w:w="1872"/>
          </w:tcPr>
          <w:p>
            <w:r/>
            <w:r>
              <w:rPr>
                <w:sz w:val="19"/>
              </w:rPr>
              <w:t>472</w:t>
            </w:r>
          </w:p>
        </w:tc>
        <w:tc>
          <w:tcPr>
            <w:tcW w:type="dxa" w:w="1872"/>
          </w:tcPr>
          <w:p>
            <w:r/>
            <w:r>
              <w:rPr>
                <w:sz w:val="19"/>
              </w:rPr>
              <w:t>5.3</w:t>
            </w:r>
          </w:p>
        </w:tc>
      </w:tr>
      <w:tr>
        <w:tc>
          <w:tcPr>
            <w:tcW w:type="dxa" w:w="1872"/>
          </w:tcPr>
          <w:p>
            <w:r/>
            <w:r>
              <w:rPr>
                <w:sz w:val="19"/>
              </w:rPr>
              <w:t>8</w:t>
            </w:r>
          </w:p>
        </w:tc>
        <w:tc>
          <w:tcPr>
            <w:tcW w:type="dxa" w:w="1872"/>
          </w:tcPr>
          <w:p>
            <w:r/>
            <w:r>
              <w:rPr>
                <w:sz w:val="19"/>
              </w:rPr>
              <w:t>Unclassified</w:t>
            </w:r>
          </w:p>
        </w:tc>
        <w:tc>
          <w:tcPr>
            <w:tcW w:type="dxa" w:w="1872"/>
          </w:tcPr>
          <w:p>
            <w:r/>
            <w:r>
              <w:rPr>
                <w:sz w:val="19"/>
              </w:rPr>
              <w:t>Default</w:t>
            </w:r>
          </w:p>
        </w:tc>
        <w:tc>
          <w:tcPr>
            <w:tcW w:type="dxa" w:w="1872"/>
          </w:tcPr>
          <w:p>
            <w:r/>
            <w:r>
              <w:rPr>
                <w:sz w:val="19"/>
              </w:rPr>
              <w:t>1,802</w:t>
            </w:r>
          </w:p>
        </w:tc>
        <w:tc>
          <w:tcPr>
            <w:tcW w:type="dxa" w:w="1872"/>
          </w:tcPr>
          <w:p>
            <w:r/>
            <w:r>
              <w:rPr>
                <w:sz w:val="19"/>
              </w:rPr>
              <w:t>20.1</w:t>
            </w:r>
          </w:p>
        </w:tc>
      </w:tr>
      <w:tr>
        <w:tc>
          <w:tcPr>
            <w:tcW w:type="dxa" w:w="1872"/>
          </w:tcPr>
          <w:p>
            <w:r/>
            <w:r>
              <w:rPr>
                <w:sz w:val="19"/>
              </w:rPr>
            </w:r>
          </w:p>
        </w:tc>
        <w:tc>
          <w:tcPr>
            <w:tcW w:type="dxa" w:w="1872"/>
          </w:tcPr>
          <w:p>
            <w:r/>
            <w:r>
              <w:rPr>
                <w:sz w:val="19"/>
              </w:rPr>
              <w:t>Total</w:t>
            </w:r>
          </w:p>
        </w:tc>
        <w:tc>
          <w:tcPr>
            <w:tcW w:type="dxa" w:w="1872"/>
          </w:tcPr>
          <w:p>
            <w:r/>
            <w:r>
              <w:rPr>
                <w:sz w:val="19"/>
              </w:rPr>
            </w:r>
          </w:p>
        </w:tc>
        <w:tc>
          <w:tcPr>
            <w:tcW w:type="dxa" w:w="1872"/>
          </w:tcPr>
          <w:p>
            <w:r/>
            <w:r>
              <w:rPr>
                <w:sz w:val="19"/>
              </w:rPr>
              <w:t>8,972</w:t>
            </w:r>
          </w:p>
        </w:tc>
        <w:tc>
          <w:tcPr>
            <w:tcW w:type="dxa" w:w="1872"/>
          </w:tcPr>
          <w:p>
            <w:r/>
            <w:r>
              <w:rPr>
                <w:sz w:val="19"/>
              </w:rPr>
              <w:t>100.0</w:t>
            </w:r>
          </w:p>
        </w:tc>
      </w:tr>
    </w:tbl>
    <w:p/>
    <w:p>
      <w:r>
        <w:rPr>
          <w:b w:val="0"/>
          <w:i/>
          <w:sz w:val="20"/>
        </w:rPr>
        <w:t>Table S2. Compound class assignment rules, applied in priority order. Counts for the WHONDRS 2018 dataset.</w:t>
      </w:r>
    </w:p>
    <w:p>
      <w:pPr>
        <w:ind w:firstLine="576"/>
      </w:pPr>
      <w:r>
        <w:rPr>
          <w:b w:val="0"/>
          <w:i w:val="0"/>
          <w:sz w:val="22"/>
        </w:rPr>
        <w:t>CRAM (carboxyl-rich alicyclic molecules) was first described by Hertkorn et al. (2006) as the dominant refractory component of marine dissolved organic matter, characterised by low H/C and low O/C ratios consistent with degraded terpenoid and steroid precursors.</w:t>
      </w:r>
    </w:p>
    <w:p>
      <w:r>
        <w:br w:type="page"/>
      </w:r>
    </w:p>
    <w:p>
      <w:pPr>
        <w:pStyle w:val="Heading1"/>
      </w:pPr>
      <w:r>
        <w:t>S4. Constrained Isomeric Richness (CIR) Scoring Function</w:t>
      </w:r>
    </w:p>
    <w:p>
      <w:pPr>
        <w:pStyle w:val="Heading2"/>
      </w:pPr>
      <w:r>
        <w:t>S4.1 Rationale</w:t>
      </w:r>
    </w:p>
    <w:p>
      <w:pPr>
        <w:ind w:firstLine="576"/>
      </w:pPr>
      <w:r>
        <w:rPr>
          <w:b w:val="0"/>
          <w:i w:val="0"/>
          <w:sz w:val="22"/>
        </w:rPr>
        <w:t>CIR is a heuristic, constrained relative structural-complexity index. It does not enumerate or count isomers; instead, it scores the structural degrees of freedom remaining after applying chemical constraints appropriate to the formula's compound class. Higher CIR values indicate formulae with more structural flexibility (more plausible constitutional arrangements), and lower values indicate more constrained molecular architectures. The score is anchored to the empirical range of 6–40 isomers per formula observed by TIMS-FT-ICR-MS (Leyva et al. 2019), but this anchoring provides a reference scale, not a validated quantitative mapping to true isomer counts.</w:t>
      </w:r>
    </w:p>
    <w:p>
      <w:pPr>
        <w:pStyle w:val="Heading2"/>
      </w:pPr>
      <w:r>
        <w:t>S4.2 Complete equation</w:t>
      </w:r>
    </w:p>
    <w:p>
      <w:pPr>
        <w:ind w:firstLine="576"/>
      </w:pPr>
      <w:r>
        <w:rPr>
          <w:b w:val="0"/>
          <w:i w:val="0"/>
          <w:sz w:val="22"/>
        </w:rPr>
        <w:t>The CIR score is computed in two stages: a raw score and a calibrated score.</w:t>
      </w:r>
    </w:p>
    <w:p>
      <w:r>
        <w:rPr>
          <w:b/>
          <w:i w:val="0"/>
          <w:sz w:val="22"/>
        </w:rPr>
        <w:t>Raw score:</w:t>
      </w:r>
    </w:p>
    <w:p>
      <w:pPr>
        <w:spacing w:before="80" w:after="80"/>
        <w:ind w:left="720"/>
      </w:pPr>
      <w:r>
        <w:rPr>
          <w:rFonts w:ascii="Consolas" w:hAnsi="Consolas"/>
          <w:sz w:val="19"/>
        </w:rPr>
        <w:t>log10(CIR)_raw = carbon + dbe + oxygen + nitrogen - req - forb - arom - ring</w:t>
      </w:r>
    </w:p>
    <w:p/>
    <w:p>
      <w:pPr>
        <w:ind w:firstLine="576"/>
      </w:pPr>
      <w:r>
        <w:rPr>
          <w:b w:val="0"/>
          <w:i w:val="0"/>
          <w:sz w:val="22"/>
        </w:rPr>
        <w:t>where each component is: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Arial" w:hAnsi="Arial"/>
                <w:b/>
                <w:sz w:val="19"/>
              </w:rPr>
              <w:t>Component</w:t>
            </w:r>
          </w:p>
        </w:tc>
        <w:tc>
          <w:tcPr>
            <w:tcW w:type="dxa" w:w="3120"/>
          </w:tcPr>
          <w:p>
            <w:r/>
            <w:r>
              <w:rPr>
                <w:rFonts w:ascii="Arial" w:hAnsi="Arial"/>
                <w:b/>
                <w:sz w:val="19"/>
              </w:rPr>
              <w:t>Formula</w:t>
            </w:r>
          </w:p>
        </w:tc>
        <w:tc>
          <w:tcPr>
            <w:tcW w:type="dxa" w:w="3120"/>
          </w:tcPr>
          <w:p>
            <w:r/>
            <w:r>
              <w:rPr>
                <w:rFonts w:ascii="Arial" w:hAnsi="Arial"/>
                <w:b/>
                <w:sz w:val="19"/>
              </w:rPr>
              <w:t>Interpretation</w:t>
            </w:r>
          </w:p>
        </w:tc>
      </w:tr>
      <w:tr>
        <w:tc>
          <w:tcPr>
            <w:tcW w:type="dxa" w:w="3120"/>
          </w:tcPr>
          <w:p>
            <w:r/>
            <w:r>
              <w:rPr>
                <w:sz w:val="19"/>
              </w:rPr>
              <w:t>carbon</w:t>
            </w:r>
          </w:p>
        </w:tc>
        <w:tc>
          <w:tcPr>
            <w:tcW w:type="dxa" w:w="3120"/>
          </w:tcPr>
          <w:p>
            <w:r/>
            <w:r>
              <w:rPr>
                <w:sz w:val="19"/>
              </w:rPr>
              <w:t>log10(max(1, C-3)) × 0.8</w:t>
            </w:r>
          </w:p>
        </w:tc>
        <w:tc>
          <w:tcPr>
            <w:tcW w:type="dxa" w:w="3120"/>
          </w:tcPr>
          <w:p>
            <w:r/>
            <w:r>
              <w:rPr>
                <w:sz w:val="19"/>
              </w:rPr>
              <w:t>Carbon skeleton complexity (alkyl branching)</w:t>
            </w:r>
          </w:p>
        </w:tc>
      </w:tr>
      <w:tr>
        <w:tc>
          <w:tcPr>
            <w:tcW w:type="dxa" w:w="3120"/>
          </w:tcPr>
          <w:p>
            <w:r/>
            <w:r>
              <w:rPr>
                <w:sz w:val="19"/>
              </w:rPr>
              <w:t>dbe</w:t>
            </w:r>
          </w:p>
        </w:tc>
        <w:tc>
          <w:tcPr>
            <w:tcW w:type="dxa" w:w="3120"/>
          </w:tcPr>
          <w:p>
            <w:r/>
            <w:r>
              <w:rPr>
                <w:sz w:val="19"/>
              </w:rPr>
              <w:t>max(0.1, -0.15(DBE-4)² + 1.2)</w:t>
            </w:r>
          </w:p>
        </w:tc>
        <w:tc>
          <w:tcPr>
            <w:tcW w:type="dxa" w:w="3120"/>
          </w:tcPr>
          <w:p>
            <w:r/>
            <w:r>
              <w:rPr>
                <w:sz w:val="19"/>
              </w:rPr>
              <w:t>Unsaturation contribution (peaked at DBE=4)</w:t>
            </w:r>
          </w:p>
        </w:tc>
      </w:tr>
      <w:tr>
        <w:tc>
          <w:tcPr>
            <w:tcW w:type="dxa" w:w="3120"/>
          </w:tcPr>
          <w:p>
            <w:r/>
            <w:r>
              <w:rPr>
                <w:sz w:val="19"/>
              </w:rPr>
              <w:t>oxygen</w:t>
            </w:r>
          </w:p>
        </w:tc>
        <w:tc>
          <w:tcPr>
            <w:tcW w:type="dxa" w:w="3120"/>
          </w:tcPr>
          <w:p>
            <w:r/>
            <w:r>
              <w:rPr>
                <w:sz w:val="19"/>
              </w:rPr>
              <w:t>log10(max(1, O)) × w_O</w:t>
            </w:r>
          </w:p>
        </w:tc>
        <w:tc>
          <w:tcPr>
            <w:tcW w:type="dxa" w:w="3120"/>
          </w:tcPr>
          <w:p>
            <w:r/>
            <w:r>
              <w:rPr>
                <w:sz w:val="19"/>
              </w:rPr>
              <w:t>Oxygen placement diversity</w:t>
              <w:br/>
              <w:t>(w_O = 0.4 carbohydrate, 0.7 otherwise)</w:t>
            </w:r>
          </w:p>
        </w:tc>
      </w:tr>
      <w:tr>
        <w:tc>
          <w:tcPr>
            <w:tcW w:type="dxa" w:w="3120"/>
          </w:tcPr>
          <w:p>
            <w:r/>
            <w:r>
              <w:rPr>
                <w:sz w:val="19"/>
              </w:rPr>
              <w:t>nitrogen</w:t>
            </w:r>
          </w:p>
        </w:tc>
        <w:tc>
          <w:tcPr>
            <w:tcW w:type="dxa" w:w="3120"/>
          </w:tcPr>
          <w:p>
            <w:r/>
            <w:r>
              <w:rPr>
                <w:sz w:val="19"/>
              </w:rPr>
              <w:t>log10(max(1, N+1)) × 0.5</w:t>
            </w:r>
          </w:p>
        </w:tc>
        <w:tc>
          <w:tcPr>
            <w:tcW w:type="dxa" w:w="3120"/>
          </w:tcPr>
          <w:p>
            <w:r/>
            <w:r>
              <w:rPr>
                <w:sz w:val="19"/>
              </w:rPr>
              <w:t>Nitrogen heterocyclic contribution</w:t>
            </w:r>
          </w:p>
        </w:tc>
      </w:tr>
      <w:tr>
        <w:tc>
          <w:tcPr>
            <w:tcW w:type="dxa" w:w="3120"/>
          </w:tcPr>
          <w:p>
            <w:r/>
            <w:r>
              <w:rPr>
                <w:sz w:val="19"/>
              </w:rPr>
              <w:t>req</w:t>
            </w:r>
          </w:p>
        </w:tc>
        <w:tc>
          <w:tcPr>
            <w:tcW w:type="dxa" w:w="3120"/>
          </w:tcPr>
          <w:p>
            <w:r/>
            <w:r>
              <w:rPr>
                <w:sz w:val="19"/>
              </w:rPr>
              <w:t>n_required × 0.12</w:t>
            </w:r>
          </w:p>
        </w:tc>
        <w:tc>
          <w:tcPr>
            <w:tcW w:type="dxa" w:w="3120"/>
          </w:tcPr>
          <w:p>
            <w:r/>
            <w:r>
              <w:rPr>
                <w:sz w:val="19"/>
              </w:rPr>
              <w:t>Penalty per required substructure</w:t>
            </w:r>
          </w:p>
        </w:tc>
      </w:tr>
      <w:tr>
        <w:tc>
          <w:tcPr>
            <w:tcW w:type="dxa" w:w="3120"/>
          </w:tcPr>
          <w:p>
            <w:r/>
            <w:r>
              <w:rPr>
                <w:sz w:val="19"/>
              </w:rPr>
              <w:t>forb</w:t>
            </w:r>
          </w:p>
        </w:tc>
        <w:tc>
          <w:tcPr>
            <w:tcW w:type="dxa" w:w="3120"/>
          </w:tcPr>
          <w:p>
            <w:r/>
            <w:r>
              <w:rPr>
                <w:sz w:val="19"/>
              </w:rPr>
              <w:t>n_forbidden × 0.05</w:t>
            </w:r>
          </w:p>
        </w:tc>
        <w:tc>
          <w:tcPr>
            <w:tcW w:type="dxa" w:w="3120"/>
          </w:tcPr>
          <w:p>
            <w:r/>
            <w:r>
              <w:rPr>
                <w:sz w:val="19"/>
              </w:rPr>
              <w:t>Penalty per disfavoured feature</w:t>
            </w:r>
          </w:p>
        </w:tc>
      </w:tr>
      <w:tr>
        <w:tc>
          <w:tcPr>
            <w:tcW w:type="dxa" w:w="3120"/>
          </w:tcPr>
          <w:p>
            <w:r/>
            <w:r>
              <w:rPr>
                <w:sz w:val="19"/>
              </w:rPr>
              <w:t>arom</w:t>
            </w:r>
          </w:p>
        </w:tc>
        <w:tc>
          <w:tcPr>
            <w:tcW w:type="dxa" w:w="3120"/>
          </w:tcPr>
          <w:p>
            <w:r/>
            <w:r>
              <w:rPr>
                <w:sz w:val="19"/>
              </w:rPr>
              <w:t>AI_mod × 0.8 (aromatics only)</w:t>
            </w:r>
          </w:p>
        </w:tc>
        <w:tc>
          <w:tcPr>
            <w:tcW w:type="dxa" w:w="3120"/>
          </w:tcPr>
          <w:p>
            <w:r/>
            <w:r>
              <w:rPr>
                <w:sz w:val="19"/>
              </w:rPr>
              <w:t>Aromaticity constraint penalty</w:t>
            </w:r>
          </w:p>
        </w:tc>
      </w:tr>
      <w:tr>
        <w:tc>
          <w:tcPr>
            <w:tcW w:type="dxa" w:w="3120"/>
          </w:tcPr>
          <w:p>
            <w:r/>
            <w:r>
              <w:rPr>
                <w:sz w:val="19"/>
              </w:rPr>
              <w:t>ring</w:t>
            </w:r>
          </w:p>
        </w:tc>
        <w:tc>
          <w:tcPr>
            <w:tcW w:type="dxa" w:w="3120"/>
          </w:tcPr>
          <w:p>
            <w:r/>
            <w:r>
              <w:rPr>
                <w:sz w:val="19"/>
              </w:rPr>
              <w:t>max(0, DBE - R_max) × 0.1</w:t>
            </w:r>
          </w:p>
        </w:tc>
        <w:tc>
          <w:tcPr>
            <w:tcW w:type="dxa" w:w="3120"/>
          </w:tcPr>
          <w:p>
            <w:r/>
            <w:r>
              <w:rPr>
                <w:sz w:val="19"/>
              </w:rPr>
              <w:t>Ring budget penalty</w:t>
            </w:r>
          </w:p>
        </w:tc>
      </w:tr>
    </w:tbl>
    <w:p/>
    <w:p>
      <w:r>
        <w:rPr>
          <w:b w:val="0"/>
          <w:i/>
          <w:sz w:val="20"/>
        </w:rPr>
        <w:t>Table S3. Components of the CIR raw score.</w:t>
      </w:r>
    </w:p>
    <w:p/>
    <w:p>
      <w:r>
        <w:rPr>
          <w:b/>
          <w:i w:val="0"/>
          <w:sz w:val="22"/>
        </w:rPr>
        <w:t>Calibrated score:</w:t>
      </w:r>
    </w:p>
    <w:p>
      <w:pPr>
        <w:spacing w:before="80" w:after="80"/>
        <w:ind w:left="720"/>
      </w:pPr>
      <w:r>
        <w:rPr>
          <w:rFonts w:ascii="Consolas" w:hAnsi="Consolas"/>
          <w:sz w:val="19"/>
        </w:rPr>
        <w:t>log10(CIR) = 0.78 + (log10(CIR)_raw / 3.0) × 0.82</w:t>
      </w:r>
    </w:p>
    <w:p>
      <w:pPr>
        <w:spacing w:before="80" w:after="80"/>
        <w:ind w:left="720"/>
      </w:pPr>
      <w:r>
        <w:rPr>
          <w:rFonts w:ascii="Consolas" w:hAnsi="Consolas"/>
          <w:sz w:val="19"/>
        </w:rPr>
        <w:t>clipped to [0.3, 1.70]</w:t>
      </w:r>
    </w:p>
    <w:p/>
    <w:p>
      <w:pPr>
        <w:ind w:firstLine="576"/>
      </w:pPr>
      <w:r>
        <w:rPr>
          <w:b w:val="0"/>
          <w:i w:val="0"/>
          <w:sz w:val="22"/>
        </w:rPr>
        <w:t>The lower anchor (0.78) corresponds approximately to log₁₀(6), the lower end of the TIMS-observed range (Leyva et al. 2019). The scaling factor (0.82) maps a normalised raw-score range of approximately 0–3 onto an upper calibrated value near 1.60, approximately log₁₀(40). Values were then clipped to [0.3, 1.70]: the lower clip provides a floor for extreme cases; the upper clip (1.70) adds modest headroom above the TIMS ceiling to avoid hard truncation of the score distribution. In practice, no formula in the WHONDRS 2018 dataset exceeded 1.58 and only three reached the lower bound. This anchoring is a calibration choice that constrains CIR values to the empirically observed range; it does not constitute independent validation of accuracy. If future higher-resolution techniques reveal isomer counts substantially exceeding 40, the upper clip and scaling factor should be revised accordingly.</w:t>
      </w:r>
    </w:p>
    <w:p>
      <w:pPr>
        <w:pStyle w:val="Heading2"/>
      </w:pPr>
      <w:r>
        <w:t>S4.3 Scoring coefficients</w:t>
      </w:r>
    </w:p>
    <w:p>
      <w:pPr>
        <w:ind w:firstLine="576"/>
      </w:pPr>
      <w:r>
        <w:rPr>
          <w:b w:val="0"/>
          <w:i w:val="0"/>
          <w:sz w:val="22"/>
        </w:rPr>
        <w:t>All coefficients (0.8, 0.7, 0.4, 0.5, 0.12, 0.05, 0.8, 0.1) were set a priori based on chemical reasoning, not fitted to data. The carbon coefficient (0.8) reflects the approximately logarithmic growth of alkyl tree isomers with chain length (Cayley 1881). The DBE contribution peaks at DBE = 4 because intermediate unsaturation (1–3 rings or double bonds) maximises structural alternatives, while fully saturated (DBE = 0) and highly condensed (high DBE) formulae are more constrained. The oxygen coefficient is reduced for carbohydrate-like formulae (0.4 vs 0.7) because their isomeric variation is dominated by stereochemistry (which CIR does not capture) rather than constitutional isomerism.</w:t>
      </w:r>
    </w:p>
    <w:p>
      <w:pPr>
        <w:pStyle w:val="Heading2"/>
      </w:pPr>
      <w:r>
        <w:t>S4.4 Monte Carlo sensitivity analysis</w:t>
      </w:r>
    </w:p>
    <w:p>
      <w:pPr>
        <w:ind w:firstLine="576"/>
      </w:pPr>
      <w:r>
        <w:rPr>
          <w:b w:val="0"/>
          <w:i w:val="0"/>
          <w:sz w:val="22"/>
        </w:rPr>
        <w:t>To test whether the key ecological results depend on the specific coefficient values, we performed a Monte Carlo sensitivity analysis. In each of 500 iterations, all nine scoring coefficients were independently perturbed by ±10% (uniform random), CIR was recomputed from scratch for all 8,972 formulae, and the site-level CRAM–latitude Pearson correlation was recalculated.</w:t>
      </w:r>
    </w:p>
    <w:p>
      <w:pPr>
        <w:ind w:firstLine="576"/>
      </w:pPr>
      <w:r>
        <w:rPr>
          <w:b w:val="0"/>
          <w:i w:val="0"/>
          <w:sz w:val="22"/>
        </w:rPr>
        <w:t>Results: The CRAM–latitude correlation was robust to coefficient perturbation. The Monte Carlo mean r was −0.679 (sd = 0.005), with a 95% interval of [−0.688, −0.670]. In 100% of iterations, |r| exceeded 0.6 and p was below 0.001. The CIR–richness anti-correlation also held (MC mean r = −0.40, range [−0.46, −0.33]). The correlation is somewhat weaker than the unperturbed value of −0.785, indicating that the exact coefficients do affect the magnitude of the correlation, but the ecological signal is preserved across a wide range of plausible coefficient values. Fitting to future TIMS-FT-ICR-MS datasets could improve the scoring function.</w:t>
      </w:r>
    </w:p>
    <w:p>
      <w:r>
        <w:br w:type="page"/>
      </w:r>
    </w:p>
    <w:p>
      <w:pPr>
        <w:pStyle w:val="Heading1"/>
      </w:pPr>
      <w:r>
        <w:t>S5. Constraint Rules by Compound Class</w:t>
      </w:r>
    </w:p>
    <w:p>
      <w:pPr>
        <w:ind w:firstLine="576"/>
      </w:pPr>
      <w:r>
        <w:rPr>
          <w:b w:val="0"/>
          <w:i w:val="0"/>
          <w:sz w:val="22"/>
        </w:rPr>
        <w:t>Chemically disfavoured features and required substructures are not explicitly enumerated as candidate structures; instead, their implausibility (or necessity) is encoded as score penalties within the heuristic. Each disfavoured feature reduces the score by 0.05; each required substructure reduces it by 0.12.</w:t>
      </w:r>
    </w:p>
    <w:p>
      <w:pPr>
        <w:pStyle w:val="Heading2"/>
      </w:pPr>
      <w:r>
        <w:t>S5.1 Universal constraints (all classes)</w:t>
      </w:r>
    </w:p>
    <w:p>
      <w:r>
        <w:rPr>
          <w:b/>
          <w:i w:val="0"/>
          <w:sz w:val="22"/>
        </w:rPr>
        <w:t>Disfavoured features (n_forbidden = 4):</w:t>
      </w:r>
    </w:p>
    <w:p>
      <w:pPr>
        <w:ind w:firstLine="576"/>
      </w:pPr>
      <w:r>
        <w:rPr>
          <w:b w:val="0"/>
          <w:i w:val="0"/>
          <w:sz w:val="22"/>
        </w:rPr>
        <w:t>• Peroxide bonds (O–O): unstable in natural aquatic systems</w:t>
      </w:r>
    </w:p>
    <w:p>
      <w:pPr>
        <w:ind w:firstLine="576"/>
      </w:pPr>
      <w:r>
        <w:rPr>
          <w:b w:val="0"/>
          <w:i w:val="0"/>
          <w:sz w:val="22"/>
        </w:rPr>
        <w:t>• Triple bonds: absent from bulk DOM</w:t>
      </w:r>
    </w:p>
    <w:p>
      <w:pPr>
        <w:ind w:firstLine="576"/>
      </w:pPr>
      <w:r>
        <w:rPr>
          <w:b w:val="0"/>
          <w:i w:val="0"/>
          <w:sz w:val="22"/>
        </w:rPr>
        <w:t>• 3-membered rings (cyclopropane): biosynthetically rare</w:t>
      </w:r>
    </w:p>
    <w:p>
      <w:pPr>
        <w:ind w:firstLine="576"/>
      </w:pPr>
      <w:r>
        <w:rPr>
          <w:b w:val="0"/>
          <w:i w:val="0"/>
          <w:sz w:val="22"/>
        </w:rPr>
        <w:t>• 4-membered rings (cyclobutane): biosynthetically rare</w:t>
      </w:r>
    </w:p>
    <w:p>
      <w:pPr>
        <w:pStyle w:val="Heading2"/>
      </w:pPr>
      <w:r>
        <w:t>S5.2 Class-specific constraints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Arial" w:hAnsi="Arial"/>
                <w:b/>
                <w:sz w:val="19"/>
              </w:rPr>
              <w:t>Class</w:t>
            </w:r>
          </w:p>
        </w:tc>
        <w:tc>
          <w:tcPr>
            <w:tcW w:type="dxa" w:w="1872"/>
          </w:tcPr>
          <w:p>
            <w:r/>
            <w:r>
              <w:rPr>
                <w:rFonts w:ascii="Arial" w:hAnsi="Arial"/>
                <w:b/>
                <w:sz w:val="19"/>
              </w:rPr>
              <w:t>Required</w:t>
            </w:r>
          </w:p>
        </w:tc>
        <w:tc>
          <w:tcPr>
            <w:tcW w:type="dxa" w:w="1872"/>
          </w:tcPr>
          <w:p>
            <w:r/>
            <w:r>
              <w:rPr>
                <w:rFonts w:ascii="Arial" w:hAnsi="Arial"/>
                <w:b/>
                <w:sz w:val="19"/>
              </w:rPr>
              <w:t>Additional</w:t>
              <w:br/>
              <w:t>disfavoured</w:t>
            </w:r>
          </w:p>
        </w:tc>
        <w:tc>
          <w:tcPr>
            <w:tcW w:type="dxa" w:w="1872"/>
          </w:tcPr>
          <w:p>
            <w:r/>
            <w:r>
              <w:rPr>
                <w:rFonts w:ascii="Arial" w:hAnsi="Arial"/>
                <w:b/>
                <w:sz w:val="19"/>
              </w:rPr>
              <w:t>Max rings</w:t>
              <w:br/>
              <w:t>(R_max)</w:t>
            </w:r>
          </w:p>
        </w:tc>
        <w:tc>
          <w:tcPr>
            <w:tcW w:type="dxa" w:w="1872"/>
          </w:tcPr>
          <w:p>
            <w:r/>
            <w:r>
              <w:rPr>
                <w:rFonts w:ascii="Arial" w:hAnsi="Arial"/>
                <w:b/>
                <w:sz w:val="19"/>
              </w:rPr>
              <w:t>Allow</w:t>
              <w:br/>
              <w:t>aromatic</w:t>
            </w:r>
          </w:p>
        </w:tc>
      </w:tr>
      <w:tr>
        <w:tc>
          <w:tcPr>
            <w:tcW w:type="dxa" w:w="1872"/>
          </w:tcPr>
          <w:p>
            <w:r/>
            <w:r>
              <w:rPr>
                <w:sz w:val="19"/>
              </w:rPr>
              <w:t>Condensed</w:t>
              <w:br/>
              <w:t>aromatic</w:t>
            </w:r>
          </w:p>
        </w:tc>
        <w:tc>
          <w:tcPr>
            <w:tcW w:type="dxa" w:w="1872"/>
          </w:tcPr>
          <w:p>
            <w:r/>
            <w:r>
              <w:rPr>
                <w:sz w:val="19"/>
              </w:rPr>
              <w:t>Aromatic ring (1)</w:t>
            </w:r>
          </w:p>
        </w:tc>
        <w:tc>
          <w:tcPr>
            <w:tcW w:type="dxa" w:w="1872"/>
          </w:tcPr>
          <w:p>
            <w:r/>
            <w:r>
              <w:rPr>
                <w:sz w:val="19"/>
              </w:rPr>
              <w:t>—</w:t>
            </w:r>
          </w:p>
        </w:tc>
        <w:tc>
          <w:tcPr>
            <w:tcW w:type="dxa" w:w="1872"/>
          </w:tcPr>
          <w:p>
            <w:r/>
            <w:r>
              <w:rPr>
                <w:sz w:val="19"/>
              </w:rPr>
              <w:t>int(DBE × 0.8)</w:t>
            </w:r>
          </w:p>
        </w:tc>
        <w:tc>
          <w:tcPr>
            <w:tcW w:type="dxa" w:w="1872"/>
          </w:tcPr>
          <w:p>
            <w:r/>
            <w:r>
              <w:rPr>
                <w:sz w:val="19"/>
              </w:rPr>
              <w:t>Yes</w:t>
            </w:r>
          </w:p>
        </w:tc>
      </w:tr>
      <w:tr>
        <w:tc>
          <w:tcPr>
            <w:tcW w:type="dxa" w:w="1872"/>
          </w:tcPr>
          <w:p>
            <w:r/>
            <w:r>
              <w:rPr>
                <w:sz w:val="19"/>
              </w:rPr>
              <w:t>Aromatic</w:t>
            </w:r>
          </w:p>
        </w:tc>
        <w:tc>
          <w:tcPr>
            <w:tcW w:type="dxa" w:w="1872"/>
          </w:tcPr>
          <w:p>
            <w:r/>
            <w:r>
              <w:rPr>
                <w:sz w:val="19"/>
              </w:rPr>
              <w:t>Aromatic ring (1)</w:t>
              <w:br/>
              <w:t>+ hydroxyl/methoxy</w:t>
              <w:br/>
              <w:t>if O/C &gt; 0.3 (1)</w:t>
            </w:r>
          </w:p>
        </w:tc>
        <w:tc>
          <w:tcPr>
            <w:tcW w:type="dxa" w:w="1872"/>
          </w:tcPr>
          <w:p>
            <w:r/>
            <w:r>
              <w:rPr>
                <w:sz w:val="19"/>
              </w:rPr>
              <w:t>—</w:t>
            </w:r>
          </w:p>
        </w:tc>
        <w:tc>
          <w:tcPr>
            <w:tcW w:type="dxa" w:w="1872"/>
          </w:tcPr>
          <w:p>
            <w:r/>
            <w:r>
              <w:rPr>
                <w:sz w:val="19"/>
              </w:rPr>
              <w:t>max(1, int(DBE × 0.6))</w:t>
            </w:r>
          </w:p>
        </w:tc>
        <w:tc>
          <w:tcPr>
            <w:tcW w:type="dxa" w:w="1872"/>
          </w:tcPr>
          <w:p>
            <w:r/>
            <w:r>
              <w:rPr>
                <w:sz w:val="19"/>
              </w:rPr>
              <w:t>Yes</w:t>
            </w:r>
          </w:p>
        </w:tc>
      </w:tr>
      <w:tr>
        <w:tc>
          <w:tcPr>
            <w:tcW w:type="dxa" w:w="1872"/>
          </w:tcPr>
          <w:p>
            <w:r/>
            <w:r>
              <w:rPr>
                <w:sz w:val="19"/>
              </w:rPr>
              <w:t>CRAM</w:t>
            </w:r>
          </w:p>
        </w:tc>
        <w:tc>
          <w:tcPr>
            <w:tcW w:type="dxa" w:w="1872"/>
          </w:tcPr>
          <w:p>
            <w:r/>
            <w:r>
              <w:rPr>
                <w:sz w:val="19"/>
              </w:rPr>
              <w:t>Carboxyl group</w:t>
              <w:br/>
              <w:t>if O ≥ 2 (1)</w:t>
            </w:r>
          </w:p>
        </w:tc>
        <w:tc>
          <w:tcPr>
            <w:tcW w:type="dxa" w:w="1872"/>
          </w:tcPr>
          <w:p>
            <w:r/>
            <w:r>
              <w:rPr>
                <w:sz w:val="19"/>
              </w:rPr>
              <w:t>—</w:t>
            </w:r>
          </w:p>
        </w:tc>
        <w:tc>
          <w:tcPr>
            <w:tcW w:type="dxa" w:w="1872"/>
          </w:tcPr>
          <w:p>
            <w:r/>
            <w:r>
              <w:rPr>
                <w:sz w:val="19"/>
              </w:rPr>
              <w:t>min(3, int(DBE × 0.7))</w:t>
            </w:r>
          </w:p>
        </w:tc>
        <w:tc>
          <w:tcPr>
            <w:tcW w:type="dxa" w:w="1872"/>
          </w:tcPr>
          <w:p>
            <w:r/>
            <w:r>
              <w:rPr>
                <w:sz w:val="19"/>
              </w:rPr>
              <w:t>No</w:t>
            </w:r>
          </w:p>
        </w:tc>
      </w:tr>
      <w:tr>
        <w:tc>
          <w:tcPr>
            <w:tcW w:type="dxa" w:w="1872"/>
          </w:tcPr>
          <w:p>
            <w:r/>
            <w:r>
              <w:rPr>
                <w:sz w:val="19"/>
              </w:rPr>
              <w:t>Carbohydrate-</w:t>
              <w:br/>
              <w:t>like</w:t>
            </w:r>
          </w:p>
        </w:tc>
        <w:tc>
          <w:tcPr>
            <w:tcW w:type="dxa" w:w="1872"/>
          </w:tcPr>
          <w:p>
            <w:r/>
            <w:r>
              <w:rPr>
                <w:sz w:val="19"/>
              </w:rPr>
              <w:t>Hydroxyl group (1)</w:t>
              <w:br/>
              <w:t>+ ring oxygen</w:t>
              <w:br/>
              <w:t>if DBE ≥ 1 (1)</w:t>
            </w:r>
          </w:p>
        </w:tc>
        <w:tc>
          <w:tcPr>
            <w:tcW w:type="dxa" w:w="1872"/>
          </w:tcPr>
          <w:p>
            <w:r/>
            <w:r>
              <w:rPr>
                <w:sz w:val="19"/>
              </w:rPr>
              <w:t>C=C double</w:t>
              <w:br/>
              <w:t>bonds (1)</w:t>
            </w:r>
          </w:p>
        </w:tc>
        <w:tc>
          <w:tcPr>
            <w:tcW w:type="dxa" w:w="1872"/>
          </w:tcPr>
          <w:p>
            <w:r/>
            <w:r>
              <w:rPr>
                <w:sz w:val="19"/>
              </w:rPr>
              <w:t>2</w:t>
            </w:r>
          </w:p>
        </w:tc>
        <w:tc>
          <w:tcPr>
            <w:tcW w:type="dxa" w:w="1872"/>
          </w:tcPr>
          <w:p>
            <w:r/>
            <w:r>
              <w:rPr>
                <w:sz w:val="19"/>
              </w:rPr>
              <w:t>No</w:t>
            </w:r>
          </w:p>
        </w:tc>
      </w:tr>
      <w:tr>
        <w:tc>
          <w:tcPr>
            <w:tcW w:type="dxa" w:w="1872"/>
          </w:tcPr>
          <w:p>
            <w:r/>
            <w:r>
              <w:rPr>
                <w:sz w:val="19"/>
              </w:rPr>
              <w:t>Lipid-like</w:t>
            </w:r>
          </w:p>
        </w:tc>
        <w:tc>
          <w:tcPr>
            <w:tcW w:type="dxa" w:w="1872"/>
          </w:tcPr>
          <w:p>
            <w:r/>
            <w:r>
              <w:rPr>
                <w:sz w:val="19"/>
              </w:rPr>
              <w:t>Carboxyl/ester</w:t>
              <w:br/>
              <w:t>if O/C &lt; 0.2 (1)</w:t>
            </w:r>
          </w:p>
        </w:tc>
        <w:tc>
          <w:tcPr>
            <w:tcW w:type="dxa" w:w="1872"/>
          </w:tcPr>
          <w:p>
            <w:r/>
            <w:r>
              <w:rPr>
                <w:sz w:val="19"/>
              </w:rPr>
              <w:t>—</w:t>
            </w:r>
          </w:p>
        </w:tc>
        <w:tc>
          <w:tcPr>
            <w:tcW w:type="dxa" w:w="1872"/>
          </w:tcPr>
          <w:p>
            <w:r/>
            <w:r>
              <w:rPr>
                <w:sz w:val="19"/>
              </w:rPr>
              <w:t>max(0, int(DBE × 0.5))</w:t>
            </w:r>
          </w:p>
        </w:tc>
        <w:tc>
          <w:tcPr>
            <w:tcW w:type="dxa" w:w="1872"/>
          </w:tcPr>
          <w:p>
            <w:r/>
            <w:r>
              <w:rPr>
                <w:sz w:val="19"/>
              </w:rPr>
              <w:t>No</w:t>
            </w:r>
          </w:p>
        </w:tc>
      </w:tr>
      <w:tr>
        <w:tc>
          <w:tcPr>
            <w:tcW w:type="dxa" w:w="1872"/>
          </w:tcPr>
          <w:p>
            <w:r/>
            <w:r>
              <w:rPr>
                <w:sz w:val="19"/>
              </w:rPr>
              <w:t>Protein-like</w:t>
            </w:r>
          </w:p>
        </w:tc>
        <w:tc>
          <w:tcPr>
            <w:tcW w:type="dxa" w:w="1872"/>
          </w:tcPr>
          <w:p>
            <w:r/>
            <w:r>
              <w:rPr>
                <w:sz w:val="19"/>
              </w:rPr>
              <w:t>Amine/amide</w:t>
              <w:br/>
              <w:t>if N &gt; 0 (1)</w:t>
            </w:r>
          </w:p>
        </w:tc>
        <w:tc>
          <w:tcPr>
            <w:tcW w:type="dxa" w:w="1872"/>
          </w:tcPr>
          <w:p>
            <w:r/>
            <w:r>
              <w:rPr>
                <w:sz w:val="19"/>
              </w:rPr>
              <w:t>—</w:t>
            </w:r>
          </w:p>
        </w:tc>
        <w:tc>
          <w:tcPr>
            <w:tcW w:type="dxa" w:w="1872"/>
          </w:tcPr>
          <w:p>
            <w:r/>
            <w:r>
              <w:rPr>
                <w:sz w:val="19"/>
              </w:rPr>
              <w:t>1</w:t>
            </w:r>
          </w:p>
        </w:tc>
        <w:tc>
          <w:tcPr>
            <w:tcW w:type="dxa" w:w="1872"/>
          </w:tcPr>
          <w:p>
            <w:r/>
            <w:r>
              <w:rPr>
                <w:sz w:val="19"/>
              </w:rPr>
              <w:t>No</w:t>
            </w:r>
          </w:p>
        </w:tc>
      </w:tr>
      <w:tr>
        <w:tc>
          <w:tcPr>
            <w:tcW w:type="dxa" w:w="1872"/>
          </w:tcPr>
          <w:p>
            <w:r/>
            <w:r>
              <w:rPr>
                <w:sz w:val="19"/>
              </w:rPr>
              <w:t>N-containing</w:t>
            </w:r>
          </w:p>
        </w:tc>
        <w:tc>
          <w:tcPr>
            <w:tcW w:type="dxa" w:w="1872"/>
          </w:tcPr>
          <w:p>
            <w:r/>
            <w:r>
              <w:rPr>
                <w:sz w:val="19"/>
              </w:rPr>
              <w:t>N-heterocycle or</w:t>
              <w:br/>
              <w:t>amine (1)</w:t>
            </w:r>
          </w:p>
        </w:tc>
        <w:tc>
          <w:tcPr>
            <w:tcW w:type="dxa" w:w="1872"/>
          </w:tcPr>
          <w:p>
            <w:r/>
            <w:r>
              <w:rPr>
                <w:sz w:val="19"/>
              </w:rPr>
              <w:t>—</w:t>
            </w:r>
          </w:p>
        </w:tc>
        <w:tc>
          <w:tcPr>
            <w:tcW w:type="dxa" w:w="1872"/>
          </w:tcPr>
          <w:p>
            <w:r/>
            <w:r>
              <w:rPr>
                <w:sz w:val="19"/>
              </w:rPr>
              <w:t>—</w:t>
            </w:r>
          </w:p>
        </w:tc>
        <w:tc>
          <w:tcPr>
            <w:tcW w:type="dxa" w:w="1872"/>
          </w:tcPr>
          <w:p>
            <w:r/>
            <w:r>
              <w:rPr>
                <w:sz w:val="19"/>
              </w:rPr>
              <w:t>No</w:t>
            </w:r>
          </w:p>
        </w:tc>
      </w:tr>
      <w:tr>
        <w:tc>
          <w:tcPr>
            <w:tcW w:type="dxa" w:w="1872"/>
          </w:tcPr>
          <w:p>
            <w:r/>
            <w:r>
              <w:rPr>
                <w:sz w:val="19"/>
              </w:rPr>
              <w:t>Unclassified</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No</w:t>
            </w:r>
          </w:p>
        </w:tc>
      </w:tr>
    </w:tbl>
    <w:p/>
    <w:p>
      <w:r>
        <w:rPr>
          <w:b w:val="0"/>
          <w:i/>
          <w:sz w:val="20"/>
        </w:rPr>
        <w:t>Table S4. Class-specific constraint rules. Numbers in parentheses indicate the count of required substructures contributing to n_required. The aromaticity penalty (P_arom = AI_mod × 0.8) applies only when "Allow aromatic" = Yes and AI_mod ≥ 0.5.</w:t>
      </w:r>
    </w:p>
    <w:p>
      <w:pPr>
        <w:pStyle w:val="Heading2"/>
      </w:pPr>
      <w:r>
        <w:t>S5.3 Implementation pseudocode</w:t>
      </w:r>
    </w:p>
    <w:p>
      <w:pPr>
        <w:ind w:firstLine="576"/>
      </w:pPr>
      <w:r>
        <w:rPr>
          <w:b w:val="0"/>
          <w:i w:val="0"/>
          <w:sz w:val="22"/>
        </w:rPr>
        <w:t>The following pseudocode specifies exactly how n_forbidden, n_required, max_rings, and allow_aromatic are computed for each formula:</w:t>
      </w:r>
    </w:p>
    <w:p>
      <w:pPr>
        <w:spacing w:before="80" w:after="80"/>
        <w:ind w:left="720"/>
      </w:pPr>
      <w:r>
        <w:rPr>
          <w:rFonts w:ascii="Consolas" w:hAnsi="Consolas"/>
          <w:sz w:val="19"/>
        </w:rPr>
        <w:t>for each formula:</w:t>
      </w:r>
    </w:p>
    <w:p>
      <w:pPr>
        <w:spacing w:before="80" w:after="80"/>
        <w:ind w:left="720"/>
      </w:pPr>
      <w:r>
        <w:rPr>
          <w:rFonts w:ascii="Consolas" w:hAnsi="Consolas"/>
          <w:sz w:val="19"/>
        </w:rPr>
        <w:t xml:space="preserve">  n_forb = 4  # universal: peroxide, triple bond, ring_3, ring_4</w:t>
      </w:r>
    </w:p>
    <w:p>
      <w:pPr>
        <w:spacing w:before="80" w:after="80"/>
        <w:ind w:left="720"/>
      </w:pPr>
      <w:r>
        <w:rPr>
          <w:rFonts w:ascii="Consolas" w:hAnsi="Consolas"/>
          <w:sz w:val="19"/>
        </w:rPr>
        <w:t xml:space="preserve">  n_req = 0</w:t>
      </w:r>
    </w:p>
    <w:p>
      <w:pPr>
        <w:spacing w:before="80" w:after="80"/>
        <w:ind w:left="720"/>
      </w:pPr>
      <w:r>
        <w:rPr>
          <w:rFonts w:ascii="Consolas" w:hAnsi="Consolas"/>
          <w:sz w:val="19"/>
        </w:rPr>
        <w:t xml:space="preserve">  max_rings = None  # no ring constraint</w:t>
      </w:r>
    </w:p>
    <w:p>
      <w:pPr>
        <w:spacing w:before="80" w:after="80"/>
        <w:ind w:left="720"/>
      </w:pPr>
      <w:r>
        <w:rPr>
          <w:rFonts w:ascii="Consolas" w:hAnsi="Consolas"/>
          <w:sz w:val="19"/>
        </w:rPr>
        <w:t xml:space="preserve">  allow_arom = False</w:t>
      </w:r>
    </w:p>
    <w:p>
      <w:pPr>
        <w:spacing w:before="80" w:after="80"/>
        <w:ind w:left="720"/>
      </w:pPr>
      <w:r>
        <w:rPr>
          <w:rFonts w:ascii="Consolas" w:hAnsi="Consolas"/>
          <w:sz w:val="19"/>
        </w:rPr>
      </w:r>
    </w:p>
    <w:p>
      <w:pPr>
        <w:spacing w:before="80" w:after="80"/>
        <w:ind w:left="720"/>
      </w:pPr>
      <w:r>
        <w:rPr>
          <w:rFonts w:ascii="Consolas" w:hAnsi="Consolas"/>
          <w:sz w:val="19"/>
        </w:rPr>
        <w:t xml:space="preserve">  if class == condensed_aromatic:</w:t>
      </w:r>
    </w:p>
    <w:p>
      <w:pPr>
        <w:spacing w:before="80" w:after="80"/>
        <w:ind w:left="720"/>
      </w:pPr>
      <w:r>
        <w:rPr>
          <w:rFonts w:ascii="Consolas" w:hAnsi="Consolas"/>
          <w:sz w:val="19"/>
        </w:rPr>
        <w:t xml:space="preserve">    allow_arom = True; n_req = 1; max_rings = floor(DBE * 0.8)</w:t>
      </w:r>
    </w:p>
    <w:p>
      <w:pPr>
        <w:spacing w:before="80" w:after="80"/>
        <w:ind w:left="720"/>
      </w:pPr>
      <w:r>
        <w:rPr>
          <w:rFonts w:ascii="Consolas" w:hAnsi="Consolas"/>
          <w:sz w:val="19"/>
        </w:rPr>
        <w:t xml:space="preserve">  elif class == aromatic:</w:t>
      </w:r>
    </w:p>
    <w:p>
      <w:pPr>
        <w:spacing w:before="80" w:after="80"/>
        <w:ind w:left="720"/>
      </w:pPr>
      <w:r>
        <w:rPr>
          <w:rFonts w:ascii="Consolas" w:hAnsi="Consolas"/>
          <w:sz w:val="19"/>
        </w:rPr>
        <w:t xml:space="preserve">    allow_arom = True; n_req = 1</w:t>
      </w:r>
    </w:p>
    <w:p>
      <w:pPr>
        <w:spacing w:before="80" w:after="80"/>
        <w:ind w:left="720"/>
      </w:pPr>
      <w:r>
        <w:rPr>
          <w:rFonts w:ascii="Consolas" w:hAnsi="Consolas"/>
          <w:sz w:val="19"/>
        </w:rPr>
        <w:t xml:space="preserve">    if O/C &gt; 0.3: n_req += 1  # hydroxyl/methoxy</w:t>
      </w:r>
    </w:p>
    <w:p>
      <w:pPr>
        <w:spacing w:before="80" w:after="80"/>
        <w:ind w:left="720"/>
      </w:pPr>
      <w:r>
        <w:rPr>
          <w:rFonts w:ascii="Consolas" w:hAnsi="Consolas"/>
          <w:sz w:val="19"/>
        </w:rPr>
        <w:t xml:space="preserve">    max_rings = max(1, floor(DBE * 0.6))</w:t>
      </w:r>
    </w:p>
    <w:p>
      <w:pPr>
        <w:spacing w:before="80" w:after="80"/>
        <w:ind w:left="720"/>
      </w:pPr>
      <w:r>
        <w:rPr>
          <w:rFonts w:ascii="Consolas" w:hAnsi="Consolas"/>
          <w:sz w:val="19"/>
        </w:rPr>
        <w:t xml:space="preserve">  elif class == CRAM:</w:t>
      </w:r>
    </w:p>
    <w:p>
      <w:pPr>
        <w:spacing w:before="80" w:after="80"/>
        <w:ind w:left="720"/>
      </w:pPr>
      <w:r>
        <w:rPr>
          <w:rFonts w:ascii="Consolas" w:hAnsi="Consolas"/>
          <w:sz w:val="19"/>
        </w:rPr>
        <w:t xml:space="preserve">    if O &gt;= 2: n_req = 1  # carboxyl</w:t>
      </w:r>
    </w:p>
    <w:p>
      <w:pPr>
        <w:spacing w:before="80" w:after="80"/>
        <w:ind w:left="720"/>
      </w:pPr>
      <w:r>
        <w:rPr>
          <w:rFonts w:ascii="Consolas" w:hAnsi="Consolas"/>
          <w:sz w:val="19"/>
        </w:rPr>
        <w:t xml:space="preserve">    max_rings = min(3, floor(DBE * 0.7))</w:t>
      </w:r>
    </w:p>
    <w:p>
      <w:pPr>
        <w:spacing w:before="80" w:after="80"/>
        <w:ind w:left="720"/>
      </w:pPr>
      <w:r>
        <w:rPr>
          <w:rFonts w:ascii="Consolas" w:hAnsi="Consolas"/>
          <w:sz w:val="19"/>
        </w:rPr>
        <w:t xml:space="preserve">  elif class == carbohydrate_like:</w:t>
      </w:r>
    </w:p>
    <w:p>
      <w:pPr>
        <w:spacing w:before="80" w:after="80"/>
        <w:ind w:left="720"/>
      </w:pPr>
      <w:r>
        <w:rPr>
          <w:rFonts w:ascii="Consolas" w:hAnsi="Consolas"/>
          <w:sz w:val="19"/>
        </w:rPr>
        <w:t xml:space="preserve">    n_req = 1  # hydroxyl</w:t>
      </w:r>
    </w:p>
    <w:p>
      <w:pPr>
        <w:spacing w:before="80" w:after="80"/>
        <w:ind w:left="720"/>
      </w:pPr>
      <w:r>
        <w:rPr>
          <w:rFonts w:ascii="Consolas" w:hAnsi="Consolas"/>
          <w:sz w:val="19"/>
        </w:rPr>
        <w:t xml:space="preserve">    if DBE &gt;= 1: n_req += 1  # ring oxygen</w:t>
      </w:r>
    </w:p>
    <w:p>
      <w:pPr>
        <w:spacing w:before="80" w:after="80"/>
        <w:ind w:left="720"/>
      </w:pPr>
      <w:r>
        <w:rPr>
          <w:rFonts w:ascii="Consolas" w:hAnsi="Consolas"/>
          <w:sz w:val="19"/>
        </w:rPr>
        <w:t xml:space="preserve">    n_forb += 1  # C=C double bonds</w:t>
      </w:r>
    </w:p>
    <w:p>
      <w:pPr>
        <w:spacing w:before="80" w:after="80"/>
        <w:ind w:left="720"/>
      </w:pPr>
      <w:r>
        <w:rPr>
          <w:rFonts w:ascii="Consolas" w:hAnsi="Consolas"/>
          <w:sz w:val="19"/>
        </w:rPr>
        <w:t xml:space="preserve">    max_rings = 2</w:t>
      </w:r>
    </w:p>
    <w:p>
      <w:pPr>
        <w:spacing w:before="80" w:after="80"/>
        <w:ind w:left="720"/>
      </w:pPr>
      <w:r>
        <w:rPr>
          <w:rFonts w:ascii="Consolas" w:hAnsi="Consolas"/>
          <w:sz w:val="19"/>
        </w:rPr>
        <w:t xml:space="preserve">  elif class == lipid_like:</w:t>
      </w:r>
    </w:p>
    <w:p>
      <w:pPr>
        <w:spacing w:before="80" w:after="80"/>
        <w:ind w:left="720"/>
      </w:pPr>
      <w:r>
        <w:rPr>
          <w:rFonts w:ascii="Consolas" w:hAnsi="Consolas"/>
          <w:sz w:val="19"/>
        </w:rPr>
        <w:t xml:space="preserve">    if O/C &lt; 0.2: n_req = 1  # carboxyl/ester</w:t>
      </w:r>
    </w:p>
    <w:p>
      <w:pPr>
        <w:spacing w:before="80" w:after="80"/>
        <w:ind w:left="720"/>
      </w:pPr>
      <w:r>
        <w:rPr>
          <w:rFonts w:ascii="Consolas" w:hAnsi="Consolas"/>
          <w:sz w:val="19"/>
        </w:rPr>
        <w:t xml:space="preserve">    max_rings = max(0, floor(DBE * 0.5))</w:t>
      </w:r>
    </w:p>
    <w:p>
      <w:pPr>
        <w:spacing w:before="80" w:after="80"/>
        <w:ind w:left="720"/>
      </w:pPr>
      <w:r>
        <w:rPr>
          <w:rFonts w:ascii="Consolas" w:hAnsi="Consolas"/>
          <w:sz w:val="19"/>
        </w:rPr>
        <w:t xml:space="preserve">  elif class == protein_like:</w:t>
      </w:r>
    </w:p>
    <w:p>
      <w:pPr>
        <w:spacing w:before="80" w:after="80"/>
        <w:ind w:left="720"/>
      </w:pPr>
      <w:r>
        <w:rPr>
          <w:rFonts w:ascii="Consolas" w:hAnsi="Consolas"/>
          <w:sz w:val="19"/>
        </w:rPr>
        <w:t xml:space="preserve">    if N &gt; 0: n_req = 1  # amine/amide</w:t>
      </w:r>
    </w:p>
    <w:p>
      <w:pPr>
        <w:spacing w:before="80" w:after="80"/>
        <w:ind w:left="720"/>
      </w:pPr>
      <w:r>
        <w:rPr>
          <w:rFonts w:ascii="Consolas" w:hAnsi="Consolas"/>
          <w:sz w:val="19"/>
        </w:rPr>
        <w:t xml:space="preserve">    max_rings = 1</w:t>
      </w:r>
    </w:p>
    <w:p>
      <w:pPr>
        <w:spacing w:before="80" w:after="80"/>
        <w:ind w:left="720"/>
      </w:pPr>
      <w:r>
        <w:rPr>
          <w:rFonts w:ascii="Consolas" w:hAnsi="Consolas"/>
          <w:sz w:val="19"/>
        </w:rPr>
        <w:t xml:space="preserve">  elif class == N_containing:</w:t>
      </w:r>
    </w:p>
    <w:p>
      <w:pPr>
        <w:spacing w:before="80" w:after="80"/>
        <w:ind w:left="720"/>
      </w:pPr>
      <w:r>
        <w:rPr>
          <w:rFonts w:ascii="Consolas" w:hAnsi="Consolas"/>
          <w:sz w:val="19"/>
        </w:rPr>
        <w:t xml:space="preserve">    n_req = 1  # N-heterocycle or amine</w:t>
      </w:r>
    </w:p>
    <w:p>
      <w:pPr>
        <w:spacing w:before="80" w:after="80"/>
        <w:ind w:left="720"/>
      </w:pPr>
      <w:r>
        <w:rPr>
          <w:rFonts w:ascii="Consolas" w:hAnsi="Consolas"/>
          <w:sz w:val="19"/>
        </w:rPr>
      </w:r>
    </w:p>
    <w:p>
      <w:pPr>
        <w:spacing w:before="80" w:after="80"/>
        <w:ind w:left="720"/>
      </w:pPr>
      <w:r>
        <w:rPr>
          <w:rFonts w:ascii="Consolas" w:hAnsi="Consolas"/>
          <w:sz w:val="19"/>
        </w:rPr>
        <w:t xml:space="preserve">  # Penalties:</w:t>
      </w:r>
    </w:p>
    <w:p>
      <w:pPr>
        <w:spacing w:before="80" w:after="80"/>
        <w:ind w:left="720"/>
      </w:pPr>
      <w:r>
        <w:rPr>
          <w:rFonts w:ascii="Consolas" w:hAnsi="Consolas"/>
          <w:sz w:val="19"/>
        </w:rPr>
        <w:t xml:space="preserve">  P_req  = n_req * 0.12</w:t>
      </w:r>
    </w:p>
    <w:p>
      <w:pPr>
        <w:spacing w:before="80" w:after="80"/>
        <w:ind w:left="720"/>
      </w:pPr>
      <w:r>
        <w:rPr>
          <w:rFonts w:ascii="Consolas" w:hAnsi="Consolas"/>
          <w:sz w:val="19"/>
        </w:rPr>
        <w:t xml:space="preserve">  P_forb = n_forb * 0.05</w:t>
      </w:r>
    </w:p>
    <w:p>
      <w:pPr>
        <w:spacing w:before="80" w:after="80"/>
        <w:ind w:left="720"/>
      </w:pPr>
      <w:r>
        <w:rPr>
          <w:rFonts w:ascii="Consolas" w:hAnsi="Consolas"/>
          <w:sz w:val="19"/>
        </w:rPr>
        <w:t xml:space="preserve">  P_arom = AI_mod * 0.8 if (allow_arom and AI_mod &gt;= 0.5) else 0</w:t>
      </w:r>
    </w:p>
    <w:p>
      <w:pPr>
        <w:spacing w:before="80" w:after="80"/>
        <w:ind w:left="720"/>
      </w:pPr>
      <w:r>
        <w:rPr>
          <w:rFonts w:ascii="Consolas" w:hAnsi="Consolas"/>
          <w:sz w:val="19"/>
        </w:rPr>
        <w:t xml:space="preserve">  P_ring = max(0, DBE - max_rings) * 0.1 if max_rings is not None else 0</w:t>
      </w:r>
    </w:p>
    <w:p/>
    <w:p>
      <w:pPr>
        <w:pStyle w:val="Heading2"/>
      </w:pPr>
      <w:r>
        <w:t>S5.4 Constraint asymmetry and null-penalty model</w:t>
      </w:r>
    </w:p>
    <w:p>
      <w:pPr>
        <w:ind w:firstLine="576"/>
      </w:pPr>
      <w:r>
        <w:rPr>
          <w:b w:val="0"/>
          <w:i w:val="0"/>
          <w:sz w:val="22"/>
        </w:rPr>
        <w:t>The number of constraints varies by class: carbohydrate-like formulae face 6–7 total penalties (5 disfavoured + 1–2 required), while lipid-like formulae face 4–5. To test whether this asymmetry drives the observed class ordering, we ran a null-penalty model that applied only the 4 universal disfavoured features uniformly to all classes, with no required substructures and no aromaticity or ring penalties.</w:t>
      </w:r>
    </w:p>
    <w:p>
      <w:pPr>
        <w:ind w:firstLine="576"/>
      </w:pPr>
      <w:r>
        <w:rPr>
          <w:b w:val="0"/>
          <w:i w:val="0"/>
          <w:sz w:val="22"/>
        </w:rPr>
        <w:t>Under the null model, the rank ordering of classes shifted: carbohydrate-like formulae rose in rank (from 5th to 2nd highest) because their additional ring and hydroxyl penalties were removed. However, the fundamental gradient from constrained aromatics to flexible aliphatics persisted, and the key empirical results (CRAM latitudinal gradient, CIR–richness dissociation) are driven by within-class variation and are not sensitive to between-class ranking.</w:t>
      </w:r>
    </w:p>
    <w:p>
      <w:r>
        <w:br w:type="page"/>
      </w:r>
    </w:p>
    <w:p>
      <w:pPr>
        <w:pStyle w:val="Heading1"/>
      </w:pPr>
      <w:r>
        <w:t>S6. Worked Example: C₁₅H₂₀O₇</w:t>
      </w:r>
    </w:p>
    <w:p>
      <w:pPr>
        <w:ind w:firstLine="576"/>
      </w:pPr>
      <w:r>
        <w:rPr>
          <w:b w:val="0"/>
          <w:i w:val="0"/>
          <w:sz w:val="22"/>
        </w:rPr>
        <w:t>We trace the complete CIR calculation for a representative CRAM formula.</w:t>
      </w:r>
    </w:p>
    <w:p>
      <w:r>
        <w:rPr>
          <w:b/>
          <w:i w:val="0"/>
          <w:sz w:val="22"/>
        </w:rPr>
        <w:t>Step 1: Chemical indices</w:t>
      </w:r>
    </w:p>
    <w:p>
      <w:pPr>
        <w:spacing w:before="80" w:after="80"/>
        <w:ind w:left="720"/>
      </w:pPr>
      <w:r>
        <w:rPr>
          <w:rFonts w:ascii="Consolas" w:hAnsi="Consolas"/>
          <w:sz w:val="19"/>
        </w:rPr>
        <w:t>C=15, H=20, O=7, N=0, S=0, P=0</w:t>
      </w:r>
    </w:p>
    <w:p>
      <w:pPr>
        <w:spacing w:before="80" w:after="80"/>
        <w:ind w:left="720"/>
      </w:pPr>
      <w:r>
        <w:rPr>
          <w:rFonts w:ascii="Consolas" w:hAnsi="Consolas"/>
          <w:sz w:val="19"/>
        </w:rPr>
        <w:t>DBE = 1 + 15 - 20/2 + 0/2 = 6</w:t>
      </w:r>
    </w:p>
    <w:p>
      <w:pPr>
        <w:spacing w:before="80" w:after="80"/>
        <w:ind w:left="720"/>
      </w:pPr>
      <w:r>
        <w:rPr>
          <w:rFonts w:ascii="Consolas" w:hAnsi="Consolas"/>
          <w:sz w:val="19"/>
        </w:rPr>
        <w:t>H/C = 20/15 = 1.333</w:t>
      </w:r>
    </w:p>
    <w:p>
      <w:pPr>
        <w:spacing w:before="80" w:after="80"/>
        <w:ind w:left="720"/>
      </w:pPr>
      <w:r>
        <w:rPr>
          <w:rFonts w:ascii="Consolas" w:hAnsi="Consolas"/>
          <w:sz w:val="19"/>
        </w:rPr>
        <w:t>O/C = 7/15 = 0.467</w:t>
      </w:r>
    </w:p>
    <w:p>
      <w:pPr>
        <w:spacing w:before="80" w:after="80"/>
        <w:ind w:left="720"/>
      </w:pPr>
      <w:r>
        <w:rPr>
          <w:rFonts w:ascii="Consolas" w:hAnsi="Consolas"/>
          <w:sz w:val="19"/>
        </w:rPr>
        <w:t>AI_mod = (1 + 15 - 3.5 - 0 - 10) / (15 - 3.5 - 0 - 0 - 0) = 2.5/11.5 = 0.217</w:t>
      </w:r>
    </w:p>
    <w:p>
      <w:r>
        <w:rPr>
          <w:b/>
          <w:i w:val="0"/>
          <w:sz w:val="22"/>
        </w:rPr>
        <w:t>Step 2: Class assignment</w:t>
      </w:r>
    </w:p>
    <w:p>
      <w:pPr>
        <w:ind w:firstLine="576"/>
      </w:pPr>
      <w:r>
        <w:rPr>
          <w:b w:val="0"/>
          <w:i w:val="0"/>
          <w:sz w:val="22"/>
        </w:rPr>
        <w:t>AI_mod (0.217) &lt; 0.50, so not aromatic. H/C (1.333) &lt; 1.5 and O/C (0.467) &lt; 0.5, so CRAM.</w:t>
      </w:r>
    </w:p>
    <w:p>
      <w:r>
        <w:rPr>
          <w:b/>
          <w:i w:val="0"/>
          <w:sz w:val="22"/>
        </w:rPr>
        <w:t>Step 3: Constraints for CRAM</w:t>
      </w:r>
    </w:p>
    <w:p>
      <w:pPr>
        <w:ind w:firstLine="576"/>
      </w:pPr>
      <w:r>
        <w:rPr>
          <w:b w:val="0"/>
          <w:i w:val="0"/>
          <w:sz w:val="22"/>
        </w:rPr>
        <w:t>• Disfavoured: peroxide, triple bond, ring_3, ring_4 → n_forbidden = 4</w:t>
      </w:r>
    </w:p>
    <w:p>
      <w:pPr>
        <w:ind w:firstLine="576"/>
      </w:pPr>
      <w:r>
        <w:rPr>
          <w:b w:val="0"/>
          <w:i w:val="0"/>
          <w:sz w:val="22"/>
        </w:rPr>
        <w:t>• Required: carboxyl group (O ≥ 2) → n_required = 1</w:t>
      </w:r>
    </w:p>
    <w:p>
      <w:pPr>
        <w:ind w:firstLine="576"/>
      </w:pPr>
      <w:r>
        <w:rPr>
          <w:b w:val="0"/>
          <w:i w:val="0"/>
          <w:sz w:val="22"/>
        </w:rPr>
        <w:t>• Max rings: min(3, int(6 × 0.7)) = min(3, 4) = 3</w:t>
      </w:r>
    </w:p>
    <w:p>
      <w:pPr>
        <w:ind w:firstLine="576"/>
      </w:pPr>
      <w:r>
        <w:rPr>
          <w:b w:val="0"/>
          <w:i w:val="0"/>
          <w:sz w:val="22"/>
        </w:rPr>
        <w:t>• Allow aromatic: No</w:t>
      </w:r>
    </w:p>
    <w:p>
      <w:r>
        <w:rPr>
          <w:b/>
          <w:i w:val="0"/>
          <w:sz w:val="22"/>
        </w:rPr>
        <w:t>Step 4: Scoring</w:t>
      </w:r>
    </w:p>
    <w:p>
      <w:pPr>
        <w:spacing w:before="80" w:after="80"/>
        <w:ind w:left="720"/>
      </w:pPr>
      <w:r>
        <w:rPr>
          <w:rFonts w:ascii="Consolas" w:hAnsi="Consolas"/>
          <w:sz w:val="19"/>
        </w:rPr>
        <w:t>carbon     = log10(max(1, 15-3)) × 0.8 = log10(12) × 0.8 = 1.079 × 0.8 = 0.863</w:t>
      </w:r>
    </w:p>
    <w:p>
      <w:pPr>
        <w:spacing w:before="80" w:after="80"/>
        <w:ind w:left="720"/>
      </w:pPr>
      <w:r>
        <w:rPr>
          <w:rFonts w:ascii="Consolas" w:hAnsi="Consolas"/>
          <w:sz w:val="19"/>
        </w:rPr>
        <w:t>dbe        = max(0.1, -0.15(6-4)² + 1.2) = max(0.1, -0.6+1.2) = 0.600</w:t>
      </w:r>
    </w:p>
    <w:p>
      <w:pPr>
        <w:spacing w:before="80" w:after="80"/>
        <w:ind w:left="720"/>
      </w:pPr>
      <w:r>
        <w:rPr>
          <w:rFonts w:ascii="Consolas" w:hAnsi="Consolas"/>
          <w:sz w:val="19"/>
        </w:rPr>
        <w:t>oxygen     = log10(max(1, 7)) × 0.7 = 0.845 × 0.7 = 0.592</w:t>
      </w:r>
    </w:p>
    <w:p>
      <w:pPr>
        <w:spacing w:before="80" w:after="80"/>
        <w:ind w:left="720"/>
      </w:pPr>
      <w:r>
        <w:rPr>
          <w:rFonts w:ascii="Consolas" w:hAnsi="Consolas"/>
          <w:sz w:val="19"/>
        </w:rPr>
        <w:t>nitrogen   = log10(max(1, 0+1)) × 0.5 = 0.000</w:t>
      </w:r>
    </w:p>
    <w:p>
      <w:pPr>
        <w:spacing w:before="80" w:after="80"/>
        <w:ind w:left="720"/>
      </w:pPr>
      <w:r>
        <w:rPr>
          <w:rFonts w:ascii="Consolas" w:hAnsi="Consolas"/>
          <w:sz w:val="19"/>
        </w:rPr>
        <w:t>req        = 1 × 0.12 = 0.120</w:t>
      </w:r>
    </w:p>
    <w:p>
      <w:pPr>
        <w:spacing w:before="80" w:after="80"/>
        <w:ind w:left="720"/>
      </w:pPr>
      <w:r>
        <w:rPr>
          <w:rFonts w:ascii="Consolas" w:hAnsi="Consolas"/>
          <w:sz w:val="19"/>
        </w:rPr>
        <w:t>forb       = 4 × 0.05 = 0.200</w:t>
      </w:r>
    </w:p>
    <w:p>
      <w:pPr>
        <w:spacing w:before="80" w:after="80"/>
        <w:ind w:left="720"/>
      </w:pPr>
      <w:r>
        <w:rPr>
          <w:rFonts w:ascii="Consolas" w:hAnsi="Consolas"/>
          <w:sz w:val="19"/>
        </w:rPr>
        <w:t>arom       = 0 (allow_aromatic = False)</w:t>
      </w:r>
    </w:p>
    <w:p>
      <w:pPr>
        <w:spacing w:before="80" w:after="80"/>
        <w:ind w:left="720"/>
      </w:pPr>
      <w:r>
        <w:rPr>
          <w:rFonts w:ascii="Consolas" w:hAnsi="Consolas"/>
          <w:sz w:val="19"/>
        </w:rPr>
        <w:t>ring       = max(0, 6-3) × 0.1 = 3 × 0.1 = 0.300</w:t>
      </w:r>
    </w:p>
    <w:p/>
    <w:p>
      <w:pPr>
        <w:spacing w:before="80" w:after="80"/>
        <w:ind w:left="720"/>
      </w:pPr>
      <w:r>
        <w:rPr>
          <w:rFonts w:ascii="Consolas" w:hAnsi="Consolas"/>
          <w:sz w:val="19"/>
        </w:rPr>
        <w:t>raw = 0.863 + 0.600 + 0.592 + 0.000 - 0.120 - 0.200 - 0.000 - 0.300 = 1.435</w:t>
      </w:r>
    </w:p>
    <w:p>
      <w:r>
        <w:rPr>
          <w:b/>
          <w:i w:val="0"/>
          <w:sz w:val="22"/>
        </w:rPr>
        <w:t>Step 5: Calibration</w:t>
      </w:r>
    </w:p>
    <w:p>
      <w:pPr>
        <w:spacing w:before="80" w:after="80"/>
        <w:ind w:left="720"/>
      </w:pPr>
      <w:r>
        <w:rPr>
          <w:rFonts w:ascii="Consolas" w:hAnsi="Consolas"/>
          <w:sz w:val="19"/>
        </w:rPr>
        <w:t>log10(CIR) = 0.78 + (1.435 / 3.0) × 0.82 = 0.78 + 0.392 = 1.172</w:t>
      </w:r>
    </w:p>
    <w:p>
      <w:pPr>
        <w:spacing w:before="80" w:after="80"/>
        <w:ind w:left="720"/>
      </w:pPr>
      <w:r>
        <w:rPr>
          <w:rFonts w:ascii="Consolas" w:hAnsi="Consolas"/>
          <w:sz w:val="19"/>
        </w:rPr>
        <w:t>clip(1.172, 0.3, 1.70) = 1.172</w:t>
      </w:r>
    </w:p>
    <w:p/>
    <w:p>
      <w:pPr>
        <w:ind w:firstLine="576"/>
      </w:pPr>
      <w:r>
        <w:rPr>
          <w:b/>
          <w:i w:val="0"/>
          <w:sz w:val="22"/>
        </w:rPr>
        <w:t>Estimated isomers: 10^1.172 = 14.9</w:t>
      </w:r>
    </w:p>
    <w:p>
      <w:pPr>
        <w:ind w:firstLine="576"/>
      </w:pPr>
      <w:r>
        <w:rPr>
          <w:b w:val="0"/>
          <w:i w:val="0"/>
          <w:sz w:val="22"/>
        </w:rPr>
        <w:t>This falls within the TIMS-observed range of 6–40 isomers per formula (Leyva et al. 2019).</w:t>
      </w:r>
    </w:p>
    <w:p>
      <w:r>
        <w:br w:type="page"/>
      </w:r>
    </w:p>
    <w:p>
      <w:pPr>
        <w:pStyle w:val="Heading1"/>
      </w:pPr>
      <w:r>
        <w:t>S7. Sample-Level and Site-Level Aggregation</w:t>
      </w:r>
    </w:p>
    <w:p>
      <w:pPr>
        <w:pStyle w:val="Heading2"/>
      </w:pPr>
      <w:r>
        <w:t>S7.1 Sample-level aggregation</w:t>
      </w:r>
    </w:p>
    <w:p>
      <w:pPr>
        <w:ind w:firstLine="576"/>
      </w:pPr>
      <w:r>
        <w:rPr>
          <w:b w:val="0"/>
          <w:i w:val="0"/>
          <w:sz w:val="22"/>
        </w:rPr>
        <w:t>For each of the 80 sample replicates, CIR was summarised on the log scale as an intensity-weighted mean of log₁₀(CIR):</w:t>
      </w:r>
    </w:p>
    <w:p>
      <w:pPr>
        <w:spacing w:before="80" w:after="80"/>
        <w:ind w:left="720"/>
      </w:pPr>
      <w:r>
        <w:rPr>
          <w:rFonts w:ascii="Consolas" w:hAnsi="Consolas"/>
          <w:sz w:val="19"/>
        </w:rPr>
        <w:t>mean_log10_CIR = sum(w_i × log10(CIR_i)) for all detected formulae i</w:t>
      </w:r>
    </w:p>
    <w:p>
      <w:pPr>
        <w:spacing w:before="80" w:after="80"/>
        <w:ind w:left="720"/>
      </w:pPr>
      <w:r>
        <w:rPr>
          <w:rFonts w:ascii="Consolas" w:hAnsi="Consolas"/>
          <w:sz w:val="19"/>
        </w:rPr>
        <w:t>where w_i = intensity_i / sum(intensity) for formulae with valid CIR</w:t>
      </w:r>
    </w:p>
    <w:p>
      <w:pPr>
        <w:ind w:firstLine="576"/>
      </w:pPr>
      <w:r>
        <w:rPr>
          <w:b w:val="0"/>
          <w:i w:val="0"/>
          <w:sz w:val="22"/>
        </w:rPr>
        <w:t>This quantity is the intensity-weighted arithmetic mean on the log scale, equivalent to the log of the intensity-weighted geometric mean on the original (isomer count) scale. Throughout the main text and figures, "mean CIR" refers to this log-scale quantity unless otherwise stated. When approximate isomer counts are reported (e.g., "~10 isomers"), these are back-transformed as 10^(mean_log10_CIR).</w:t>
      </w:r>
    </w:p>
    <w:p>
      <w:pPr>
        <w:ind w:firstLine="576"/>
      </w:pPr>
      <w:r>
        <w:rPr>
          <w:b w:val="0"/>
          <w:i w:val="0"/>
          <w:sz w:val="22"/>
        </w:rPr>
        <w:t>Additional per-sample metrics: unweighted SD of log₁₀(CIR), proportion of formulae with log₁₀(CIR) &gt; 1.2, formula richness (count of detected formulae), and mean log₁₀(CIR) computed separately for each compound class.</w:t>
      </w:r>
    </w:p>
    <w:p>
      <w:pPr>
        <w:pStyle w:val="Heading2"/>
      </w:pPr>
      <w:r>
        <w:t>S7.2 Site-level aggregation</w:t>
      </w:r>
    </w:p>
    <w:p>
      <w:pPr>
        <w:ind w:firstLine="576"/>
      </w:pPr>
      <w:r>
        <w:rPr>
          <w:b w:val="0"/>
          <w:i w:val="0"/>
          <w:sz w:val="22"/>
        </w:rPr>
        <w:t>To avoid pseudoreplication (since latitude, temperature, and DOC are site-level variables, not replicate-level), all environmental correlations were computed using site means (n = 27). Site means were computed as the unweighted average of triplicate sample-level values.</w:t>
      </w:r>
    </w:p>
    <w:p>
      <w:pPr>
        <w:ind w:firstLine="576"/>
      </w:pPr>
      <w:r>
        <w:rPr>
          <w:b w:val="0"/>
          <w:i w:val="0"/>
          <w:sz w:val="22"/>
        </w:rPr>
        <w:t>Replicate-level statistics (n = 80) are reported only for:</w:t>
      </w:r>
    </w:p>
    <w:p>
      <w:pPr>
        <w:ind w:firstLine="576"/>
      </w:pPr>
      <w:r>
        <w:rPr>
          <w:b w:val="0"/>
          <w:i w:val="0"/>
          <w:sz w:val="22"/>
        </w:rPr>
        <w:t>• Replicate precision (coefficient of variation across triplicates)</w:t>
      </w:r>
    </w:p>
    <w:p>
      <w:pPr>
        <w:ind w:firstLine="576"/>
      </w:pPr>
      <w:r>
        <w:rPr>
          <w:b w:val="0"/>
          <w:i w:val="0"/>
          <w:sz w:val="22"/>
        </w:rPr>
        <w:t>• Figure 1 panels D–F show individual site means, not triplicates</w:t>
      </w:r>
    </w:p>
    <w:p>
      <w:r>
        <w:br w:type="page"/>
      </w:r>
    </w:p>
    <w:p>
      <w:pPr>
        <w:pStyle w:val="Heading1"/>
      </w:pPr>
      <w:r>
        <w:t>S8. Statistical Methods and Robustness Checks</w:t>
      </w:r>
    </w:p>
    <w:p>
      <w:pPr>
        <w:pStyle w:val="Heading2"/>
      </w:pPr>
      <w:r>
        <w:t>S8.1 Correlation tests</w:t>
      </w:r>
    </w:p>
    <w:p>
      <w:pPr>
        <w:ind w:firstLine="576"/>
      </w:pPr>
      <w:r>
        <w:rPr>
          <w:b w:val="0"/>
          <w:i w:val="0"/>
          <w:sz w:val="22"/>
        </w:rPr>
        <w:t>Pearson (parametric, linear) and Spearman (rank-based, nonparametric) correlation coefficients were computed using scipy.stats.pearsonr and scipy.stats.spearmanr (SciPy 1.9+). Two-tailed p-values are reported.</w:t>
      </w:r>
    </w:p>
    <w:p>
      <w:pPr>
        <w:pStyle w:val="Heading2"/>
      </w:pPr>
      <w:r>
        <w:t>S8.2 Leave-one-site-out cross-validation</w:t>
      </w:r>
    </w:p>
    <w:p>
      <w:pPr>
        <w:ind w:firstLine="576"/>
      </w:pPr>
      <w:r>
        <w:rPr>
          <w:b w:val="0"/>
          <w:i w:val="0"/>
          <w:sz w:val="22"/>
        </w:rPr>
        <w:t>For the CIR_CRAM–latitude correlation, we iteratively removed each site and recomputed the Pearson r. With all 27 sites: r = −0.785. The leave-one-out range was [−0.832, −0.728], with the most influential site (S000014) shifting r by −0.057. No single site drove the result.</w:t>
      </w:r>
    </w:p>
    <w:p>
      <w:pPr>
        <w:pStyle w:val="Heading2"/>
      </w:pPr>
      <w:r>
        <w:t>S8.3 Replicate-filtered richness test</w:t>
      </w:r>
    </w:p>
    <w:p>
      <w:pPr>
        <w:ind w:firstLine="576"/>
      </w:pPr>
      <w:r>
        <w:rPr>
          <w:b w:val="0"/>
          <w:i w:val="0"/>
          <w:sz w:val="22"/>
        </w:rPr>
        <w:t>To test whether the CIR–richness anti-correlation was driven by noisy low-intensity peaks detected in only one replicate, we:</w:t>
      </w:r>
    </w:p>
    <w:p>
      <w:pPr>
        <w:ind w:firstLine="576"/>
      </w:pPr>
      <w:r>
        <w:rPr>
          <w:b w:val="0"/>
          <w:i w:val="0"/>
          <w:sz w:val="22"/>
        </w:rPr>
        <w:t>1. Restricted to formulae detected in all three replicates per site</w:t>
      </w:r>
    </w:p>
    <w:p>
      <w:pPr>
        <w:ind w:firstLine="576"/>
      </w:pPr>
      <w:r>
        <w:rPr>
          <w:b w:val="0"/>
          <w:i w:val="0"/>
          <w:sz w:val="22"/>
        </w:rPr>
        <w:t>2. Recomputed intensity-weighted mean CIR per sample using only confirmed formulae</w:t>
      </w:r>
    </w:p>
    <w:p>
      <w:pPr>
        <w:ind w:firstLine="576"/>
      </w:pPr>
      <w:r>
        <w:rPr>
          <w:b w:val="0"/>
          <w:i w:val="0"/>
          <w:sz w:val="22"/>
        </w:rPr>
        <w:t>3. Averaged across triplicates to get site-level means</w:t>
      </w:r>
    </w:p>
    <w:p>
      <w:pPr>
        <w:ind w:firstLine="576"/>
      </w:pPr>
      <w:r>
        <w:rPr>
          <w:b w:val="0"/>
          <w:i w:val="0"/>
          <w:sz w:val="22"/>
        </w:rPr>
        <w:t>4. Retested the site-level Pearson correlation</w:t>
      </w:r>
    </w:p>
    <w:p/>
    <w:p>
      <w:pPr>
        <w:ind w:firstLine="576"/>
      </w:pPr>
      <w:r>
        <w:rPr>
          <w:b w:val="0"/>
          <w:i w:val="0"/>
          <w:sz w:val="22"/>
        </w:rPr>
        <w:t>Result: Original r = −0.400 (p = 0.039, n = 27). Filtered r = −0.419 (p = 0.030, n = 27). The anti-correlation is not an artefact of detection sensitivity.</w:t>
      </w:r>
    </w:p>
    <w:p>
      <w:pPr>
        <w:pStyle w:val="Heading2"/>
      </w:pPr>
      <w:r>
        <w:t>S8.4 Comparison with simpler metrics</w:t>
      </w:r>
    </w:p>
    <w:p>
      <w:pPr>
        <w:ind w:firstLine="576"/>
      </w:pPr>
      <w:r>
        <w:rPr>
          <w:b w:val="0"/>
          <w:i w:val="0"/>
          <w:sz w:val="22"/>
        </w:rPr>
        <w:t>To test whether CIR_CRAM adds information beyond simpler univariate metrics, we computed Pearson correlations with latitude for five CRAM-fraction summary metrics at the site level (n = 27):</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Arial" w:hAnsi="Arial"/>
                <w:b/>
                <w:sz w:val="19"/>
              </w:rPr>
              <w:t>Metric</w:t>
            </w:r>
          </w:p>
        </w:tc>
        <w:tc>
          <w:tcPr>
            <w:tcW w:type="dxa" w:w="3120"/>
          </w:tcPr>
          <w:p>
            <w:r/>
            <w:r>
              <w:rPr>
                <w:rFonts w:ascii="Arial" w:hAnsi="Arial"/>
                <w:b/>
                <w:sz w:val="19"/>
              </w:rPr>
              <w:t>|r| vs latitude</w:t>
            </w:r>
          </w:p>
        </w:tc>
        <w:tc>
          <w:tcPr>
            <w:tcW w:type="dxa" w:w="3120"/>
          </w:tcPr>
          <w:p>
            <w:r/>
            <w:r>
              <w:rPr>
                <w:rFonts w:ascii="Arial" w:hAnsi="Arial"/>
                <w:b/>
                <w:sz w:val="19"/>
              </w:rPr>
              <w:t>p</w:t>
            </w:r>
          </w:p>
        </w:tc>
      </w:tr>
      <w:tr>
        <w:tc>
          <w:tcPr>
            <w:tcW w:type="dxa" w:w="3120"/>
          </w:tcPr>
          <w:p>
            <w:r/>
            <w:r>
              <w:rPr>
                <w:sz w:val="19"/>
              </w:rPr>
              <w:t>CIR_CRAM</w:t>
            </w:r>
          </w:p>
        </w:tc>
        <w:tc>
          <w:tcPr>
            <w:tcW w:type="dxa" w:w="3120"/>
          </w:tcPr>
          <w:p>
            <w:r/>
            <w:r>
              <w:rPr>
                <w:sz w:val="19"/>
              </w:rPr>
              <w:t>0.785</w:t>
            </w:r>
          </w:p>
        </w:tc>
        <w:tc>
          <w:tcPr>
            <w:tcW w:type="dxa" w:w="3120"/>
          </w:tcPr>
          <w:p>
            <w:r/>
            <w:r>
              <w:rPr>
                <w:sz w:val="19"/>
              </w:rPr>
              <w:t>&lt; 0.00001</w:t>
            </w:r>
          </w:p>
        </w:tc>
      </w:tr>
      <w:tr>
        <w:tc>
          <w:tcPr>
            <w:tcW w:type="dxa" w:w="3120"/>
          </w:tcPr>
          <w:p>
            <w:r/>
            <w:r>
              <w:rPr>
                <w:sz w:val="19"/>
              </w:rPr>
              <w:t>Mean H/C (CRAM)</w:t>
            </w:r>
          </w:p>
        </w:tc>
        <w:tc>
          <w:tcPr>
            <w:tcW w:type="dxa" w:w="3120"/>
          </w:tcPr>
          <w:p>
            <w:r/>
            <w:r>
              <w:rPr>
                <w:sz w:val="19"/>
              </w:rPr>
              <w:t>0.726</w:t>
            </w:r>
          </w:p>
        </w:tc>
        <w:tc>
          <w:tcPr>
            <w:tcW w:type="dxa" w:w="3120"/>
          </w:tcPr>
          <w:p>
            <w:r/>
            <w:r>
              <w:rPr>
                <w:sz w:val="19"/>
              </w:rPr>
              <w:t>&lt; 0.0001</w:t>
            </w:r>
          </w:p>
        </w:tc>
      </w:tr>
      <w:tr>
        <w:tc>
          <w:tcPr>
            <w:tcW w:type="dxa" w:w="3120"/>
          </w:tcPr>
          <w:p>
            <w:r/>
            <w:r>
              <w:rPr>
                <w:sz w:val="19"/>
              </w:rPr>
              <w:t>Mean DBE (CRAM)</w:t>
            </w:r>
          </w:p>
        </w:tc>
        <w:tc>
          <w:tcPr>
            <w:tcW w:type="dxa" w:w="3120"/>
          </w:tcPr>
          <w:p>
            <w:r/>
            <w:r>
              <w:rPr>
                <w:sz w:val="19"/>
              </w:rPr>
              <w:t>0.711</w:t>
            </w:r>
          </w:p>
        </w:tc>
        <w:tc>
          <w:tcPr>
            <w:tcW w:type="dxa" w:w="3120"/>
          </w:tcPr>
          <w:p>
            <w:r/>
            <w:r>
              <w:rPr>
                <w:sz w:val="19"/>
              </w:rPr>
              <w:t>&lt; 0.0001</w:t>
            </w:r>
          </w:p>
        </w:tc>
      </w:tr>
      <w:tr>
        <w:tc>
          <w:tcPr>
            <w:tcW w:type="dxa" w:w="3120"/>
          </w:tcPr>
          <w:p>
            <w:r/>
            <w:r>
              <w:rPr>
                <w:sz w:val="19"/>
              </w:rPr>
              <w:t>Mean mass (CRAM)</w:t>
            </w:r>
          </w:p>
        </w:tc>
        <w:tc>
          <w:tcPr>
            <w:tcW w:type="dxa" w:w="3120"/>
          </w:tcPr>
          <w:p>
            <w:r/>
            <w:r>
              <w:rPr>
                <w:sz w:val="19"/>
              </w:rPr>
              <w:t>0.667</w:t>
            </w:r>
          </w:p>
        </w:tc>
        <w:tc>
          <w:tcPr>
            <w:tcW w:type="dxa" w:w="3120"/>
          </w:tcPr>
          <w:p>
            <w:r/>
            <w:r>
              <w:rPr>
                <w:sz w:val="19"/>
              </w:rPr>
              <w:t>&lt; 0.001</w:t>
            </w:r>
          </w:p>
        </w:tc>
      </w:tr>
      <w:tr>
        <w:tc>
          <w:tcPr>
            <w:tcW w:type="dxa" w:w="3120"/>
          </w:tcPr>
          <w:p>
            <w:r/>
            <w:r>
              <w:rPr>
                <w:sz w:val="19"/>
              </w:rPr>
              <w:t>Mean AI_mod (CRAM)</w:t>
            </w:r>
          </w:p>
        </w:tc>
        <w:tc>
          <w:tcPr>
            <w:tcW w:type="dxa" w:w="3120"/>
          </w:tcPr>
          <w:p>
            <w:r/>
            <w:r>
              <w:rPr>
                <w:sz w:val="19"/>
              </w:rPr>
              <w:t>0.643</w:t>
            </w:r>
          </w:p>
        </w:tc>
        <w:tc>
          <w:tcPr>
            <w:tcW w:type="dxa" w:w="3120"/>
          </w:tcPr>
          <w:p>
            <w:r/>
            <w:r>
              <w:rPr>
                <w:sz w:val="19"/>
              </w:rPr>
              <w:t>&lt; 0.001</w:t>
            </w:r>
          </w:p>
        </w:tc>
      </w:tr>
    </w:tbl>
    <w:p/>
    <w:p>
      <w:r>
        <w:rPr>
          <w:b w:val="0"/>
          <w:i/>
          <w:sz w:val="20"/>
        </w:rPr>
        <w:t>Table S5. CIR_CRAM vs simpler metrics for latitude prediction at site level (n = 27).</w:t>
      </w:r>
    </w:p>
    <w:p>
      <w:pPr>
        <w:ind w:firstLine="576"/>
      </w:pPr>
      <w:r>
        <w:rPr>
          <w:b w:val="0"/>
          <w:i w:val="0"/>
          <w:sz w:val="22"/>
        </w:rPr>
        <w:t>CIR_CRAM achieved the strongest correlation, but the margin over mean H/C is modest (|Δr| = 0.06). CIR integrates multiple chemical dimensions into a composite index that slightly outperforms individual components.</w:t>
      </w:r>
    </w:p>
    <w:p>
      <w:r>
        <w:br w:type="page"/>
      </w:r>
    </w:p>
    <w:p>
      <w:pPr>
        <w:pStyle w:val="Heading1"/>
      </w:pPr>
      <w:r>
        <w:t>S9. Software and Reproducibility</w:t>
      </w:r>
    </w:p>
    <w:p>
      <w:pPr>
        <w:ind w:firstLine="576"/>
      </w:pPr>
      <w:r>
        <w:rPr>
          <w:b w:val="0"/>
          <w:i w:val="0"/>
          <w:sz w:val="22"/>
        </w:rPr>
        <w:t>All analyses were conducted in Python 3.12 using the following packages: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Arial" w:hAnsi="Arial"/>
                <w:b/>
                <w:sz w:val="19"/>
              </w:rPr>
              <w:t>Package</w:t>
            </w:r>
          </w:p>
        </w:tc>
        <w:tc>
          <w:tcPr>
            <w:tcW w:type="dxa" w:w="3120"/>
          </w:tcPr>
          <w:p>
            <w:r/>
            <w:r>
              <w:rPr>
                <w:rFonts w:ascii="Arial" w:hAnsi="Arial"/>
                <w:b/>
                <w:sz w:val="19"/>
              </w:rPr>
              <w:t>Version</w:t>
            </w:r>
          </w:p>
        </w:tc>
        <w:tc>
          <w:tcPr>
            <w:tcW w:type="dxa" w:w="3120"/>
          </w:tcPr>
          <w:p>
            <w:r/>
            <w:r>
              <w:rPr>
                <w:rFonts w:ascii="Arial" w:hAnsi="Arial"/>
                <w:b/>
                <w:sz w:val="19"/>
              </w:rPr>
              <w:t>Purpose</w:t>
            </w:r>
          </w:p>
        </w:tc>
      </w:tr>
      <w:tr>
        <w:tc>
          <w:tcPr>
            <w:tcW w:type="dxa" w:w="3120"/>
          </w:tcPr>
          <w:p>
            <w:r/>
            <w:r>
              <w:rPr>
                <w:sz w:val="19"/>
              </w:rPr>
              <w:t>pandas</w:t>
            </w:r>
          </w:p>
        </w:tc>
        <w:tc>
          <w:tcPr>
            <w:tcW w:type="dxa" w:w="3120"/>
          </w:tcPr>
          <w:p>
            <w:r/>
            <w:r>
              <w:rPr>
                <w:sz w:val="19"/>
              </w:rPr>
              <w:t>≥ 1.5</w:t>
            </w:r>
          </w:p>
        </w:tc>
        <w:tc>
          <w:tcPr>
            <w:tcW w:type="dxa" w:w="3120"/>
          </w:tcPr>
          <w:p>
            <w:r/>
            <w:r>
              <w:rPr>
                <w:sz w:val="19"/>
              </w:rPr>
              <w:t>Data manipulation</w:t>
            </w:r>
          </w:p>
        </w:tc>
      </w:tr>
      <w:tr>
        <w:tc>
          <w:tcPr>
            <w:tcW w:type="dxa" w:w="3120"/>
          </w:tcPr>
          <w:p>
            <w:r/>
            <w:r>
              <w:rPr>
                <w:sz w:val="19"/>
              </w:rPr>
              <w:t>numpy</w:t>
            </w:r>
          </w:p>
        </w:tc>
        <w:tc>
          <w:tcPr>
            <w:tcW w:type="dxa" w:w="3120"/>
          </w:tcPr>
          <w:p>
            <w:r/>
            <w:r>
              <w:rPr>
                <w:sz w:val="19"/>
              </w:rPr>
              <w:t>≥ 1.23</w:t>
            </w:r>
          </w:p>
        </w:tc>
        <w:tc>
          <w:tcPr>
            <w:tcW w:type="dxa" w:w="3120"/>
          </w:tcPr>
          <w:p>
            <w:r/>
            <w:r>
              <w:rPr>
                <w:sz w:val="19"/>
              </w:rPr>
              <w:t>Numerical computation</w:t>
            </w:r>
          </w:p>
        </w:tc>
      </w:tr>
      <w:tr>
        <w:tc>
          <w:tcPr>
            <w:tcW w:type="dxa" w:w="3120"/>
          </w:tcPr>
          <w:p>
            <w:r/>
            <w:r>
              <w:rPr>
                <w:sz w:val="19"/>
              </w:rPr>
              <w:t>matplotlib</w:t>
            </w:r>
          </w:p>
        </w:tc>
        <w:tc>
          <w:tcPr>
            <w:tcW w:type="dxa" w:w="3120"/>
          </w:tcPr>
          <w:p>
            <w:r/>
            <w:r>
              <w:rPr>
                <w:sz w:val="19"/>
              </w:rPr>
              <w:t>≥ 3.6</w:t>
            </w:r>
          </w:p>
        </w:tc>
        <w:tc>
          <w:tcPr>
            <w:tcW w:type="dxa" w:w="3120"/>
          </w:tcPr>
          <w:p>
            <w:r/>
            <w:r>
              <w:rPr>
                <w:sz w:val="19"/>
              </w:rPr>
              <w:t>Plotting</w:t>
            </w:r>
          </w:p>
        </w:tc>
      </w:tr>
      <w:tr>
        <w:tc>
          <w:tcPr>
            <w:tcW w:type="dxa" w:w="3120"/>
          </w:tcPr>
          <w:p>
            <w:r/>
            <w:r>
              <w:rPr>
                <w:sz w:val="19"/>
              </w:rPr>
              <w:t>seaborn</w:t>
            </w:r>
          </w:p>
        </w:tc>
        <w:tc>
          <w:tcPr>
            <w:tcW w:type="dxa" w:w="3120"/>
          </w:tcPr>
          <w:p>
            <w:r/>
            <w:r>
              <w:rPr>
                <w:sz w:val="19"/>
              </w:rPr>
              <w:t>≥ 0.12</w:t>
            </w:r>
          </w:p>
        </w:tc>
        <w:tc>
          <w:tcPr>
            <w:tcW w:type="dxa" w:w="3120"/>
          </w:tcPr>
          <w:p>
            <w:r/>
            <w:r>
              <w:rPr>
                <w:sz w:val="19"/>
              </w:rPr>
              <w:t>Statistical visualisation</w:t>
            </w:r>
          </w:p>
        </w:tc>
      </w:tr>
      <w:tr>
        <w:tc>
          <w:tcPr>
            <w:tcW w:type="dxa" w:w="3120"/>
          </w:tcPr>
          <w:p>
            <w:r/>
            <w:r>
              <w:rPr>
                <w:sz w:val="19"/>
              </w:rPr>
              <w:t>scipy</w:t>
            </w:r>
          </w:p>
        </w:tc>
        <w:tc>
          <w:tcPr>
            <w:tcW w:type="dxa" w:w="3120"/>
          </w:tcPr>
          <w:p>
            <w:r/>
            <w:r>
              <w:rPr>
                <w:sz w:val="19"/>
              </w:rPr>
              <w:t>≥ 1.9</w:t>
            </w:r>
          </w:p>
        </w:tc>
        <w:tc>
          <w:tcPr>
            <w:tcW w:type="dxa" w:w="3120"/>
          </w:tcPr>
          <w:p>
            <w:r/>
            <w:r>
              <w:rPr>
                <w:sz w:val="19"/>
              </w:rPr>
              <w:t>Statistical tests</w:t>
            </w:r>
          </w:p>
        </w:tc>
      </w:tr>
      <w:tr>
        <w:tc>
          <w:tcPr>
            <w:tcW w:type="dxa" w:w="3120"/>
          </w:tcPr>
          <w:p>
            <w:r/>
            <w:r>
              <w:rPr>
                <w:sz w:val="19"/>
              </w:rPr>
              <w:t>tqdm</w:t>
            </w:r>
          </w:p>
        </w:tc>
        <w:tc>
          <w:tcPr>
            <w:tcW w:type="dxa" w:w="3120"/>
          </w:tcPr>
          <w:p>
            <w:r/>
            <w:r>
              <w:rPr>
                <w:sz w:val="19"/>
              </w:rPr>
              <w:t>≥ 4.64</w:t>
            </w:r>
          </w:p>
        </w:tc>
        <w:tc>
          <w:tcPr>
            <w:tcW w:type="dxa" w:w="3120"/>
          </w:tcPr>
          <w:p>
            <w:r/>
            <w:r>
              <w:rPr>
                <w:sz w:val="19"/>
              </w:rPr>
              <w:t>Progress bars</w:t>
            </w:r>
          </w:p>
        </w:tc>
      </w:tr>
      <w:tr>
        <w:tc>
          <w:tcPr>
            <w:tcW w:type="dxa" w:w="3120"/>
          </w:tcPr>
          <w:p>
            <w:r/>
            <w:r>
              <w:rPr>
                <w:sz w:val="19"/>
              </w:rPr>
              <w:t>openpyxl</w:t>
            </w:r>
          </w:p>
        </w:tc>
        <w:tc>
          <w:tcPr>
            <w:tcW w:type="dxa" w:w="3120"/>
          </w:tcPr>
          <w:p>
            <w:r/>
            <w:r>
              <w:rPr>
                <w:sz w:val="19"/>
              </w:rPr>
              <w:t>≥ 3.0</w:t>
            </w:r>
          </w:p>
        </w:tc>
        <w:tc>
          <w:tcPr>
            <w:tcW w:type="dxa" w:w="3120"/>
          </w:tcPr>
          <w:p>
            <w:r/>
            <w:r>
              <w:rPr>
                <w:sz w:val="19"/>
              </w:rPr>
              <w:t>Excel file reading (soil data only)</w:t>
            </w:r>
          </w:p>
        </w:tc>
      </w:tr>
    </w:tbl>
    <w:p/>
    <w:p>
      <w:r>
        <w:rPr>
          <w:b w:val="0"/>
          <w:i/>
          <w:sz w:val="20"/>
        </w:rPr>
        <w:t>Table S6. Python package dependencies.</w:t>
      </w:r>
    </w:p>
    <w:p/>
    <w:p>
      <w:pPr>
        <w:ind w:firstLine="576"/>
      </w:pPr>
      <w:r>
        <w:rPr>
          <w:b w:val="0"/>
          <w:i w:val="0"/>
          <w:sz w:val="22"/>
        </w:rPr>
        <w:t>Three pipeline scripts are provided:</w:t>
      </w:r>
    </w:p>
    <w:p>
      <w:pPr>
        <w:ind w:firstLine="576"/>
      </w:pPr>
      <w:r>
        <w:rPr>
          <w:b w:val="0"/>
          <w:i w:val="0"/>
          <w:sz w:val="22"/>
        </w:rPr>
        <w:t>• CIR_pipeline.py (306 lines): Primary analysis for WHONDRS 2018 data. Runtime: ~2 seconds.</w:t>
      </w:r>
    </w:p>
    <w:p>
      <w:pPr>
        <w:ind w:firstLine="576"/>
      </w:pPr>
      <w:r>
        <w:rPr>
          <w:b w:val="0"/>
          <w:i w:val="0"/>
          <w:sz w:val="22"/>
        </w:rPr>
        <w:t>• CIR_universal.py: Universal pipeline accepting any FT-ICR-MS formula list. Auto-detects format (element columns, formula strings, wide or long format).</w:t>
      </w:r>
    </w:p>
    <w:p>
      <w:pPr>
        <w:ind w:firstLine="576"/>
      </w:pPr>
      <w:r>
        <w:rPr>
          <w:b w:val="0"/>
          <w:i w:val="0"/>
          <w:sz w:val="22"/>
        </w:rPr>
        <w:t>• formularity_python.py: Formula assignment from raw Bruker DataAnalysis XML peak lists. Replaces the Formularity R package for WHONDRS data processing.</w:t>
      </w:r>
    </w:p>
    <w:p>
      <w:pPr>
        <w:ind w:firstLine="576"/>
      </w:pPr>
      <w:r>
        <w:rPr>
          <w:b w:val="0"/>
          <w:i w:val="0"/>
          <w:sz w:val="22"/>
        </w:rPr>
        <w:t>All code is available at https://github.com/erikafreeman/dom-clonome under MIT licence.</w:t>
      </w:r>
    </w:p>
    <w:p>
      <w:r>
        <w:br w:type="page"/>
      </w:r>
    </w:p>
    <w:p>
      <w:pPr>
        <w:pStyle w:val="Heading1"/>
      </w:pPr>
      <w:r>
        <w:t>S10. References</w:t>
      </w:r>
    </w:p>
    <w:p>
      <w:pPr>
        <w:ind w:left="720" w:hanging="720"/>
      </w:pPr>
      <w:r>
        <w:rPr>
          <w:sz w:val="20"/>
        </w:rPr>
        <w:t>Cayley, A. 1881. On the analytical forms called trees. Am. J. Math. 4:266–268.</w:t>
      </w:r>
    </w:p>
    <w:p>
      <w:pPr>
        <w:ind w:left="720" w:hanging="720"/>
      </w:pPr>
      <w:r>
        <w:rPr>
          <w:sz w:val="20"/>
        </w:rPr>
        <w:t>Goldman, A.E., et al. 2020. Biogeosciences 17:3685–3700.</w:t>
      </w:r>
    </w:p>
    <w:p>
      <w:pPr>
        <w:ind w:left="720" w:hanging="720"/>
      </w:pPr>
      <w:r>
        <w:rPr>
          <w:sz w:val="20"/>
        </w:rPr>
        <w:t>Hertkorn, N., et al. 2006. Geochim. Cosmochim. Acta 70:2990–3010.</w:t>
      </w:r>
    </w:p>
    <w:p>
      <w:pPr>
        <w:ind w:left="720" w:hanging="720"/>
      </w:pPr>
      <w:r>
        <w:rPr>
          <w:sz w:val="20"/>
        </w:rPr>
        <w:t>Kim, S., R.W. Kramer, and P.G. Hatcher. 2003. Anal. Chem. 75:5336–5344.</w:t>
      </w:r>
    </w:p>
    <w:p>
      <w:pPr>
        <w:ind w:left="720" w:hanging="720"/>
      </w:pPr>
      <w:r>
        <w:rPr>
          <w:sz w:val="20"/>
        </w:rPr>
        <w:t>Koch, B.P., and T. Dittmar. 2006. Rapid Commun. Mass Spectrom. 20:926–932.</w:t>
      </w:r>
    </w:p>
    <w:p>
      <w:pPr>
        <w:ind w:left="720" w:hanging="720"/>
      </w:pPr>
      <w:r>
        <w:rPr>
          <w:sz w:val="20"/>
        </w:rPr>
        <w:t>LaRowe, D.E., and P. Van Cappellen. 2011. Geochim. Cosmochim. Acta 75:2030–2042.</w:t>
      </w:r>
    </w:p>
    <w:p>
      <w:pPr>
        <w:ind w:left="720" w:hanging="720"/>
      </w:pPr>
      <w:r>
        <w:rPr>
          <w:sz w:val="20"/>
        </w:rPr>
        <w:t>Leyva, D., et al. 2019. Faraday Discuss. 218:431–440.</w:t>
      </w:r>
    </w:p>
    <w:p>
      <w:pPr>
        <w:ind w:left="720" w:hanging="720"/>
      </w:pPr>
      <w:r>
        <w:rPr>
          <w:sz w:val="20"/>
        </w:rPr>
        <w:t>Moye, F., et al. 2025. PANGAEA, doi:10.1594/PANGAEA.974714.</w:t>
      </w:r>
    </w:p>
    <w:p>
      <w:pPr>
        <w:ind w:left="720" w:hanging="720"/>
      </w:pPr>
      <w:r>
        <w:rPr>
          <w:sz w:val="20"/>
        </w:rPr>
        <w:t>Sleighter, R.L., and P.G. Hatcher. 2007. J. Mass Spectrom. 42:559–574.</w:t>
      </w:r>
    </w:p>
    <w:p>
      <w:pPr>
        <w:ind w:left="720" w:hanging="720"/>
      </w:pPr>
      <w:r>
        <w:rPr>
          <w:sz w:val="20"/>
        </w:rPr>
        <w:t>Stegen, J.C., et al. 2022. mSystems 7:e00151-22.</w:t>
      </w:r>
    </w:p>
    <w:p>
      <w:pPr>
        <w:ind w:left="720" w:hanging="720"/>
      </w:pPr>
      <w:r>
        <w:rPr>
          <w:sz w:val="20"/>
        </w:rPr>
        <w:t>Tfaily, M.M., et al. 2015. Anal. Chem. 87:5206–5215.</w:t>
      </w:r>
    </w:p>
    <w:p>
      <w:pPr>
        <w:ind w:left="720" w:hanging="720"/>
      </w:pPr>
      <w:r>
        <w:rPr>
          <w:sz w:val="20"/>
        </w:rPr>
        <w:t>Xia, M., and M. Liu. 2025. Dryad, doi:10.5061/dryad.pvmcvdnw4.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