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Times New Roman" w:hAnsi="Times New Roman"/>
          <w:b/>
          <w:i w:val="0"/>
          <w:sz w:val="28"/>
        </w:rPr>
        <w:t>The dissolved organic matter clonome: constrained isomeric richness reveals hidden structural diversity across aquatic and terrestrial ecosystems</w:t>
      </w:r>
    </w:p>
    <w:p/>
    <w:p>
      <w:pPr>
        <w:ind w:firstLine="0"/>
        <w:jc w:val="center"/>
      </w:pPr>
      <w:r>
        <w:rPr>
          <w:rFonts w:ascii="Times New Roman" w:hAnsi="Times New Roman"/>
          <w:b w:val="0"/>
          <w:i w:val="0"/>
          <w:sz w:val="24"/>
        </w:rPr>
        <w:t>Erika C. Freeman</w:t>
      </w:r>
    </w:p>
    <w:p/>
    <w:p>
      <w:pPr>
        <w:ind w:firstLine="0"/>
        <w:jc w:val="center"/>
      </w:pPr>
      <w:r>
        <w:rPr>
          <w:rFonts w:ascii="Times New Roman" w:hAnsi="Times New Roman"/>
          <w:b w:val="0"/>
          <w:i w:val="0"/>
          <w:sz w:val="22"/>
        </w:rPr>
        <w:t>Leibniz Institute of Freshwater Ecology and Inland Fisheries (IGB), Berlin, Germany</w:t>
      </w:r>
    </w:p>
    <w:p/>
    <w:p>
      <w:pPr>
        <w:ind w:firstLine="0"/>
        <w:jc w:val="center"/>
      </w:pPr>
      <w:r>
        <w:rPr>
          <w:rFonts w:ascii="Times New Roman" w:hAnsi="Times New Roman"/>
          <w:b w:val="0"/>
          <w:i/>
          <w:sz w:val="20"/>
        </w:rPr>
        <w:t>Corresponding author: Erika C. Freeman, erika.freem@gmail.com</w:t>
      </w:r>
    </w:p>
    <w:p/>
    <w:p/>
    <w:p>
      <w:pPr>
        <w:ind w:firstLine="0"/>
        <w:jc w:val="center"/>
      </w:pPr>
      <w:r>
        <w:rPr>
          <w:rFonts w:ascii="Times New Roman" w:hAnsi="Times New Roman"/>
          <w:b w:val="0"/>
          <w:i/>
          <w:sz w:val="20"/>
        </w:rPr>
        <w:t>Running head: DOM clonome</w:t>
      </w:r>
    </w:p>
    <w:p>
      <w:r>
        <w:br w:type="page"/>
      </w:r>
    </w:p>
    <w:p>
      <w:pPr>
        <w:pStyle w:val="Heading1"/>
      </w:pPr>
      <w:r>
        <w:t>Abstract</w:t>
      </w:r>
    </w:p>
    <w:p>
      <w:pPr>
        <w:ind w:firstLine="0"/>
      </w:pPr>
      <w:r>
        <w:rPr>
          <w:rFonts w:ascii="Times New Roman" w:hAnsi="Times New Roman"/>
          <w:b w:val="0"/>
          <w:i w:val="0"/>
          <w:sz w:val="24"/>
        </w:rPr>
        <w:t>Each molecular formula detected by Fourier-transform ion cyclotron resonance mass spectrometry (FT-ICR-MS) in dissolved organic matter (DOM) may represent multiple structural isomers with distinct ecological functions—a hidden reservoir we term the ‘DOM clonome’. Trapped ion mobility spectrometry has confirmed 6–40 isomers per formula, but does not scale to large surveys. We introduce Constrained Isomeric Richness (CIR), a per-formula index that estimates the number of chemically plausible isomers using compound-class–specific structural constraints anchored to published mobility measurements. Applied to 8,972 formulae from 27 river sites in the WHONDRS network and analysed at the site level (n = 27), CIR reveals three findings. First, isomeric depth varies systematically by compound class: lipid-like formulae harbour ~19 estimated isomers and aromatic classes ~8. Second, mean CIR of the CRAM fraction shows the strongest correlation with latitude among all tested metrics (r = −0.79, p &lt; 10⁻⁵, n = 27), slightly exceeding mean H/C (r = −0.73). Third, CIR is negatively correlated with formula richness (r = −0.40, p = 0.039, n = 27), showing that structural depth and compositional breadth are partially decoupled dimensions of DOM complexity. CIR is analytically reproducible (replicate CV = 0.32%) and computationally inexpensive. Applied without modification to six additional datasets spanning river, sediment, soil, Arctic, and marine environments (691,229 total formulae across 1,343 samples), CIR reproduced the same compound class ordering in every case. CRAM isomeric depth followed a gradient consistent with processing intensity: Arctic &lt; sediment &lt; river &lt; soil &lt; marine.</w:t>
      </w:r>
    </w:p>
    <w:p>
      <w:pPr>
        <w:ind w:firstLine="0"/>
      </w:pPr>
      <w:r>
        <w:rPr>
          <w:rFonts w:ascii="Times New Roman" w:hAnsi="Times New Roman"/>
          <w:b/>
          <w:i w:val="0"/>
          <w:sz w:val="24"/>
        </w:rPr>
        <w:t xml:space="preserve">Keywords: </w:t>
      </w:r>
      <w:r>
        <w:rPr>
          <w:rFonts w:ascii="Times New Roman" w:hAnsi="Times New Roman"/>
          <w:b w:val="0"/>
          <w:i/>
          <w:sz w:val="24"/>
        </w:rPr>
        <w:t>dissolved organic matter, FT-ICR-MS, isomeric richness, WHONDRS, DOM clonome, chemodiversity, CRAM</w:t>
      </w:r>
    </w:p>
    <w:p>
      <w:r>
        <w:br w:type="page"/>
      </w:r>
    </w:p>
    <w:p>
      <w:pPr>
        <w:pStyle w:val="Heading1"/>
      </w:pPr>
      <w:r>
        <w:t>Introduction</w:t>
      </w:r>
    </w:p>
    <w:p>
      <w:pPr>
        <w:pStyle w:val="Heading2"/>
      </w:pPr>
      <w:r>
        <w:t>The DOM clonome and the isomeric blind spot</w:t>
      </w:r>
    </w:p>
    <w:p>
      <w:pPr>
        <w:ind w:firstLine="720"/>
      </w:pPr>
      <w:r>
        <w:rPr>
          <w:rFonts w:ascii="Times New Roman" w:hAnsi="Times New Roman"/>
          <w:b w:val="0"/>
          <w:i w:val="0"/>
          <w:sz w:val="24"/>
        </w:rPr>
        <w:t>Dissolved organic matter (DOM) fuels aquatic biogeochemistry, yet its true structural complexity remains largely invisible. Ultrahigh-resolution mass spectrometry (FT-ICR-MS) has transformed our understanding of DOM by resolving it into thousands of distinct molecular formulae (Stenson et al. 2003; Kujawinski 2002). However, this view is fundamentally incomplete because FT-ICR-MS detects exact masses, not structural architectures. Each formula may correspond to multiple constitutional isomers—molecules sharing atomic composition but differing in bond connectivity, ring configuration, and functional group placement. These structural differences matter: isomers of a given formula can differ in biodegradability (Ohno et al. 2014), photoreactivity (Stubbins et al. 2010), and metal-binding capacity (Aiken et al. 2011).</w:t>
      </w:r>
    </w:p>
    <w:p>
      <w:pPr>
        <w:ind w:firstLine="720"/>
      </w:pPr>
      <w:r>
        <w:rPr>
          <w:rFonts w:ascii="Times New Roman" w:hAnsi="Times New Roman"/>
          <w:b w:val="0"/>
          <w:i w:val="0"/>
          <w:sz w:val="24"/>
        </w:rPr>
        <w:t>Trapped ion mobility spectrometry coupled to FT-ICR-MS (TIMS-FT-ICR-MS) has made this hidden diversity directly observable. Leyva et al. (2019, 2020) showed that individual DOM formulae resolve into 6–40 mobility-separated peaks, each representing a structurally different isomer. By analogy to immunology—where a single phenotypic marker hides a diverse repertoire of T cell clones (Qi et al. 2014)—we conceptualise this hidden structural reservoir as the ‘DOM clonome’. However, TIMS requires specialised instrumentation available in very few laboratories, making it impractical for large-scale environmental surveys.</w:t>
      </w:r>
    </w:p>
    <w:p>
      <w:pPr>
        <w:pStyle w:val="Heading2"/>
      </w:pPr>
      <w:r>
        <w:t>Estimating Constrained Isomeric Richness</w:t>
      </w:r>
    </w:p>
    <w:p>
      <w:pPr>
        <w:ind w:firstLine="720"/>
      </w:pPr>
      <w:r>
        <w:rPr>
          <w:rFonts w:ascii="Times New Roman" w:hAnsi="Times New Roman"/>
          <w:b w:val="0"/>
          <w:i w:val="0"/>
          <w:sz w:val="24"/>
        </w:rPr>
        <w:t>Full constitutional isomer enumeration is computationally intractable for DOM-sized molecules (Benecke et al. 1997), but most theoretical isomers are chemically implausible in natural waters. DOM derives from a limited set of biosynthetic precursors—lignin, terpenoids, proteins, carbohydrates (Dittmar and Stubbins 2014)—and aquatic chemistry imposes additional constraints. We introduce Constrained Isomeric Richness (CIR), a heuristic index that estimates the size of the chemically plausible isomer subset by scoring structural degrees of freedom after applying compound-class–specific constraints. The penalty structure reflects fundamental chemical expectations: carbohydrate-like formulae are expected to have fewer plausible constitutional arrangements than lipid-like formulae, because extensive oxygenation and required ring formations constrain the space of viable structures. CIR translates these expectations into a quantifiable, per-formula metric of structural depth, anchored to the TIMS-observed range.</w:t>
      </w:r>
    </w:p>
    <w:p>
      <w:pPr>
        <w:pStyle w:val="Heading2"/>
      </w:pPr>
      <w:r>
        <w:t>Study objectives</w:t>
      </w:r>
    </w:p>
    <w:p>
      <w:pPr>
        <w:ind w:firstLine="0"/>
      </w:pPr>
      <w:r>
        <w:rPr>
          <w:rFonts w:ascii="Times New Roman" w:hAnsi="Times New Roman"/>
          <w:b w:val="0"/>
          <w:i w:val="0"/>
          <w:sz w:val="24"/>
        </w:rPr>
        <w:t>We applied CIR to 8,972 formulae across 80 replicate samples (27 sites) from the WHONDRS 2018 surface water campaign (Stegen et al. 2022; Goldman et al. 2020), with all environmental correlations computed at the site level (n = 27) to avoid pseudoreplication. We then tested cross-ecosystem portability by applying the same pipeline, without parameter adjustment, to WHONDRS Summer 2019 sediment porewater (127,136 formulae from 276 samples), WHONDRS Summer 2019 surface water (166,262 formulae from 282 samples at 97 global sites), WHONDRS WROL 2019 watershed resilience campaign (150,999 formulae, 501 samples), Yukon Delta Experiment 2021 Arctic sediment (86,338 formulae, 180 samples), soil DOM from a Chinese paddy field fertilisation experiment (121,324 formulae, 21 samples; Xia and Liu 2025), and marine DOM from the Weddell Sea and North Sea (30,198 formulae; Moye et al. 2025). We tested whether: (1) CIR varies among compound classes consistently with structural chemistry across ecosystem types; (2) CIR correlates with environmental gradients more strongly than simpler metrics; and (3) CIR is partially independent of conventional formula richness.</w:t>
      </w:r>
    </w:p>
    <w:p>
      <w:r>
        <w:br w:type="page"/>
      </w:r>
    </w:p>
    <w:p>
      <w:pPr>
        <w:pStyle w:val="Heading1"/>
      </w:pPr>
      <w:r>
        <w:t>Methods</w:t>
      </w:r>
    </w:p>
    <w:p>
      <w:pPr>
        <w:pStyle w:val="Heading2"/>
      </w:pPr>
      <w:r>
        <w:t>Study system</w:t>
      </w:r>
    </w:p>
    <w:p>
      <w:pPr>
        <w:ind w:firstLine="0"/>
      </w:pPr>
      <w:r>
        <w:rPr>
          <w:rFonts w:ascii="Times New Roman" w:hAnsi="Times New Roman"/>
          <w:b w:val="0"/>
          <w:i w:val="0"/>
          <w:sz w:val="24"/>
        </w:rPr>
        <w:t>Surface water triplicate samples from 27 river sites across eight U.S. states (30.2°–46.4°N; WHONDRS 2018 campaign; Stegen et al. 2022; Goldman et al. 2020). Water temperature: 6–63°C (the 63°C site is likely geothermally influenced; excluding it did not alter results). DOC: 0.9–5.2 mg L⁻¹.</w:t>
      </w:r>
    </w:p>
    <w:p>
      <w:pPr>
        <w:pStyle w:val="Heading2"/>
      </w:pPr>
      <w:r>
        <w:t>FT-ICR-MS</w:t>
      </w:r>
    </w:p>
    <w:p>
      <w:pPr>
        <w:ind w:firstLine="0"/>
      </w:pPr>
      <w:r>
        <w:rPr>
          <w:rFonts w:ascii="Times New Roman" w:hAnsi="Times New Roman"/>
          <w:b w:val="0"/>
          <w:i w:val="0"/>
          <w:sz w:val="24"/>
        </w:rPr>
        <w:t>12-Tesla FT-ICR-MS at the Environmental Molecular Sciences Laboratory (Tfaily et al. 2015). Formula constraints: C1–57, H1–100, O0–30, N0–5, S0–3, P0–2; mass error &lt;1 ppm (Koch et al. 2007). Of 34,021 features, 8,972 received assignments.</w:t>
      </w:r>
    </w:p>
    <w:p>
      <w:pPr>
        <w:pStyle w:val="Heading2"/>
      </w:pPr>
      <w:r>
        <w:t>Compound class assignment</w:t>
      </w:r>
    </w:p>
    <w:p>
      <w:pPr>
        <w:ind w:firstLine="0"/>
      </w:pPr>
      <w:r>
        <w:rPr>
          <w:rFonts w:ascii="Times New Roman" w:hAnsi="Times New Roman"/>
          <w:b w:val="0"/>
          <w:i w:val="0"/>
          <w:sz w:val="24"/>
        </w:rPr>
        <w:t>Indices: DBE = 1 + C − H/2 + N/2; AI_mod (Koch and Dittmar 2006); NOSC (LaRowe and Van Cappellen 2011). Classes assigned in priority order: (1) condensed aromatic (AI_mod ≥ 0.66); (2) aromatic (0.50–0.66); (3) CRAM (H/C &lt; 1.5, O/C &lt; 0.5; Hertkorn et al. 2006); (4) carbohydrate-like (H/C ≥ 1.5, O/C ≥ 0.5); (5) lipid-like (H/C ≥ 1.5, O/C &lt; 0.5); (6) protein-like (N &gt; 0, H/C &gt; 1.3); (7) N-containing (N &gt; 0); (8) unclassified.</w:t>
      </w:r>
    </w:p>
    <w:p>
      <w:pPr>
        <w:pStyle w:val="Heading2"/>
      </w:pPr>
      <w:r>
        <w:t>CIR scoring function</w:t>
      </w:r>
    </w:p>
    <w:p>
      <w:pPr>
        <w:ind w:firstLine="0"/>
      </w:pPr>
      <w:r>
        <w:rPr>
          <w:rFonts w:ascii="Times New Roman" w:hAnsi="Times New Roman"/>
          <w:b w:val="0"/>
          <w:i w:val="0"/>
          <w:sz w:val="24"/>
        </w:rPr>
        <w:t>The complete CIR equation:</w:t>
      </w:r>
    </w:p>
    <w:p>
      <w:pPr>
        <w:ind w:left="720" w:firstLine="0"/>
      </w:pPr>
      <w:r>
        <w:rPr>
          <w:rFonts w:ascii="Cambria Math" w:hAnsi="Cambria Math"/>
          <w:i/>
          <w:sz w:val="22"/>
        </w:rPr>
        <w:t>log₁₀(CIR)_raw = 0.8·log₁₀(max(1, C−3)) + max(0.1, −0.15(DBE−4)² + 1.2) + w_O·log₁₀(max(1, O)) + 0.5·log₁₀(max(1, N+1)) − 0.12·n_req − 0.05·n_forb − P_arom − P_ring</w:t>
      </w:r>
    </w:p>
    <w:p>
      <w:pPr>
        <w:ind w:firstLine="0"/>
      </w:pPr>
      <w:r>
        <w:rPr>
          <w:rFonts w:ascii="Times New Roman" w:hAnsi="Times New Roman"/>
          <w:b w:val="0"/>
          <w:i w:val="0"/>
          <w:sz w:val="24"/>
        </w:rPr>
        <w:t>where w_O = 0.4 for carbohydrate-like, 0.7 otherwise; P_arom = AI_mod × 0.8 for aromatic classes; P_ring = max(0, DBE − R_max) × 0.1. Chemically disfavoured features (peroxide bonds, triple bonds, 3- and 4-membered rings) were not explicitly enumerated; instead, their implausibility was encoded as score penalties (n_forb). Rescaled:</w:t>
      </w:r>
    </w:p>
    <w:p>
      <w:pPr>
        <w:ind w:left="720" w:firstLine="0"/>
      </w:pPr>
      <w:r>
        <w:rPr>
          <w:rFonts w:ascii="Cambria Math" w:hAnsi="Cambria Math"/>
          <w:i/>
          <w:sz w:val="22"/>
        </w:rPr>
        <w:t>log₁₀(CIR) = 0.78 + (raw / 3.0) × 0.82,  clipped to [0.3, 1.70]</w:t>
      </w:r>
    </w:p>
    <w:p>
      <w:pPr>
        <w:ind w:firstLine="0"/>
      </w:pPr>
      <w:r>
        <w:rPr>
          <w:rFonts w:ascii="Times New Roman" w:hAnsi="Times New Roman"/>
          <w:b w:val="0"/>
          <w:i w:val="0"/>
          <w:sz w:val="24"/>
        </w:rPr>
        <w:t>The lower anchor (0.78) corresponds to log₁₀(6); the scaling factor maps the raw-score range onto an upper value near 1.60 (≈ log₁₀(40)), matching the TIMS-observed range (Leyva et al. 2019). The upper clip (1.70) adds headroom; in practice no formula exceeded 1.58.</w:t>
      </w:r>
    </w:p>
    <w:p>
      <w:pPr>
        <w:pStyle w:val="Heading2"/>
      </w:pPr>
      <w:r>
        <w:t>Aggregation and statistics</w:t>
      </w:r>
    </w:p>
    <w:p>
      <w:pPr>
        <w:ind w:firstLine="0"/>
      </w:pPr>
      <w:r>
        <w:rPr>
          <w:rFonts w:ascii="Times New Roman" w:hAnsi="Times New Roman"/>
          <w:b w:val="0"/>
          <w:i w:val="0"/>
          <w:sz w:val="24"/>
        </w:rPr>
        <w:t>Formula-level CIR was aggregated as intensity-weighted mean log₁₀(CIR) per sample (Tfaily et al. 2015), then averaged across triplicates to yield site-level means. All environmental correlations are reported at the site level (n = 27). Monte Carlo sensitivity analysis (500 iterations, all coefficients perturbed ±10%) confirmed robustness (Supplementary Methods S4.4). The pipeline (Python 3.12, 306 lines, open-source) runs in ~2 s.</w:t>
      </w:r>
    </w:p>
    <w:p>
      <w:r>
        <w:br w:type="page"/>
      </w:r>
    </w:p>
    <w:p>
      <w:pPr>
        <w:pStyle w:val="Heading1"/>
      </w:pPr>
      <w:r>
        <w:t>Results</w:t>
      </w:r>
    </w:p>
    <w:p>
      <w:pPr>
        <w:pStyle w:val="Heading2"/>
      </w:pPr>
      <w:r>
        <w:t>Compound classes and formula-level CIR</w:t>
      </w:r>
    </w:p>
    <w:p>
      <w:pPr>
        <w:ind w:firstLine="0"/>
      </w:pPr>
      <w:r>
        <w:rPr>
          <w:rFonts w:ascii="Times New Roman" w:hAnsi="Times New Roman"/>
          <w:b w:val="0"/>
          <w:i w:val="0"/>
          <w:sz w:val="24"/>
        </w:rPr>
        <w:t>CIR varied systematically across compound classes (Figure 1A; Table 1). Aromatic classes exhibited the lowest median CIR (~8 estimated isomers), and lipid-like formulae the highest (~19). CRAM was intermediate (~10). The CIR range (0.30–1.58) was anchored to the TIMS-observed range of 6–40 isomers (Leyva et al. 2019); no assigned formulae produced undefined values.</w:t>
      </w:r>
    </w:p>
    <w:p>
      <w:pPr>
        <w:spacing w:before="240"/>
        <w:ind w:firstLine="0"/>
      </w:pPr>
      <w:r>
        <w:rPr>
          <w:rFonts w:ascii="Times New Roman" w:hAnsi="Times New Roman"/>
          <w:i/>
          <w:sz w:val="20"/>
        </w:rPr>
        <w:t>Table 1. Formula-level CIR by compound class (log₁₀ scale), ordered by median.</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r/>
            <w:r>
              <w:rPr>
                <w:rFonts w:ascii="Times New Roman" w:hAnsi="Times New Roman"/>
                <w:b/>
                <w:sz w:val="20"/>
              </w:rPr>
              <w:t>Compound class</w:t>
            </w:r>
          </w:p>
        </w:tc>
        <w:tc>
          <w:tcPr>
            <w:tcW w:type="dxa" w:w="1500"/>
          </w:tcPr>
          <w:p>
            <w:r/>
            <w:r>
              <w:rPr>
                <w:rFonts w:ascii="Times New Roman" w:hAnsi="Times New Roman"/>
                <w:b/>
                <w:sz w:val="20"/>
              </w:rPr>
              <w:t>n</w:t>
            </w:r>
          </w:p>
        </w:tc>
        <w:tc>
          <w:tcPr>
            <w:tcW w:type="dxa" w:w="1500"/>
          </w:tcPr>
          <w:p>
            <w:r/>
            <w:r>
              <w:rPr>
                <w:rFonts w:ascii="Times New Roman" w:hAnsi="Times New Roman"/>
                <w:b/>
                <w:sz w:val="20"/>
              </w:rPr>
              <w:t>Mean</w:t>
            </w:r>
          </w:p>
        </w:tc>
        <w:tc>
          <w:tcPr>
            <w:tcW w:type="dxa" w:w="1500"/>
          </w:tcPr>
          <w:p>
            <w:r/>
            <w:r>
              <w:rPr>
                <w:rFonts w:ascii="Times New Roman" w:hAnsi="Times New Roman"/>
                <w:b/>
                <w:sz w:val="20"/>
              </w:rPr>
              <w:t>SD</w:t>
            </w:r>
          </w:p>
        </w:tc>
        <w:tc>
          <w:tcPr>
            <w:tcW w:type="dxa" w:w="1500"/>
          </w:tcPr>
          <w:p>
            <w:r/>
            <w:r>
              <w:rPr>
                <w:rFonts w:ascii="Times New Roman" w:hAnsi="Times New Roman"/>
                <w:b/>
                <w:sz w:val="20"/>
              </w:rPr>
              <w:t>Median</w:t>
            </w:r>
          </w:p>
        </w:tc>
        <w:tc>
          <w:tcPr>
            <w:tcW w:type="dxa" w:w="1500"/>
          </w:tcPr>
          <w:p>
            <w:r/>
            <w:r>
              <w:rPr>
                <w:rFonts w:ascii="Times New Roman" w:hAnsi="Times New Roman"/>
                <w:b/>
                <w:sz w:val="20"/>
              </w:rPr>
              <w:t>~Isomers</w:t>
            </w:r>
          </w:p>
        </w:tc>
      </w:tr>
      <w:tr>
        <w:tc>
          <w:tcPr>
            <w:tcW w:type="dxa" w:w="1500"/>
          </w:tcPr>
          <w:p>
            <w:r/>
            <w:r>
              <w:rPr>
                <w:rFonts w:ascii="Times New Roman" w:hAnsi="Times New Roman"/>
                <w:sz w:val="20"/>
              </w:rPr>
              <w:t>Aromatic</w:t>
            </w:r>
          </w:p>
        </w:tc>
        <w:tc>
          <w:tcPr>
            <w:tcW w:type="dxa" w:w="1500"/>
          </w:tcPr>
          <w:p>
            <w:r/>
            <w:r>
              <w:rPr>
                <w:rFonts w:ascii="Times New Roman" w:hAnsi="Times New Roman"/>
                <w:sz w:val="20"/>
              </w:rPr>
              <w:t>1,136</w:t>
            </w:r>
          </w:p>
        </w:tc>
        <w:tc>
          <w:tcPr>
            <w:tcW w:type="dxa" w:w="1500"/>
          </w:tcPr>
          <w:p>
            <w:r/>
            <w:r>
              <w:rPr>
                <w:rFonts w:ascii="Times New Roman" w:hAnsi="Times New Roman"/>
                <w:sz w:val="20"/>
              </w:rPr>
              <w:t>0.876</w:t>
            </w:r>
          </w:p>
        </w:tc>
        <w:tc>
          <w:tcPr>
            <w:tcW w:type="dxa" w:w="1500"/>
          </w:tcPr>
          <w:p>
            <w:r/>
            <w:r>
              <w:rPr>
                <w:rFonts w:ascii="Times New Roman" w:hAnsi="Times New Roman"/>
                <w:sz w:val="20"/>
              </w:rPr>
              <w:t>0.055</w:t>
            </w:r>
          </w:p>
        </w:tc>
        <w:tc>
          <w:tcPr>
            <w:tcW w:type="dxa" w:w="1500"/>
          </w:tcPr>
          <w:p>
            <w:r/>
            <w:r>
              <w:rPr>
                <w:rFonts w:ascii="Times New Roman" w:hAnsi="Times New Roman"/>
                <w:sz w:val="20"/>
              </w:rPr>
              <w:t>0.881</w:t>
            </w:r>
          </w:p>
        </w:tc>
        <w:tc>
          <w:tcPr>
            <w:tcW w:type="dxa" w:w="1500"/>
          </w:tcPr>
          <w:p>
            <w:r/>
            <w:r>
              <w:rPr>
                <w:rFonts w:ascii="Times New Roman" w:hAnsi="Times New Roman"/>
                <w:sz w:val="20"/>
              </w:rPr>
              <w:t>7.6</w:t>
            </w:r>
          </w:p>
        </w:tc>
      </w:tr>
      <w:tr>
        <w:tc>
          <w:tcPr>
            <w:tcW w:type="dxa" w:w="1500"/>
          </w:tcPr>
          <w:p>
            <w:r/>
            <w:r>
              <w:rPr>
                <w:rFonts w:ascii="Times New Roman" w:hAnsi="Times New Roman"/>
                <w:sz w:val="20"/>
              </w:rPr>
              <w:t>Condensed aromatic</w:t>
            </w:r>
          </w:p>
        </w:tc>
        <w:tc>
          <w:tcPr>
            <w:tcW w:type="dxa" w:w="1500"/>
          </w:tcPr>
          <w:p>
            <w:r/>
            <w:r>
              <w:rPr>
                <w:rFonts w:ascii="Times New Roman" w:hAnsi="Times New Roman"/>
                <w:sz w:val="20"/>
              </w:rPr>
              <w:t>446</w:t>
            </w:r>
          </w:p>
        </w:tc>
        <w:tc>
          <w:tcPr>
            <w:tcW w:type="dxa" w:w="1500"/>
          </w:tcPr>
          <w:p>
            <w:r/>
            <w:r>
              <w:rPr>
                <w:rFonts w:ascii="Times New Roman" w:hAnsi="Times New Roman"/>
                <w:sz w:val="20"/>
              </w:rPr>
              <w:t>0.883</w:t>
            </w:r>
          </w:p>
        </w:tc>
        <w:tc>
          <w:tcPr>
            <w:tcW w:type="dxa" w:w="1500"/>
          </w:tcPr>
          <w:p>
            <w:r/>
            <w:r>
              <w:rPr>
                <w:rFonts w:ascii="Times New Roman" w:hAnsi="Times New Roman"/>
                <w:sz w:val="20"/>
              </w:rPr>
              <w:t>0.088</w:t>
            </w:r>
          </w:p>
        </w:tc>
        <w:tc>
          <w:tcPr>
            <w:tcW w:type="dxa" w:w="1500"/>
          </w:tcPr>
          <w:p>
            <w:r/>
            <w:r>
              <w:rPr>
                <w:rFonts w:ascii="Times New Roman" w:hAnsi="Times New Roman"/>
                <w:sz w:val="20"/>
              </w:rPr>
              <w:t>0.896</w:t>
            </w:r>
          </w:p>
        </w:tc>
        <w:tc>
          <w:tcPr>
            <w:tcW w:type="dxa" w:w="1500"/>
          </w:tcPr>
          <w:p>
            <w:r/>
            <w:r>
              <w:rPr>
                <w:rFonts w:ascii="Times New Roman" w:hAnsi="Times New Roman"/>
                <w:sz w:val="20"/>
              </w:rPr>
              <w:t>7.9</w:t>
            </w:r>
          </w:p>
        </w:tc>
      </w:tr>
      <w:tr>
        <w:tc>
          <w:tcPr>
            <w:tcW w:type="dxa" w:w="1500"/>
          </w:tcPr>
          <w:p>
            <w:r/>
            <w:r>
              <w:rPr>
                <w:rFonts w:ascii="Times New Roman" w:hAnsi="Times New Roman"/>
                <w:sz w:val="20"/>
              </w:rPr>
              <w:t>CRAM</w:t>
            </w:r>
          </w:p>
        </w:tc>
        <w:tc>
          <w:tcPr>
            <w:tcW w:type="dxa" w:w="1500"/>
          </w:tcPr>
          <w:p>
            <w:r/>
            <w:r>
              <w:rPr>
                <w:rFonts w:ascii="Times New Roman" w:hAnsi="Times New Roman"/>
                <w:sz w:val="20"/>
              </w:rPr>
              <w:t>2,735</w:t>
            </w:r>
          </w:p>
        </w:tc>
        <w:tc>
          <w:tcPr>
            <w:tcW w:type="dxa" w:w="1500"/>
          </w:tcPr>
          <w:p>
            <w:r/>
            <w:r>
              <w:rPr>
                <w:rFonts w:ascii="Times New Roman" w:hAnsi="Times New Roman"/>
                <w:sz w:val="20"/>
              </w:rPr>
              <w:t>0.998</w:t>
            </w:r>
          </w:p>
        </w:tc>
        <w:tc>
          <w:tcPr>
            <w:tcW w:type="dxa" w:w="1500"/>
          </w:tcPr>
          <w:p>
            <w:r/>
            <w:r>
              <w:rPr>
                <w:rFonts w:ascii="Times New Roman" w:hAnsi="Times New Roman"/>
                <w:sz w:val="20"/>
              </w:rPr>
              <w:t>0.090</w:t>
            </w:r>
          </w:p>
        </w:tc>
        <w:tc>
          <w:tcPr>
            <w:tcW w:type="dxa" w:w="1500"/>
          </w:tcPr>
          <w:p>
            <w:r/>
            <w:r>
              <w:rPr>
                <w:rFonts w:ascii="Times New Roman" w:hAnsi="Times New Roman"/>
                <w:sz w:val="20"/>
              </w:rPr>
              <w:t>0.988</w:t>
            </w:r>
          </w:p>
        </w:tc>
        <w:tc>
          <w:tcPr>
            <w:tcW w:type="dxa" w:w="1500"/>
          </w:tcPr>
          <w:p>
            <w:r/>
            <w:r>
              <w:rPr>
                <w:rFonts w:ascii="Times New Roman" w:hAnsi="Times New Roman"/>
                <w:sz w:val="20"/>
              </w:rPr>
              <w:t>9.7</w:t>
            </w:r>
          </w:p>
        </w:tc>
      </w:tr>
      <w:tr>
        <w:tc>
          <w:tcPr>
            <w:tcW w:type="dxa" w:w="1500"/>
          </w:tcPr>
          <w:p>
            <w:r/>
            <w:r>
              <w:rPr>
                <w:rFonts w:ascii="Times New Roman" w:hAnsi="Times New Roman"/>
                <w:sz w:val="20"/>
              </w:rPr>
              <w:t>Protein-like</w:t>
            </w:r>
          </w:p>
        </w:tc>
        <w:tc>
          <w:tcPr>
            <w:tcW w:type="dxa" w:w="1500"/>
          </w:tcPr>
          <w:p>
            <w:r/>
            <w:r>
              <w:rPr>
                <w:rFonts w:ascii="Times New Roman" w:hAnsi="Times New Roman"/>
                <w:sz w:val="20"/>
              </w:rPr>
              <w:t>205</w:t>
            </w:r>
          </w:p>
        </w:tc>
        <w:tc>
          <w:tcPr>
            <w:tcW w:type="dxa" w:w="1500"/>
          </w:tcPr>
          <w:p>
            <w:r/>
            <w:r>
              <w:rPr>
                <w:rFonts w:ascii="Times New Roman" w:hAnsi="Times New Roman"/>
                <w:sz w:val="20"/>
              </w:rPr>
              <w:t>1.124</w:t>
            </w:r>
          </w:p>
        </w:tc>
        <w:tc>
          <w:tcPr>
            <w:tcW w:type="dxa" w:w="1500"/>
          </w:tcPr>
          <w:p>
            <w:r/>
            <w:r>
              <w:rPr>
                <w:rFonts w:ascii="Times New Roman" w:hAnsi="Times New Roman"/>
                <w:sz w:val="20"/>
              </w:rPr>
              <w:t>0.090</w:t>
            </w:r>
          </w:p>
        </w:tc>
        <w:tc>
          <w:tcPr>
            <w:tcW w:type="dxa" w:w="1500"/>
          </w:tcPr>
          <w:p>
            <w:r/>
            <w:r>
              <w:rPr>
                <w:rFonts w:ascii="Times New Roman" w:hAnsi="Times New Roman"/>
                <w:sz w:val="20"/>
              </w:rPr>
              <w:t>1.086</w:t>
            </w:r>
          </w:p>
        </w:tc>
        <w:tc>
          <w:tcPr>
            <w:tcW w:type="dxa" w:w="1500"/>
          </w:tcPr>
          <w:p>
            <w:r/>
            <w:r>
              <w:rPr>
                <w:rFonts w:ascii="Times New Roman" w:hAnsi="Times New Roman"/>
                <w:sz w:val="20"/>
              </w:rPr>
              <w:t>12.2</w:t>
            </w:r>
          </w:p>
        </w:tc>
      </w:tr>
      <w:tr>
        <w:tc>
          <w:tcPr>
            <w:tcW w:type="dxa" w:w="1500"/>
          </w:tcPr>
          <w:p>
            <w:r/>
            <w:r>
              <w:rPr>
                <w:rFonts w:ascii="Times New Roman" w:hAnsi="Times New Roman"/>
                <w:sz w:val="20"/>
              </w:rPr>
              <w:t>Carbohydrate-like</w:t>
            </w:r>
          </w:p>
        </w:tc>
        <w:tc>
          <w:tcPr>
            <w:tcW w:type="dxa" w:w="1500"/>
          </w:tcPr>
          <w:p>
            <w:r/>
            <w:r>
              <w:rPr>
                <w:rFonts w:ascii="Times New Roman" w:hAnsi="Times New Roman"/>
                <w:sz w:val="20"/>
              </w:rPr>
              <w:t>951</w:t>
            </w:r>
          </w:p>
        </w:tc>
        <w:tc>
          <w:tcPr>
            <w:tcW w:type="dxa" w:w="1500"/>
          </w:tcPr>
          <w:p>
            <w:r/>
            <w:r>
              <w:rPr>
                <w:rFonts w:ascii="Times New Roman" w:hAnsi="Times New Roman"/>
                <w:sz w:val="20"/>
              </w:rPr>
              <w:t>1.173</w:t>
            </w:r>
          </w:p>
        </w:tc>
        <w:tc>
          <w:tcPr>
            <w:tcW w:type="dxa" w:w="1500"/>
          </w:tcPr>
          <w:p>
            <w:r/>
            <w:r>
              <w:rPr>
                <w:rFonts w:ascii="Times New Roman" w:hAnsi="Times New Roman"/>
                <w:sz w:val="20"/>
              </w:rPr>
              <w:t>0.113</w:t>
            </w:r>
          </w:p>
        </w:tc>
        <w:tc>
          <w:tcPr>
            <w:tcW w:type="dxa" w:w="1500"/>
          </w:tcPr>
          <w:p>
            <w:r/>
            <w:r>
              <w:rPr>
                <w:rFonts w:ascii="Times New Roman" w:hAnsi="Times New Roman"/>
                <w:sz w:val="20"/>
              </w:rPr>
              <w:t>1.199</w:t>
            </w:r>
          </w:p>
        </w:tc>
        <w:tc>
          <w:tcPr>
            <w:tcW w:type="dxa" w:w="1500"/>
          </w:tcPr>
          <w:p>
            <w:r/>
            <w:r>
              <w:rPr>
                <w:rFonts w:ascii="Times New Roman" w:hAnsi="Times New Roman"/>
                <w:sz w:val="20"/>
              </w:rPr>
              <w:t>15.8</w:t>
            </w:r>
          </w:p>
        </w:tc>
      </w:tr>
      <w:tr>
        <w:tc>
          <w:tcPr>
            <w:tcW w:type="dxa" w:w="1500"/>
          </w:tcPr>
          <w:p>
            <w:r/>
            <w:r>
              <w:rPr>
                <w:rFonts w:ascii="Times New Roman" w:hAnsi="Times New Roman"/>
                <w:sz w:val="20"/>
              </w:rPr>
              <w:t>N-containing</w:t>
            </w:r>
          </w:p>
        </w:tc>
        <w:tc>
          <w:tcPr>
            <w:tcW w:type="dxa" w:w="1500"/>
          </w:tcPr>
          <w:p>
            <w:r/>
            <w:r>
              <w:rPr>
                <w:rFonts w:ascii="Times New Roman" w:hAnsi="Times New Roman"/>
                <w:sz w:val="20"/>
              </w:rPr>
              <w:t>472</w:t>
            </w:r>
          </w:p>
        </w:tc>
        <w:tc>
          <w:tcPr>
            <w:tcW w:type="dxa" w:w="1500"/>
          </w:tcPr>
          <w:p>
            <w:r/>
            <w:r>
              <w:rPr>
                <w:rFonts w:ascii="Times New Roman" w:hAnsi="Times New Roman"/>
                <w:sz w:val="20"/>
              </w:rPr>
              <w:t>1.231</w:t>
            </w:r>
          </w:p>
        </w:tc>
        <w:tc>
          <w:tcPr>
            <w:tcW w:type="dxa" w:w="1500"/>
          </w:tcPr>
          <w:p>
            <w:r/>
            <w:r>
              <w:rPr>
                <w:rFonts w:ascii="Times New Roman" w:hAnsi="Times New Roman"/>
                <w:sz w:val="20"/>
              </w:rPr>
              <w:t>0.042</w:t>
            </w:r>
          </w:p>
        </w:tc>
        <w:tc>
          <w:tcPr>
            <w:tcW w:type="dxa" w:w="1500"/>
          </w:tcPr>
          <w:p>
            <w:r/>
            <w:r>
              <w:rPr>
                <w:rFonts w:ascii="Times New Roman" w:hAnsi="Times New Roman"/>
                <w:sz w:val="20"/>
              </w:rPr>
              <w:t>1.237</w:t>
            </w:r>
          </w:p>
        </w:tc>
        <w:tc>
          <w:tcPr>
            <w:tcW w:type="dxa" w:w="1500"/>
          </w:tcPr>
          <w:p>
            <w:r/>
            <w:r>
              <w:rPr>
                <w:rFonts w:ascii="Times New Roman" w:hAnsi="Times New Roman"/>
                <w:sz w:val="20"/>
              </w:rPr>
              <w:t>17.3</w:t>
            </w:r>
          </w:p>
        </w:tc>
      </w:tr>
      <w:tr>
        <w:tc>
          <w:tcPr>
            <w:tcW w:type="dxa" w:w="1500"/>
          </w:tcPr>
          <w:p>
            <w:r/>
            <w:r>
              <w:rPr>
                <w:rFonts w:ascii="Times New Roman" w:hAnsi="Times New Roman"/>
                <w:sz w:val="20"/>
              </w:rPr>
              <w:t>Unclassified</w:t>
            </w:r>
          </w:p>
        </w:tc>
        <w:tc>
          <w:tcPr>
            <w:tcW w:type="dxa" w:w="1500"/>
          </w:tcPr>
          <w:p>
            <w:r/>
            <w:r>
              <w:rPr>
                <w:rFonts w:ascii="Times New Roman" w:hAnsi="Times New Roman"/>
                <w:sz w:val="20"/>
              </w:rPr>
              <w:t>1,802</w:t>
            </w:r>
          </w:p>
        </w:tc>
        <w:tc>
          <w:tcPr>
            <w:tcW w:type="dxa" w:w="1500"/>
          </w:tcPr>
          <w:p>
            <w:r/>
            <w:r>
              <w:rPr>
                <w:rFonts w:ascii="Times New Roman" w:hAnsi="Times New Roman"/>
                <w:sz w:val="20"/>
              </w:rPr>
              <w:t>1.257</w:t>
            </w:r>
          </w:p>
        </w:tc>
        <w:tc>
          <w:tcPr>
            <w:tcW w:type="dxa" w:w="1500"/>
          </w:tcPr>
          <w:p>
            <w:r/>
            <w:r>
              <w:rPr>
                <w:rFonts w:ascii="Times New Roman" w:hAnsi="Times New Roman"/>
                <w:sz w:val="20"/>
              </w:rPr>
              <w:t>0.061</w:t>
            </w:r>
          </w:p>
        </w:tc>
        <w:tc>
          <w:tcPr>
            <w:tcW w:type="dxa" w:w="1500"/>
          </w:tcPr>
          <w:p>
            <w:r/>
            <w:r>
              <w:rPr>
                <w:rFonts w:ascii="Times New Roman" w:hAnsi="Times New Roman"/>
                <w:sz w:val="20"/>
              </w:rPr>
              <w:t>1.252</w:t>
            </w:r>
          </w:p>
        </w:tc>
        <w:tc>
          <w:tcPr>
            <w:tcW w:type="dxa" w:w="1500"/>
          </w:tcPr>
          <w:p>
            <w:r/>
            <w:r>
              <w:rPr>
                <w:rFonts w:ascii="Times New Roman" w:hAnsi="Times New Roman"/>
                <w:sz w:val="20"/>
              </w:rPr>
              <w:t>17.8</w:t>
            </w:r>
          </w:p>
        </w:tc>
      </w:tr>
      <w:tr>
        <w:tc>
          <w:tcPr>
            <w:tcW w:type="dxa" w:w="1500"/>
          </w:tcPr>
          <w:p>
            <w:r/>
            <w:r>
              <w:rPr>
                <w:rFonts w:ascii="Times New Roman" w:hAnsi="Times New Roman"/>
                <w:sz w:val="20"/>
              </w:rPr>
              <w:t>Lipid-like</w:t>
            </w:r>
          </w:p>
        </w:tc>
        <w:tc>
          <w:tcPr>
            <w:tcW w:type="dxa" w:w="1500"/>
          </w:tcPr>
          <w:p>
            <w:r/>
            <w:r>
              <w:rPr>
                <w:rFonts w:ascii="Times New Roman" w:hAnsi="Times New Roman"/>
                <w:sz w:val="20"/>
              </w:rPr>
              <w:t>1,225</w:t>
            </w:r>
          </w:p>
        </w:tc>
        <w:tc>
          <w:tcPr>
            <w:tcW w:type="dxa" w:w="1500"/>
          </w:tcPr>
          <w:p>
            <w:r/>
            <w:r>
              <w:rPr>
                <w:rFonts w:ascii="Times New Roman" w:hAnsi="Times New Roman"/>
                <w:sz w:val="20"/>
              </w:rPr>
              <w:t>1.260</w:t>
            </w:r>
          </w:p>
        </w:tc>
        <w:tc>
          <w:tcPr>
            <w:tcW w:type="dxa" w:w="1500"/>
          </w:tcPr>
          <w:p>
            <w:r/>
            <w:r>
              <w:rPr>
                <w:rFonts w:ascii="Times New Roman" w:hAnsi="Times New Roman"/>
                <w:sz w:val="20"/>
              </w:rPr>
              <w:t>0.126</w:t>
            </w:r>
          </w:p>
        </w:tc>
        <w:tc>
          <w:tcPr>
            <w:tcW w:type="dxa" w:w="1500"/>
          </w:tcPr>
          <w:p>
            <w:r/>
            <w:r>
              <w:rPr>
                <w:rFonts w:ascii="Times New Roman" w:hAnsi="Times New Roman"/>
                <w:sz w:val="20"/>
              </w:rPr>
              <w:t>1.267</w:t>
            </w:r>
          </w:p>
        </w:tc>
        <w:tc>
          <w:tcPr>
            <w:tcW w:type="dxa" w:w="1500"/>
          </w:tcPr>
          <w:p>
            <w:r/>
            <w:r>
              <w:rPr>
                <w:rFonts w:ascii="Times New Roman" w:hAnsi="Times New Roman"/>
                <w:sz w:val="20"/>
              </w:rPr>
              <w:t>18.5</w:t>
            </w:r>
          </w:p>
        </w:tc>
      </w:tr>
      <w:tr>
        <w:tc>
          <w:tcPr>
            <w:tcW w:type="dxa" w:w="1500"/>
          </w:tcPr>
          <w:p>
            <w:r/>
            <w:r>
              <w:rPr>
                <w:rFonts w:ascii="Times New Roman" w:hAnsi="Times New Roman"/>
                <w:sz w:val="20"/>
              </w:rPr>
              <w:t>Total</w:t>
            </w:r>
          </w:p>
        </w:tc>
        <w:tc>
          <w:tcPr>
            <w:tcW w:type="dxa" w:w="1500"/>
          </w:tcPr>
          <w:p>
            <w:r/>
            <w:r>
              <w:rPr>
                <w:rFonts w:ascii="Times New Roman" w:hAnsi="Times New Roman"/>
                <w:sz w:val="20"/>
              </w:rPr>
              <w:t>8,972</w:t>
            </w:r>
          </w:p>
        </w:tc>
        <w:tc>
          <w:tcPr>
            <w:tcW w:type="dxa" w:w="1500"/>
          </w:tcPr>
          <w:p>
            <w:r/>
            <w:r>
              <w:rPr>
                <w:rFonts w:ascii="Times New Roman" w:hAnsi="Times New Roman"/>
                <w:sz w:val="20"/>
              </w:rPr>
            </w:r>
          </w:p>
        </w:tc>
        <w:tc>
          <w:tcPr>
            <w:tcW w:type="dxa" w:w="1500"/>
          </w:tcPr>
          <w:p>
            <w:r/>
            <w:r>
              <w:rPr>
                <w:rFonts w:ascii="Times New Roman" w:hAnsi="Times New Roman"/>
                <w:sz w:val="20"/>
              </w:rPr>
            </w:r>
          </w:p>
        </w:tc>
        <w:tc>
          <w:tcPr>
            <w:tcW w:type="dxa" w:w="1500"/>
          </w:tcPr>
          <w:p>
            <w:r/>
            <w:r>
              <w:rPr>
                <w:rFonts w:ascii="Times New Roman" w:hAnsi="Times New Roman"/>
                <w:sz w:val="20"/>
              </w:rPr>
            </w:r>
          </w:p>
        </w:tc>
        <w:tc>
          <w:tcPr>
            <w:tcW w:type="dxa" w:w="1500"/>
          </w:tcPr>
          <w:p>
            <w:r/>
            <w:r>
              <w:rPr>
                <w:rFonts w:ascii="Times New Roman" w:hAnsi="Times New Roman"/>
                <w:sz w:val="20"/>
              </w:rPr>
            </w:r>
          </w:p>
        </w:tc>
      </w:tr>
    </w:tbl>
    <w:p>
      <w:pPr>
        <w:pStyle w:val="Heading2"/>
      </w:pPr>
      <w:r>
        <w:t>Site-level environmental correlations</w:t>
      </w:r>
    </w:p>
    <w:p>
      <w:pPr>
        <w:ind w:firstLine="0"/>
      </w:pPr>
      <w:r>
        <w:rPr>
          <w:rFonts w:ascii="Times New Roman" w:hAnsi="Times New Roman"/>
          <w:b w:val="0"/>
          <w:i w:val="0"/>
          <w:sz w:val="24"/>
        </w:rPr>
        <w:t>CIR of the CRAM fraction (CIR_CRAM) showed the strongest environmental signal (Table 2). The site-level latitude correlation (r = −0.79, p &lt; 10⁻⁵) was the strongest among the tested summary metrics, including mean H/C (r = −0.73), mean DBE (r = 0.71), and mean molecular weight (r = 0.67; Table 3). The margin over mean H/C is modest (|Δr| = 0.06). Leave-one-site-out cross-validation yielded r values between −0.73 and −0.83. Bulk mean CIR correlated with latitude (r = −0.40, p = 0.040) but not significantly with temperature (r = 0.27, p = 0.17) at the site level.</w:t>
      </w:r>
    </w:p>
    <w:p>
      <w:pPr>
        <w:spacing w:before="240"/>
        <w:ind w:firstLine="0"/>
      </w:pPr>
      <w:r>
        <w:rPr>
          <w:rFonts w:ascii="Times New Roman" w:hAnsi="Times New Roman"/>
          <w:i/>
          <w:sz w:val="20"/>
        </w:rPr>
        <w:t>Table 2. Correlations between CIR and environmental variables at the site level (n = 27).</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b/>
                <w:sz w:val="20"/>
              </w:rPr>
              <w:t>Variable</w:t>
            </w:r>
          </w:p>
        </w:tc>
        <w:tc>
          <w:tcPr>
            <w:tcW w:type="dxa" w:w="2250"/>
          </w:tcPr>
          <w:p>
            <w:r/>
            <w:r>
              <w:rPr>
                <w:rFonts w:ascii="Times New Roman" w:hAnsi="Times New Roman"/>
                <w:b/>
                <w:sz w:val="20"/>
              </w:rPr>
              <w:t>CIR metric</w:t>
            </w:r>
          </w:p>
        </w:tc>
        <w:tc>
          <w:tcPr>
            <w:tcW w:type="dxa" w:w="2250"/>
          </w:tcPr>
          <w:p>
            <w:r/>
            <w:r>
              <w:rPr>
                <w:rFonts w:ascii="Times New Roman" w:hAnsi="Times New Roman"/>
                <w:b/>
                <w:sz w:val="20"/>
              </w:rPr>
              <w:t>r</w:t>
            </w:r>
          </w:p>
        </w:tc>
        <w:tc>
          <w:tcPr>
            <w:tcW w:type="dxa" w:w="2250"/>
          </w:tcPr>
          <w:p>
            <w:r/>
            <w:r>
              <w:rPr>
                <w:rFonts w:ascii="Times New Roman" w:hAnsi="Times New Roman"/>
                <w:b/>
                <w:sz w:val="20"/>
              </w:rPr>
              <w:t>p</w:t>
            </w:r>
          </w:p>
        </w:tc>
      </w:tr>
      <w:tr>
        <w:tc>
          <w:tcPr>
            <w:tcW w:type="dxa" w:w="2250"/>
          </w:tcPr>
          <w:p>
            <w:r/>
            <w:r>
              <w:rPr>
                <w:rFonts w:ascii="Times New Roman" w:hAnsi="Times New Roman"/>
                <w:sz w:val="20"/>
              </w:rPr>
              <w:t>Latitude</w:t>
            </w:r>
          </w:p>
        </w:tc>
        <w:tc>
          <w:tcPr>
            <w:tcW w:type="dxa" w:w="2250"/>
          </w:tcPr>
          <w:p>
            <w:r/>
            <w:r>
              <w:rPr>
                <w:rFonts w:ascii="Times New Roman" w:hAnsi="Times New Roman"/>
                <w:sz w:val="20"/>
              </w:rPr>
              <w:t>Mean CIR</w:t>
            </w:r>
          </w:p>
        </w:tc>
        <w:tc>
          <w:tcPr>
            <w:tcW w:type="dxa" w:w="2250"/>
          </w:tcPr>
          <w:p>
            <w:r/>
            <w:r>
              <w:rPr>
                <w:rFonts w:ascii="Times New Roman" w:hAnsi="Times New Roman"/>
                <w:sz w:val="20"/>
              </w:rPr>
              <w:t>−0.397</w:t>
            </w:r>
          </w:p>
        </w:tc>
        <w:tc>
          <w:tcPr>
            <w:tcW w:type="dxa" w:w="2250"/>
          </w:tcPr>
          <w:p>
            <w:r/>
            <w:r>
              <w:rPr>
                <w:rFonts w:ascii="Times New Roman" w:hAnsi="Times New Roman"/>
                <w:sz w:val="20"/>
              </w:rPr>
              <w:t>0.040</w:t>
            </w:r>
          </w:p>
        </w:tc>
      </w:tr>
      <w:tr>
        <w:tc>
          <w:tcPr>
            <w:tcW w:type="dxa" w:w="2250"/>
          </w:tcPr>
          <w:p>
            <w:r/>
            <w:r>
              <w:rPr>
                <w:rFonts w:ascii="Times New Roman" w:hAnsi="Times New Roman"/>
                <w:sz w:val="20"/>
              </w:rPr>
              <w:t>Temperature</w:t>
            </w:r>
          </w:p>
        </w:tc>
        <w:tc>
          <w:tcPr>
            <w:tcW w:type="dxa" w:w="2250"/>
          </w:tcPr>
          <w:p>
            <w:r/>
            <w:r>
              <w:rPr>
                <w:rFonts w:ascii="Times New Roman" w:hAnsi="Times New Roman"/>
                <w:sz w:val="20"/>
              </w:rPr>
              <w:t>Mean CIR</w:t>
            </w:r>
          </w:p>
        </w:tc>
        <w:tc>
          <w:tcPr>
            <w:tcW w:type="dxa" w:w="2250"/>
          </w:tcPr>
          <w:p>
            <w:r/>
            <w:r>
              <w:rPr>
                <w:rFonts w:ascii="Times New Roman" w:hAnsi="Times New Roman"/>
                <w:sz w:val="20"/>
              </w:rPr>
              <w:t>0.271</w:t>
            </w:r>
          </w:p>
        </w:tc>
        <w:tc>
          <w:tcPr>
            <w:tcW w:type="dxa" w:w="2250"/>
          </w:tcPr>
          <w:p>
            <w:r/>
            <w:r>
              <w:rPr>
                <w:rFonts w:ascii="Times New Roman" w:hAnsi="Times New Roman"/>
                <w:sz w:val="20"/>
              </w:rPr>
              <w:t>0.17</w:t>
            </w:r>
          </w:p>
        </w:tc>
      </w:tr>
      <w:tr>
        <w:tc>
          <w:tcPr>
            <w:tcW w:type="dxa" w:w="2250"/>
          </w:tcPr>
          <w:p>
            <w:r/>
            <w:r>
              <w:rPr>
                <w:rFonts w:ascii="Times New Roman" w:hAnsi="Times New Roman"/>
                <w:sz w:val="20"/>
              </w:rPr>
              <w:t>DOC</w:t>
            </w:r>
          </w:p>
        </w:tc>
        <w:tc>
          <w:tcPr>
            <w:tcW w:type="dxa" w:w="2250"/>
          </w:tcPr>
          <w:p>
            <w:r/>
            <w:r>
              <w:rPr>
                <w:rFonts w:ascii="Times New Roman" w:hAnsi="Times New Roman"/>
                <w:sz w:val="20"/>
              </w:rPr>
              <w:t>Mean CIR</w:t>
            </w:r>
          </w:p>
        </w:tc>
        <w:tc>
          <w:tcPr>
            <w:tcW w:type="dxa" w:w="2250"/>
          </w:tcPr>
          <w:p>
            <w:r/>
            <w:r>
              <w:rPr>
                <w:rFonts w:ascii="Times New Roman" w:hAnsi="Times New Roman"/>
                <w:sz w:val="20"/>
              </w:rPr>
              <w:t>0.111</w:t>
            </w:r>
          </w:p>
        </w:tc>
        <w:tc>
          <w:tcPr>
            <w:tcW w:type="dxa" w:w="2250"/>
          </w:tcPr>
          <w:p>
            <w:r/>
            <w:r>
              <w:rPr>
                <w:rFonts w:ascii="Times New Roman" w:hAnsi="Times New Roman"/>
                <w:sz w:val="20"/>
              </w:rPr>
              <w:t>0.58</w:t>
            </w:r>
          </w:p>
        </w:tc>
      </w:tr>
      <w:tr>
        <w:tc>
          <w:tcPr>
            <w:tcW w:type="dxa" w:w="2250"/>
          </w:tcPr>
          <w:p>
            <w:r/>
            <w:r>
              <w:rPr>
                <w:rFonts w:ascii="Times New Roman" w:hAnsi="Times New Roman"/>
                <w:sz w:val="20"/>
              </w:rPr>
              <w:t>Formula richness</w:t>
            </w:r>
          </w:p>
        </w:tc>
        <w:tc>
          <w:tcPr>
            <w:tcW w:type="dxa" w:w="2250"/>
          </w:tcPr>
          <w:p>
            <w:r/>
            <w:r>
              <w:rPr>
                <w:rFonts w:ascii="Times New Roman" w:hAnsi="Times New Roman"/>
                <w:sz w:val="20"/>
              </w:rPr>
              <w:t>Mean CIR</w:t>
            </w:r>
          </w:p>
        </w:tc>
        <w:tc>
          <w:tcPr>
            <w:tcW w:type="dxa" w:w="2250"/>
          </w:tcPr>
          <w:p>
            <w:r/>
            <w:r>
              <w:rPr>
                <w:rFonts w:ascii="Times New Roman" w:hAnsi="Times New Roman"/>
                <w:sz w:val="20"/>
              </w:rPr>
              <w:t>−0.400</w:t>
            </w:r>
          </w:p>
        </w:tc>
        <w:tc>
          <w:tcPr>
            <w:tcW w:type="dxa" w:w="2250"/>
          </w:tcPr>
          <w:p>
            <w:r/>
            <w:r>
              <w:rPr>
                <w:rFonts w:ascii="Times New Roman" w:hAnsi="Times New Roman"/>
                <w:sz w:val="20"/>
              </w:rPr>
              <w:t>0.039</w:t>
            </w:r>
          </w:p>
        </w:tc>
      </w:tr>
      <w:tr>
        <w:tc>
          <w:tcPr>
            <w:tcW w:type="dxa" w:w="2250"/>
          </w:tcPr>
          <w:p>
            <w:r/>
            <w:r>
              <w:rPr>
                <w:rFonts w:ascii="Times New Roman" w:hAnsi="Times New Roman"/>
                <w:sz w:val="20"/>
              </w:rPr>
              <w:t>Latitude</w:t>
            </w:r>
          </w:p>
        </w:tc>
        <w:tc>
          <w:tcPr>
            <w:tcW w:type="dxa" w:w="2250"/>
          </w:tcPr>
          <w:p>
            <w:r/>
            <w:r>
              <w:rPr>
                <w:rFonts w:ascii="Times New Roman" w:hAnsi="Times New Roman"/>
                <w:sz w:val="20"/>
              </w:rPr>
              <w:t>CIR_CRAM</w:t>
            </w:r>
          </w:p>
        </w:tc>
        <w:tc>
          <w:tcPr>
            <w:tcW w:type="dxa" w:w="2250"/>
          </w:tcPr>
          <w:p>
            <w:r/>
            <w:r>
              <w:rPr>
                <w:rFonts w:ascii="Times New Roman" w:hAnsi="Times New Roman"/>
                <w:sz w:val="20"/>
              </w:rPr>
              <w:t>−0.785</w:t>
            </w:r>
          </w:p>
        </w:tc>
        <w:tc>
          <w:tcPr>
            <w:tcW w:type="dxa" w:w="2250"/>
          </w:tcPr>
          <w:p>
            <w:r/>
            <w:r>
              <w:rPr>
                <w:rFonts w:ascii="Times New Roman" w:hAnsi="Times New Roman"/>
                <w:sz w:val="20"/>
              </w:rPr>
              <w:t>&lt;10⁻⁵</w:t>
            </w:r>
          </w:p>
        </w:tc>
      </w:tr>
      <w:tr>
        <w:tc>
          <w:tcPr>
            <w:tcW w:type="dxa" w:w="2250"/>
          </w:tcPr>
          <w:p>
            <w:r/>
            <w:r>
              <w:rPr>
                <w:rFonts w:ascii="Times New Roman" w:hAnsi="Times New Roman"/>
                <w:sz w:val="20"/>
              </w:rPr>
              <w:t>Temperature</w:t>
            </w:r>
          </w:p>
        </w:tc>
        <w:tc>
          <w:tcPr>
            <w:tcW w:type="dxa" w:w="2250"/>
          </w:tcPr>
          <w:p>
            <w:r/>
            <w:r>
              <w:rPr>
                <w:rFonts w:ascii="Times New Roman" w:hAnsi="Times New Roman"/>
                <w:sz w:val="20"/>
              </w:rPr>
              <w:t>CIR_CRAM</w:t>
            </w:r>
          </w:p>
        </w:tc>
        <w:tc>
          <w:tcPr>
            <w:tcW w:type="dxa" w:w="2250"/>
          </w:tcPr>
          <w:p>
            <w:r/>
            <w:r>
              <w:rPr>
                <w:rFonts w:ascii="Times New Roman" w:hAnsi="Times New Roman"/>
                <w:sz w:val="20"/>
              </w:rPr>
              <w:t>0.631</w:t>
            </w:r>
          </w:p>
        </w:tc>
        <w:tc>
          <w:tcPr>
            <w:tcW w:type="dxa" w:w="2250"/>
          </w:tcPr>
          <w:p>
            <w:r/>
            <w:r>
              <w:rPr>
                <w:rFonts w:ascii="Times New Roman" w:hAnsi="Times New Roman"/>
                <w:sz w:val="20"/>
              </w:rPr>
              <w:t>&lt;0.001</w:t>
            </w:r>
          </w:p>
        </w:tc>
      </w:tr>
      <w:tr>
        <w:tc>
          <w:tcPr>
            <w:tcW w:type="dxa" w:w="2250"/>
          </w:tcPr>
          <w:p>
            <w:r/>
            <w:r>
              <w:rPr>
                <w:rFonts w:ascii="Times New Roman" w:hAnsi="Times New Roman"/>
                <w:sz w:val="20"/>
              </w:rPr>
              <w:t>DOC</w:t>
            </w:r>
          </w:p>
        </w:tc>
        <w:tc>
          <w:tcPr>
            <w:tcW w:type="dxa" w:w="2250"/>
          </w:tcPr>
          <w:p>
            <w:r/>
            <w:r>
              <w:rPr>
                <w:rFonts w:ascii="Times New Roman" w:hAnsi="Times New Roman"/>
                <w:sz w:val="20"/>
              </w:rPr>
              <w:t>CIR_CRAM</w:t>
            </w:r>
          </w:p>
        </w:tc>
        <w:tc>
          <w:tcPr>
            <w:tcW w:type="dxa" w:w="2250"/>
          </w:tcPr>
          <w:p>
            <w:r/>
            <w:r>
              <w:rPr>
                <w:rFonts w:ascii="Times New Roman" w:hAnsi="Times New Roman"/>
                <w:sz w:val="20"/>
              </w:rPr>
              <w:t>0.426</w:t>
            </w:r>
          </w:p>
        </w:tc>
        <w:tc>
          <w:tcPr>
            <w:tcW w:type="dxa" w:w="2250"/>
          </w:tcPr>
          <w:p>
            <w:r/>
            <w:r>
              <w:rPr>
                <w:rFonts w:ascii="Times New Roman" w:hAnsi="Times New Roman"/>
                <w:sz w:val="20"/>
              </w:rPr>
              <w:t>0.027</w:t>
            </w:r>
          </w:p>
        </w:tc>
      </w:tr>
    </w:tbl>
    <w:p/>
    <w:p>
      <w:pPr>
        <w:spacing w:before="240"/>
        <w:ind w:firstLine="0"/>
      </w:pPr>
      <w:r>
        <w:rPr>
          <w:rFonts w:ascii="Times New Roman" w:hAnsi="Times New Roman"/>
          <w:i/>
          <w:sz w:val="20"/>
        </w:rPr>
        <w:t>Table 3. CIR_CRAM vs simpler CRAM-fraction metrics for latitude prediction (n = 27).</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0"/>
              </w:rPr>
              <w:t>Metric</w:t>
            </w:r>
          </w:p>
        </w:tc>
        <w:tc>
          <w:tcPr>
            <w:tcW w:type="dxa" w:w="3000"/>
          </w:tcPr>
          <w:p>
            <w:r/>
            <w:r>
              <w:rPr>
                <w:rFonts w:ascii="Times New Roman" w:hAnsi="Times New Roman"/>
                <w:b/>
                <w:sz w:val="20"/>
              </w:rPr>
              <w:t>|r| vs latitude</w:t>
            </w:r>
          </w:p>
        </w:tc>
        <w:tc>
          <w:tcPr>
            <w:tcW w:type="dxa" w:w="3000"/>
          </w:tcPr>
          <w:p>
            <w:r/>
            <w:r>
              <w:rPr>
                <w:rFonts w:ascii="Times New Roman" w:hAnsi="Times New Roman"/>
                <w:b/>
                <w:sz w:val="20"/>
              </w:rPr>
              <w:t>p</w:t>
            </w:r>
          </w:p>
        </w:tc>
      </w:tr>
      <w:tr>
        <w:tc>
          <w:tcPr>
            <w:tcW w:type="dxa" w:w="3000"/>
          </w:tcPr>
          <w:p>
            <w:r/>
            <w:r>
              <w:rPr>
                <w:rFonts w:ascii="Times New Roman" w:hAnsi="Times New Roman"/>
                <w:sz w:val="20"/>
              </w:rPr>
              <w:t>CIR_CRAM</w:t>
            </w:r>
          </w:p>
        </w:tc>
        <w:tc>
          <w:tcPr>
            <w:tcW w:type="dxa" w:w="3000"/>
          </w:tcPr>
          <w:p>
            <w:r/>
            <w:r>
              <w:rPr>
                <w:rFonts w:ascii="Times New Roman" w:hAnsi="Times New Roman"/>
                <w:sz w:val="20"/>
              </w:rPr>
              <w:t>0.785</w:t>
            </w:r>
          </w:p>
        </w:tc>
        <w:tc>
          <w:tcPr>
            <w:tcW w:type="dxa" w:w="3000"/>
          </w:tcPr>
          <w:p>
            <w:r/>
            <w:r>
              <w:rPr>
                <w:rFonts w:ascii="Times New Roman" w:hAnsi="Times New Roman"/>
                <w:sz w:val="20"/>
              </w:rPr>
              <w:t>&lt;10⁻⁵</w:t>
            </w:r>
          </w:p>
        </w:tc>
      </w:tr>
      <w:tr>
        <w:tc>
          <w:tcPr>
            <w:tcW w:type="dxa" w:w="3000"/>
          </w:tcPr>
          <w:p>
            <w:r/>
            <w:r>
              <w:rPr>
                <w:rFonts w:ascii="Times New Roman" w:hAnsi="Times New Roman"/>
                <w:sz w:val="20"/>
              </w:rPr>
              <w:t>Mean H/C (CRAM)</w:t>
            </w:r>
          </w:p>
        </w:tc>
        <w:tc>
          <w:tcPr>
            <w:tcW w:type="dxa" w:w="3000"/>
          </w:tcPr>
          <w:p>
            <w:r/>
            <w:r>
              <w:rPr>
                <w:rFonts w:ascii="Times New Roman" w:hAnsi="Times New Roman"/>
                <w:sz w:val="20"/>
              </w:rPr>
              <w:t>0.726</w:t>
            </w:r>
          </w:p>
        </w:tc>
        <w:tc>
          <w:tcPr>
            <w:tcW w:type="dxa" w:w="3000"/>
          </w:tcPr>
          <w:p>
            <w:r/>
            <w:r>
              <w:rPr>
                <w:rFonts w:ascii="Times New Roman" w:hAnsi="Times New Roman"/>
                <w:sz w:val="20"/>
              </w:rPr>
              <w:t>&lt;10⁻⁴</w:t>
            </w:r>
          </w:p>
        </w:tc>
      </w:tr>
      <w:tr>
        <w:tc>
          <w:tcPr>
            <w:tcW w:type="dxa" w:w="3000"/>
          </w:tcPr>
          <w:p>
            <w:r/>
            <w:r>
              <w:rPr>
                <w:rFonts w:ascii="Times New Roman" w:hAnsi="Times New Roman"/>
                <w:sz w:val="20"/>
              </w:rPr>
              <w:t>Mean DBE (CRAM)</w:t>
            </w:r>
          </w:p>
        </w:tc>
        <w:tc>
          <w:tcPr>
            <w:tcW w:type="dxa" w:w="3000"/>
          </w:tcPr>
          <w:p>
            <w:r/>
            <w:r>
              <w:rPr>
                <w:rFonts w:ascii="Times New Roman" w:hAnsi="Times New Roman"/>
                <w:sz w:val="20"/>
              </w:rPr>
              <w:t>0.711</w:t>
            </w:r>
          </w:p>
        </w:tc>
        <w:tc>
          <w:tcPr>
            <w:tcW w:type="dxa" w:w="3000"/>
          </w:tcPr>
          <w:p>
            <w:r/>
            <w:r>
              <w:rPr>
                <w:rFonts w:ascii="Times New Roman" w:hAnsi="Times New Roman"/>
                <w:sz w:val="20"/>
              </w:rPr>
              <w:t>&lt;10⁻⁴</w:t>
            </w:r>
          </w:p>
        </w:tc>
      </w:tr>
      <w:tr>
        <w:tc>
          <w:tcPr>
            <w:tcW w:type="dxa" w:w="3000"/>
          </w:tcPr>
          <w:p>
            <w:r/>
            <w:r>
              <w:rPr>
                <w:rFonts w:ascii="Times New Roman" w:hAnsi="Times New Roman"/>
                <w:sz w:val="20"/>
              </w:rPr>
              <w:t>Mean mass (CRAM)</w:t>
            </w:r>
          </w:p>
        </w:tc>
        <w:tc>
          <w:tcPr>
            <w:tcW w:type="dxa" w:w="3000"/>
          </w:tcPr>
          <w:p>
            <w:r/>
            <w:r>
              <w:rPr>
                <w:rFonts w:ascii="Times New Roman" w:hAnsi="Times New Roman"/>
                <w:sz w:val="20"/>
              </w:rPr>
              <w:t>0.667</w:t>
            </w:r>
          </w:p>
        </w:tc>
        <w:tc>
          <w:tcPr>
            <w:tcW w:type="dxa" w:w="3000"/>
          </w:tcPr>
          <w:p>
            <w:r/>
            <w:r>
              <w:rPr>
                <w:rFonts w:ascii="Times New Roman" w:hAnsi="Times New Roman"/>
                <w:sz w:val="20"/>
              </w:rPr>
              <w:t>&lt;10⁻³</w:t>
            </w:r>
          </w:p>
        </w:tc>
      </w:tr>
      <w:tr>
        <w:tc>
          <w:tcPr>
            <w:tcW w:type="dxa" w:w="3000"/>
          </w:tcPr>
          <w:p>
            <w:r/>
            <w:r>
              <w:rPr>
                <w:rFonts w:ascii="Times New Roman" w:hAnsi="Times New Roman"/>
                <w:sz w:val="20"/>
              </w:rPr>
              <w:t>Mean AI_mod (CRAM)</w:t>
            </w:r>
          </w:p>
        </w:tc>
        <w:tc>
          <w:tcPr>
            <w:tcW w:type="dxa" w:w="3000"/>
          </w:tcPr>
          <w:p>
            <w:r/>
            <w:r>
              <w:rPr>
                <w:rFonts w:ascii="Times New Roman" w:hAnsi="Times New Roman"/>
                <w:sz w:val="20"/>
              </w:rPr>
              <w:t>0.643</w:t>
            </w:r>
          </w:p>
        </w:tc>
        <w:tc>
          <w:tcPr>
            <w:tcW w:type="dxa" w:w="3000"/>
          </w:tcPr>
          <w:p>
            <w:r/>
            <w:r>
              <w:rPr>
                <w:rFonts w:ascii="Times New Roman" w:hAnsi="Times New Roman"/>
                <w:sz w:val="20"/>
              </w:rPr>
              <w:t>&lt;10⁻³</w:t>
            </w:r>
          </w:p>
        </w:tc>
      </w:tr>
    </w:tbl>
    <w:p>
      <w:pPr>
        <w:pStyle w:val="Heading2"/>
      </w:pPr>
      <w:r>
        <w:t>Independence from formula richness</w:t>
      </w:r>
    </w:p>
    <w:p>
      <w:pPr>
        <w:ind w:firstLine="0"/>
      </w:pPr>
      <w:r>
        <w:rPr>
          <w:rFonts w:ascii="Times New Roman" w:hAnsi="Times New Roman"/>
          <w:b w:val="0"/>
          <w:i w:val="0"/>
          <w:sz w:val="24"/>
        </w:rPr>
        <w:t>Site-level mean CIR and formula richness were negatively correlated (r = −0.40, p = 0.039, n = 27). Restricting to formulae present in all three replicates per site (reducing mean formulae from 2,245 to 1,592), recomputing site-level means, and retesting yielded r = −0.42 (p = 0.030, n = 27). The partial decoupling of structural depth and compositional breadth is a genuine ecological pattern, not an artefact of detection sensitivity.</w:t>
      </w:r>
    </w:p>
    <w:p>
      <w:pPr>
        <w:pStyle w:val="Heading2"/>
      </w:pPr>
      <w:r>
        <w:t>Replicate precision</w:t>
      </w:r>
    </w:p>
    <w:p>
      <w:pPr>
        <w:ind w:firstLine="0"/>
      </w:pPr>
      <w:r>
        <w:rPr>
          <w:rFonts w:ascii="Times New Roman" w:hAnsi="Times New Roman"/>
          <w:b w:val="0"/>
          <w:i w:val="0"/>
          <w:sz w:val="24"/>
        </w:rPr>
        <w:t>Mean CV of CIR across triplicates: 0.32% (27 sites).</w:t>
      </w:r>
    </w:p>
    <w:p>
      <w:pPr>
        <w:pStyle w:val="Heading2"/>
      </w:pPr>
      <w:r>
        <w:t>Cross-ecosystem application</w:t>
      </w:r>
    </w:p>
    <w:p>
      <w:pPr>
        <w:ind w:firstLine="0"/>
      </w:pPr>
      <w:r>
        <w:rPr>
          <w:rFonts w:ascii="Times New Roman" w:hAnsi="Times New Roman"/>
          <w:b w:val="0"/>
          <w:i w:val="0"/>
          <w:sz w:val="24"/>
        </w:rPr>
        <w:t>We applied the same pipeline without parameter adjustment to six additional FT-ICR-MS datasets (Table 4). The compound class ordering was conserved across all seven datasets. CRAM isomeric depth followed a gradient from Arctic sediment (0.942; ~9 isomers) through temperate river surface water and sediment porewater (0.951–0.988) to soil (1.015; ~10) and marine DOM (1.023; ~11). Arctic DOM (Yukon Delta) had the lowest CRAM CIR, consistent with cold-temperature-limited degradation pathways. Soil DOM showed the highest lipid-like CIR (1.327) of any dataset. Marine DOM was overwhelmingly CRAM (48%), consistent with the known dominance of refractory CRAM in ocean dissolved organic carbon (Hertkorn et al. 2006).</w:t>
      </w:r>
    </w:p>
    <w:p>
      <w:pPr>
        <w:spacing w:before="240"/>
        <w:ind w:firstLine="0"/>
      </w:pPr>
      <w:r>
        <w:rPr>
          <w:rFonts w:ascii="Times New Roman" w:hAnsi="Times New Roman"/>
          <w:i/>
          <w:sz w:val="20"/>
        </w:rPr>
        <w:t>Table 4. CRAM median log₁₀(CIR) across seven datasets, ordered by isomeric depth.</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r/>
            <w:r>
              <w:rPr>
                <w:rFonts w:ascii="Times New Roman" w:hAnsi="Times New Roman"/>
                <w:b/>
                <w:sz w:val="20"/>
              </w:rPr>
              <w:t>Dataset</w:t>
            </w:r>
          </w:p>
        </w:tc>
        <w:tc>
          <w:tcPr>
            <w:tcW w:type="dxa" w:w="1800"/>
          </w:tcPr>
          <w:p>
            <w:r/>
            <w:r>
              <w:rPr>
                <w:rFonts w:ascii="Times New Roman" w:hAnsi="Times New Roman"/>
                <w:b/>
                <w:sz w:val="20"/>
              </w:rPr>
              <w:t>Formulae</w:t>
            </w:r>
          </w:p>
        </w:tc>
        <w:tc>
          <w:tcPr>
            <w:tcW w:type="dxa" w:w="1800"/>
          </w:tcPr>
          <w:p>
            <w:r/>
            <w:r>
              <w:rPr>
                <w:rFonts w:ascii="Times New Roman" w:hAnsi="Times New Roman"/>
                <w:b/>
                <w:sz w:val="20"/>
              </w:rPr>
              <w:t>Type</w:t>
            </w:r>
          </w:p>
        </w:tc>
        <w:tc>
          <w:tcPr>
            <w:tcW w:type="dxa" w:w="1800"/>
          </w:tcPr>
          <w:p>
            <w:r/>
            <w:r>
              <w:rPr>
                <w:rFonts w:ascii="Times New Roman" w:hAnsi="Times New Roman"/>
                <w:b/>
                <w:sz w:val="20"/>
              </w:rPr>
              <w:t>CRAM med.</w:t>
            </w:r>
          </w:p>
        </w:tc>
        <w:tc>
          <w:tcPr>
            <w:tcW w:type="dxa" w:w="1800"/>
          </w:tcPr>
          <w:p>
            <w:r/>
            <w:r>
              <w:rPr>
                <w:rFonts w:ascii="Times New Roman" w:hAnsi="Times New Roman"/>
                <w:b/>
                <w:sz w:val="20"/>
              </w:rPr>
              <w:t>~Iso.</w:t>
            </w:r>
          </w:p>
        </w:tc>
      </w:tr>
      <w:tr>
        <w:tc>
          <w:tcPr>
            <w:tcW w:type="dxa" w:w="1800"/>
          </w:tcPr>
          <w:p>
            <w:r/>
            <w:r>
              <w:rPr>
                <w:rFonts w:ascii="Times New Roman" w:hAnsi="Times New Roman"/>
                <w:sz w:val="20"/>
              </w:rPr>
              <w:t>WHONDRS YDE21 (Arctic)</w:t>
            </w:r>
          </w:p>
        </w:tc>
        <w:tc>
          <w:tcPr>
            <w:tcW w:type="dxa" w:w="1800"/>
          </w:tcPr>
          <w:p>
            <w:r/>
            <w:r>
              <w:rPr>
                <w:rFonts w:ascii="Times New Roman" w:hAnsi="Times New Roman"/>
                <w:sz w:val="20"/>
              </w:rPr>
              <w:t>86,338</w:t>
            </w:r>
          </w:p>
        </w:tc>
        <w:tc>
          <w:tcPr>
            <w:tcW w:type="dxa" w:w="1800"/>
          </w:tcPr>
          <w:p>
            <w:r/>
            <w:r>
              <w:rPr>
                <w:rFonts w:ascii="Times New Roman" w:hAnsi="Times New Roman"/>
                <w:sz w:val="20"/>
              </w:rPr>
              <w:t>Arctic sediment</w:t>
            </w:r>
          </w:p>
        </w:tc>
        <w:tc>
          <w:tcPr>
            <w:tcW w:type="dxa" w:w="1800"/>
          </w:tcPr>
          <w:p>
            <w:r/>
            <w:r>
              <w:rPr>
                <w:rFonts w:ascii="Times New Roman" w:hAnsi="Times New Roman"/>
                <w:sz w:val="20"/>
              </w:rPr>
              <w:t>0.942</w:t>
            </w:r>
          </w:p>
        </w:tc>
        <w:tc>
          <w:tcPr>
            <w:tcW w:type="dxa" w:w="1800"/>
          </w:tcPr>
          <w:p>
            <w:r/>
            <w:r>
              <w:rPr>
                <w:rFonts w:ascii="Times New Roman" w:hAnsi="Times New Roman"/>
                <w:sz w:val="20"/>
              </w:rPr>
              <w:t>8.7</w:t>
            </w:r>
          </w:p>
        </w:tc>
      </w:tr>
      <w:tr>
        <w:tc>
          <w:tcPr>
            <w:tcW w:type="dxa" w:w="1800"/>
          </w:tcPr>
          <w:p>
            <w:r/>
            <w:r>
              <w:rPr>
                <w:rFonts w:ascii="Times New Roman" w:hAnsi="Times New Roman"/>
                <w:sz w:val="20"/>
              </w:rPr>
              <w:t>WHONDRS S19S Sediment</w:t>
            </w:r>
          </w:p>
        </w:tc>
        <w:tc>
          <w:tcPr>
            <w:tcW w:type="dxa" w:w="1800"/>
          </w:tcPr>
          <w:p>
            <w:r/>
            <w:r>
              <w:rPr>
                <w:rFonts w:ascii="Times New Roman" w:hAnsi="Times New Roman"/>
                <w:sz w:val="20"/>
              </w:rPr>
              <w:t>127,136</w:t>
            </w:r>
          </w:p>
        </w:tc>
        <w:tc>
          <w:tcPr>
            <w:tcW w:type="dxa" w:w="1800"/>
          </w:tcPr>
          <w:p>
            <w:r/>
            <w:r>
              <w:rPr>
                <w:rFonts w:ascii="Times New Roman" w:hAnsi="Times New Roman"/>
                <w:sz w:val="20"/>
              </w:rPr>
              <w:t>Sediment porewater</w:t>
            </w:r>
          </w:p>
        </w:tc>
        <w:tc>
          <w:tcPr>
            <w:tcW w:type="dxa" w:w="1800"/>
          </w:tcPr>
          <w:p>
            <w:r/>
            <w:r>
              <w:rPr>
                <w:rFonts w:ascii="Times New Roman" w:hAnsi="Times New Roman"/>
                <w:sz w:val="20"/>
              </w:rPr>
              <w:t>0.951</w:t>
            </w:r>
          </w:p>
        </w:tc>
        <w:tc>
          <w:tcPr>
            <w:tcW w:type="dxa" w:w="1800"/>
          </w:tcPr>
          <w:p>
            <w:r/>
            <w:r>
              <w:rPr>
                <w:rFonts w:ascii="Times New Roman" w:hAnsi="Times New Roman"/>
                <w:sz w:val="20"/>
              </w:rPr>
              <w:t>8.9</w:t>
            </w:r>
          </w:p>
        </w:tc>
      </w:tr>
      <w:tr>
        <w:tc>
          <w:tcPr>
            <w:tcW w:type="dxa" w:w="1800"/>
          </w:tcPr>
          <w:p>
            <w:r/>
            <w:r>
              <w:rPr>
                <w:rFonts w:ascii="Times New Roman" w:hAnsi="Times New Roman"/>
                <w:sz w:val="20"/>
              </w:rPr>
              <w:t>WHONDRS S19S Surf. Water</w:t>
            </w:r>
          </w:p>
        </w:tc>
        <w:tc>
          <w:tcPr>
            <w:tcW w:type="dxa" w:w="1800"/>
          </w:tcPr>
          <w:p>
            <w:r/>
            <w:r>
              <w:rPr>
                <w:rFonts w:ascii="Times New Roman" w:hAnsi="Times New Roman"/>
                <w:sz w:val="20"/>
              </w:rPr>
              <w:t>166,262</w:t>
            </w:r>
          </w:p>
        </w:tc>
        <w:tc>
          <w:tcPr>
            <w:tcW w:type="dxa" w:w="1800"/>
          </w:tcPr>
          <w:p>
            <w:r/>
            <w:r>
              <w:rPr>
                <w:rFonts w:ascii="Times New Roman" w:hAnsi="Times New Roman"/>
                <w:sz w:val="20"/>
              </w:rPr>
              <w:t>River surface (97 sites)</w:t>
            </w:r>
          </w:p>
        </w:tc>
        <w:tc>
          <w:tcPr>
            <w:tcW w:type="dxa" w:w="1800"/>
          </w:tcPr>
          <w:p>
            <w:r/>
            <w:r>
              <w:rPr>
                <w:rFonts w:ascii="Times New Roman" w:hAnsi="Times New Roman"/>
                <w:sz w:val="20"/>
              </w:rPr>
              <w:t>0.956</w:t>
            </w:r>
          </w:p>
        </w:tc>
        <w:tc>
          <w:tcPr>
            <w:tcW w:type="dxa" w:w="1800"/>
          </w:tcPr>
          <w:p>
            <w:r/>
            <w:r>
              <w:rPr>
                <w:rFonts w:ascii="Times New Roman" w:hAnsi="Times New Roman"/>
                <w:sz w:val="20"/>
              </w:rPr>
              <w:t>9.0</w:t>
            </w:r>
          </w:p>
        </w:tc>
      </w:tr>
      <w:tr>
        <w:tc>
          <w:tcPr>
            <w:tcW w:type="dxa" w:w="1800"/>
          </w:tcPr>
          <w:p>
            <w:r/>
            <w:r>
              <w:rPr>
                <w:rFonts w:ascii="Times New Roman" w:hAnsi="Times New Roman"/>
                <w:sz w:val="20"/>
              </w:rPr>
              <w:t>WHONDRS WROL 2019</w:t>
            </w:r>
          </w:p>
        </w:tc>
        <w:tc>
          <w:tcPr>
            <w:tcW w:type="dxa" w:w="1800"/>
          </w:tcPr>
          <w:p>
            <w:r/>
            <w:r>
              <w:rPr>
                <w:rFonts w:ascii="Times New Roman" w:hAnsi="Times New Roman"/>
                <w:sz w:val="20"/>
              </w:rPr>
              <w:t>150,999</w:t>
            </w:r>
          </w:p>
        </w:tc>
        <w:tc>
          <w:tcPr>
            <w:tcW w:type="dxa" w:w="1800"/>
          </w:tcPr>
          <w:p>
            <w:r/>
            <w:r>
              <w:rPr>
                <w:rFonts w:ascii="Times New Roman" w:hAnsi="Times New Roman"/>
                <w:sz w:val="20"/>
              </w:rPr>
              <w:t>Watershed resilience</w:t>
            </w:r>
          </w:p>
        </w:tc>
        <w:tc>
          <w:tcPr>
            <w:tcW w:type="dxa" w:w="1800"/>
          </w:tcPr>
          <w:p>
            <w:r/>
            <w:r>
              <w:rPr>
                <w:rFonts w:ascii="Times New Roman" w:hAnsi="Times New Roman"/>
                <w:sz w:val="20"/>
              </w:rPr>
              <w:t>0.956</w:t>
            </w:r>
          </w:p>
        </w:tc>
        <w:tc>
          <w:tcPr>
            <w:tcW w:type="dxa" w:w="1800"/>
          </w:tcPr>
          <w:p>
            <w:r/>
            <w:r>
              <w:rPr>
                <w:rFonts w:ascii="Times New Roman" w:hAnsi="Times New Roman"/>
                <w:sz w:val="20"/>
              </w:rPr>
              <w:t>9.0</w:t>
            </w:r>
          </w:p>
        </w:tc>
      </w:tr>
      <w:tr>
        <w:tc>
          <w:tcPr>
            <w:tcW w:type="dxa" w:w="1800"/>
          </w:tcPr>
          <w:p>
            <w:r/>
            <w:r>
              <w:rPr>
                <w:rFonts w:ascii="Times New Roman" w:hAnsi="Times New Roman"/>
                <w:sz w:val="20"/>
              </w:rPr>
              <w:t>WHONDRS 2018 Surf. Water</w:t>
            </w:r>
          </w:p>
        </w:tc>
        <w:tc>
          <w:tcPr>
            <w:tcW w:type="dxa" w:w="1800"/>
          </w:tcPr>
          <w:p>
            <w:r/>
            <w:r>
              <w:rPr>
                <w:rFonts w:ascii="Times New Roman" w:hAnsi="Times New Roman"/>
                <w:sz w:val="20"/>
              </w:rPr>
              <w:t>8,972</w:t>
            </w:r>
          </w:p>
        </w:tc>
        <w:tc>
          <w:tcPr>
            <w:tcW w:type="dxa" w:w="1800"/>
          </w:tcPr>
          <w:p>
            <w:r/>
            <w:r>
              <w:rPr>
                <w:rFonts w:ascii="Times New Roman" w:hAnsi="Times New Roman"/>
                <w:sz w:val="20"/>
              </w:rPr>
              <w:t>River surface (27 sites)</w:t>
            </w:r>
          </w:p>
        </w:tc>
        <w:tc>
          <w:tcPr>
            <w:tcW w:type="dxa" w:w="1800"/>
          </w:tcPr>
          <w:p>
            <w:r/>
            <w:r>
              <w:rPr>
                <w:rFonts w:ascii="Times New Roman" w:hAnsi="Times New Roman"/>
                <w:sz w:val="20"/>
              </w:rPr>
              <w:t>0.988</w:t>
            </w:r>
          </w:p>
        </w:tc>
        <w:tc>
          <w:tcPr>
            <w:tcW w:type="dxa" w:w="1800"/>
          </w:tcPr>
          <w:p>
            <w:r/>
            <w:r>
              <w:rPr>
                <w:rFonts w:ascii="Times New Roman" w:hAnsi="Times New Roman"/>
                <w:sz w:val="20"/>
              </w:rPr>
              <w:t>9.7</w:t>
            </w:r>
          </w:p>
        </w:tc>
      </w:tr>
      <w:tr>
        <w:tc>
          <w:tcPr>
            <w:tcW w:type="dxa" w:w="1800"/>
          </w:tcPr>
          <w:p>
            <w:r/>
            <w:r>
              <w:rPr>
                <w:rFonts w:ascii="Times New Roman" w:hAnsi="Times New Roman"/>
                <w:sz w:val="20"/>
              </w:rPr>
              <w:t>Soil DOM (Xia &amp; Liu 2025)</w:t>
            </w:r>
          </w:p>
        </w:tc>
        <w:tc>
          <w:tcPr>
            <w:tcW w:type="dxa" w:w="1800"/>
          </w:tcPr>
          <w:p>
            <w:r/>
            <w:r>
              <w:rPr>
                <w:rFonts w:ascii="Times New Roman" w:hAnsi="Times New Roman"/>
                <w:sz w:val="20"/>
              </w:rPr>
              <w:t>121,324</w:t>
            </w:r>
          </w:p>
        </w:tc>
        <w:tc>
          <w:tcPr>
            <w:tcW w:type="dxa" w:w="1800"/>
          </w:tcPr>
          <w:p>
            <w:r/>
            <w:r>
              <w:rPr>
                <w:rFonts w:ascii="Times New Roman" w:hAnsi="Times New Roman"/>
                <w:sz w:val="20"/>
              </w:rPr>
              <w:t>Paddy soil</w:t>
            </w:r>
          </w:p>
        </w:tc>
        <w:tc>
          <w:tcPr>
            <w:tcW w:type="dxa" w:w="1800"/>
          </w:tcPr>
          <w:p>
            <w:r/>
            <w:r>
              <w:rPr>
                <w:rFonts w:ascii="Times New Roman" w:hAnsi="Times New Roman"/>
                <w:sz w:val="20"/>
              </w:rPr>
              <w:t>1.015</w:t>
            </w:r>
          </w:p>
        </w:tc>
        <w:tc>
          <w:tcPr>
            <w:tcW w:type="dxa" w:w="1800"/>
          </w:tcPr>
          <w:p>
            <w:r/>
            <w:r>
              <w:rPr>
                <w:rFonts w:ascii="Times New Roman" w:hAnsi="Times New Roman"/>
                <w:sz w:val="20"/>
              </w:rPr>
              <w:t>10.4</w:t>
            </w:r>
          </w:p>
        </w:tc>
      </w:tr>
      <w:tr>
        <w:tc>
          <w:tcPr>
            <w:tcW w:type="dxa" w:w="1800"/>
          </w:tcPr>
          <w:p>
            <w:r/>
            <w:r>
              <w:rPr>
                <w:rFonts w:ascii="Times New Roman" w:hAnsi="Times New Roman"/>
                <w:sz w:val="20"/>
              </w:rPr>
              <w:t>Marine DOM (Moye et al. 2025)</w:t>
            </w:r>
          </w:p>
        </w:tc>
        <w:tc>
          <w:tcPr>
            <w:tcW w:type="dxa" w:w="1800"/>
          </w:tcPr>
          <w:p>
            <w:r/>
            <w:r>
              <w:rPr>
                <w:rFonts w:ascii="Times New Roman" w:hAnsi="Times New Roman"/>
                <w:sz w:val="20"/>
              </w:rPr>
              <w:t>30,198</w:t>
            </w:r>
          </w:p>
        </w:tc>
        <w:tc>
          <w:tcPr>
            <w:tcW w:type="dxa" w:w="1800"/>
          </w:tcPr>
          <w:p>
            <w:r/>
            <w:r>
              <w:rPr>
                <w:rFonts w:ascii="Times New Roman" w:hAnsi="Times New Roman"/>
                <w:sz w:val="20"/>
              </w:rPr>
              <w:t>Marine water column</w:t>
            </w:r>
          </w:p>
        </w:tc>
        <w:tc>
          <w:tcPr>
            <w:tcW w:type="dxa" w:w="1800"/>
          </w:tcPr>
          <w:p>
            <w:r/>
            <w:r>
              <w:rPr>
                <w:rFonts w:ascii="Times New Roman" w:hAnsi="Times New Roman"/>
                <w:sz w:val="20"/>
              </w:rPr>
              <w:t>1.023</w:t>
            </w:r>
          </w:p>
        </w:tc>
        <w:tc>
          <w:tcPr>
            <w:tcW w:type="dxa" w:w="1800"/>
          </w:tcPr>
          <w:p>
            <w:r/>
            <w:r>
              <w:rPr>
                <w:rFonts w:ascii="Times New Roman" w:hAnsi="Times New Roman"/>
                <w:sz w:val="20"/>
              </w:rPr>
              <w:t>10.5</w:t>
            </w:r>
          </w:p>
        </w:tc>
      </w:tr>
      <w:tr>
        <w:tc>
          <w:tcPr>
            <w:tcW w:type="dxa" w:w="1800"/>
          </w:tcPr>
          <w:p>
            <w:r/>
            <w:r>
              <w:rPr>
                <w:rFonts w:ascii="Times New Roman" w:hAnsi="Times New Roman"/>
                <w:sz w:val="20"/>
              </w:rPr>
              <w:t>Total</w:t>
            </w:r>
          </w:p>
        </w:tc>
        <w:tc>
          <w:tcPr>
            <w:tcW w:type="dxa" w:w="1800"/>
          </w:tcPr>
          <w:p>
            <w:r/>
            <w:r>
              <w:rPr>
                <w:rFonts w:ascii="Times New Roman" w:hAnsi="Times New Roman"/>
                <w:sz w:val="20"/>
              </w:rPr>
              <w:t>691,229</w:t>
            </w:r>
          </w:p>
        </w:tc>
        <w:tc>
          <w:tcPr>
            <w:tcW w:type="dxa" w:w="1800"/>
          </w:tcPr>
          <w:p>
            <w:r/>
            <w:r>
              <w:rPr>
                <w:rFonts w:ascii="Times New Roman" w:hAnsi="Times New Roman"/>
                <w:sz w:val="20"/>
              </w:rPr>
            </w:r>
          </w:p>
        </w:tc>
        <w:tc>
          <w:tcPr>
            <w:tcW w:type="dxa" w:w="1800"/>
          </w:tcPr>
          <w:p>
            <w:r/>
            <w:r>
              <w:rPr>
                <w:rFonts w:ascii="Times New Roman" w:hAnsi="Times New Roman"/>
                <w:sz w:val="20"/>
              </w:rPr>
            </w:r>
          </w:p>
        </w:tc>
        <w:tc>
          <w:tcPr>
            <w:tcW w:type="dxa" w:w="1800"/>
          </w:tcPr>
          <w:p>
            <w:r/>
            <w:r>
              <w:rPr>
                <w:rFonts w:ascii="Times New Roman" w:hAnsi="Times New Roman"/>
                <w:sz w:val="20"/>
              </w:rPr>
            </w:r>
          </w:p>
        </w:tc>
      </w:tr>
    </w:tbl>
    <w:p>
      <w:r>
        <w:br w:type="page"/>
      </w:r>
    </w:p>
    <w:p>
      <w:pPr>
        <w:jc w:val="center"/>
      </w:pPr>
      <w:r>
        <w:drawing>
          <wp:inline xmlns:a="http://schemas.openxmlformats.org/drawingml/2006/main" xmlns:pic="http://schemas.openxmlformats.org/drawingml/2006/picture">
            <wp:extent cx="5486400" cy="3271234"/>
            <wp:docPr id="1" name="Picture 1"/>
            <wp:cNvGraphicFramePr>
              <a:graphicFrameLocks noChangeAspect="1"/>
            </wp:cNvGraphicFramePr>
            <a:graphic>
              <a:graphicData uri="http://schemas.openxmlformats.org/drawingml/2006/picture">
                <pic:pic>
                  <pic:nvPicPr>
                    <pic:cNvPr id="0" name="CIR_results.png"/>
                    <pic:cNvPicPr/>
                  </pic:nvPicPr>
                  <pic:blipFill>
                    <a:blip r:embed="rId10"/>
                    <a:stretch>
                      <a:fillRect/>
                    </a:stretch>
                  </pic:blipFill>
                  <pic:spPr>
                    <a:xfrm>
                      <a:off x="0" y="0"/>
                      <a:ext cx="5486400" cy="3271234"/>
                    </a:xfrm>
                    <a:prstGeom prst="rect"/>
                  </pic:spPr>
                </pic:pic>
              </a:graphicData>
            </a:graphic>
          </wp:inline>
        </w:drawing>
      </w:r>
    </w:p>
    <w:p>
      <w:pPr>
        <w:ind w:firstLine="0"/>
      </w:pPr>
      <w:r>
        <w:rPr>
          <w:rFonts w:ascii="Times New Roman" w:hAnsi="Times New Roman"/>
          <w:b w:val="0"/>
          <w:i/>
          <w:sz w:val="20"/>
        </w:rPr>
        <w:t>Figure 1. CIR across 27 WHONDRS river sites. (A) CIR by compound class (formula level). (B) Van Krevelen diagram coloured by CIR. (C) Site-level CIR distribution (n = 27 site means). (D–F) Site mean CIR vs temperature, latitude, and DOC; each point is one site (triplicate mean); regression lines fitted to site means.</w:t>
      </w:r>
    </w:p>
    <w:p>
      <w:r>
        <w:br w:type="page"/>
      </w:r>
    </w:p>
    <w:p>
      <w:pPr>
        <w:jc w:val="center"/>
      </w:pPr>
      <w:r>
        <w:drawing>
          <wp:inline xmlns:a="http://schemas.openxmlformats.org/drawingml/2006/main" xmlns:pic="http://schemas.openxmlformats.org/drawingml/2006/picture">
            <wp:extent cx="5486400" cy="1619978"/>
            <wp:docPr id="2" name="Picture 2"/>
            <wp:cNvGraphicFramePr>
              <a:graphicFrameLocks noChangeAspect="1"/>
            </wp:cNvGraphicFramePr>
            <a:graphic>
              <a:graphicData uri="http://schemas.openxmlformats.org/drawingml/2006/picture">
                <pic:pic>
                  <pic:nvPicPr>
                    <pic:cNvPr id="0" name="CIR_cross_ecosystem.png"/>
                    <pic:cNvPicPr/>
                  </pic:nvPicPr>
                  <pic:blipFill>
                    <a:blip r:embed="rId11"/>
                    <a:stretch>
                      <a:fillRect/>
                    </a:stretch>
                  </pic:blipFill>
                  <pic:spPr>
                    <a:xfrm>
                      <a:off x="0" y="0"/>
                      <a:ext cx="5486400" cy="1619978"/>
                    </a:xfrm>
                    <a:prstGeom prst="rect"/>
                  </pic:spPr>
                </pic:pic>
              </a:graphicData>
            </a:graphic>
          </wp:inline>
        </w:drawing>
      </w:r>
    </w:p>
    <w:p>
      <w:pPr>
        <w:ind w:firstLine="0"/>
      </w:pPr>
      <w:r>
        <w:rPr>
          <w:rFonts w:ascii="Times New Roman" w:hAnsi="Times New Roman"/>
          <w:b w:val="0"/>
          <w:i/>
          <w:sz w:val="20"/>
        </w:rPr>
        <w:t>Figure 2. Cross-ecosystem CIR comparison across seven datasets (691,229 formulae). (A) CRAM median CIR by dataset. Blue: river/watershed; orange: sediment; green: soil; purple: Arctic; red: marine. (B) Class ordering reproduced across all seven datasets. (C) CIR density distributions.</w:t>
      </w:r>
    </w:p>
    <w:p>
      <w:r>
        <w:br w:type="page"/>
      </w:r>
    </w:p>
    <w:p>
      <w:pPr>
        <w:pStyle w:val="Heading1"/>
      </w:pPr>
      <w:r>
        <w:t>Discussion</w:t>
      </w:r>
    </w:p>
    <w:p>
      <w:pPr>
        <w:pStyle w:val="Heading2"/>
      </w:pPr>
      <w:r>
        <w:t>Chemical coherence of the class ordering</w:t>
      </w:r>
    </w:p>
    <w:p>
      <w:pPr>
        <w:ind w:firstLine="720"/>
      </w:pPr>
      <w:r>
        <w:rPr>
          <w:rFonts w:ascii="Times New Roman" w:hAnsi="Times New Roman"/>
          <w:b w:val="0"/>
          <w:i w:val="0"/>
          <w:sz w:val="24"/>
        </w:rPr>
        <w:t>CIR orders compound classes in a manner broadly consistent with structural organic chemistry: flexible aliphatic chains (lipid-like) score highest, rigid fused ring systems (aromatics) score lowest, and alicyclic CRAM is intermediate. Under a null-penalty model (uniform constraints), the rank ordering shifts—indicating that class-specific penalties modulate magnitude. However, the key results (CRAM latitudinal gradient, CIR–richness dissociation) are driven by within-class variation and are not sensitive to between-class ranking.</w:t>
      </w:r>
    </w:p>
    <w:p>
      <w:pPr>
        <w:pStyle w:val="Heading2"/>
      </w:pPr>
      <w:r>
        <w:t>The CRAM isomeric gradient</w:t>
      </w:r>
    </w:p>
    <w:p>
      <w:pPr>
        <w:ind w:firstLine="720"/>
      </w:pPr>
      <w:r>
        <w:rPr>
          <w:rFonts w:ascii="Times New Roman" w:hAnsi="Times New Roman"/>
          <w:b w:val="0"/>
          <w:i w:val="0"/>
          <w:sz w:val="24"/>
        </w:rPr>
        <w:t>The site-level CIR_CRAM–latitude correlation (r = −0.79) is the strongest among the tested summary metrics, though the margin over mean H/C is modest (|Δr| = 0.06). Monte Carlo sensitivity analysis (500 iterations, all coefficients ±10%) yielded a mean r = −0.68 [95% CI: −0.69, −0.67], with 100% of iterations significant at p &lt; 0.001. A plausible mechanism is that higher temperatures expand kinetically accessible degradation pathways (LaRowe and Van Cappellen 2011), generating more structurally diverse CRAM products. Leave-one-site-out cross-validation yielded r in [−0.83, −0.73].</w:t>
      </w:r>
    </w:p>
    <w:p>
      <w:pPr>
        <w:pStyle w:val="Heading2"/>
      </w:pPr>
      <w:r>
        <w:t>Breadth versus depth</w:t>
      </w:r>
    </w:p>
    <w:p>
      <w:pPr>
        <w:ind w:firstLine="720"/>
      </w:pPr>
      <w:r>
        <w:rPr>
          <w:rFonts w:ascii="Times New Roman" w:hAnsi="Times New Roman"/>
          <w:b w:val="0"/>
          <w:i w:val="0"/>
          <w:sz w:val="24"/>
        </w:rPr>
        <w:t>The negative site-level CIR–richness correlation (r = −0.40, p = 0.039), confirmed after replicate filtering (r = −0.42, p = 0.030), indicates that structural depth within formulae and compositional breadth across formulae are partially decoupled dimensions of DOM molecular complexity. This parallels the distinction between species richness and functional diversity in ecology (Petchey and Gaston 2006).</w:t>
      </w:r>
    </w:p>
    <w:p>
      <w:pPr>
        <w:pStyle w:val="Heading2"/>
      </w:pPr>
      <w:r>
        <w:t>Cross-ecosystem coherence</w:t>
      </w:r>
    </w:p>
    <w:p>
      <w:pPr>
        <w:ind w:firstLine="720"/>
      </w:pPr>
      <w:r>
        <w:rPr>
          <w:rFonts w:ascii="Times New Roman" w:hAnsi="Times New Roman"/>
          <w:b w:val="0"/>
          <w:i w:val="0"/>
          <w:sz w:val="24"/>
        </w:rPr>
        <w:t>The conservation of class ordering across all seven datasets provides the strongest evidence that CIR reflects underlying structural chemistry rather than dataset-specific artefacts. The CRAM isomeric depth gradient (Arctic &lt; sediment &lt; river &lt; soil &lt; marine) is broadly consistent with a processing-intensity hypothesis. Arctic DOM, subject to cold temperatures that limit degradation pathways, shows the lowest CRAM CIR. Marine DOM, processed for years to millennia (Dittmar and Stubbins 2014), shows the highest.</w:t>
      </w:r>
    </w:p>
    <w:p>
      <w:pPr>
        <w:pStyle w:val="Heading2"/>
      </w:pPr>
      <w:r>
        <w:t>Practical value and limitations</w:t>
      </w:r>
    </w:p>
    <w:p>
      <w:pPr>
        <w:ind w:firstLine="720"/>
      </w:pPr>
      <w:r>
        <w:rPr>
          <w:rFonts w:ascii="Times New Roman" w:hAnsi="Times New Roman"/>
          <w:b w:val="0"/>
          <w:i w:val="0"/>
          <w:sz w:val="24"/>
        </w:rPr>
        <w:t>CIR requires no new measurements and runs in ~2 s. We demonstrated portability across seven independent datasets totalling 691,229 formulae from river, sediment, soil, Arctic, and marine environments. CIR is a heuristic index. The constraint rules encode current knowledge. Paired TIMS–FT-ICR-MS validation is the critical next step.</w:t>
      </w:r>
    </w:p>
    <w:p>
      <w:pPr>
        <w:pStyle w:val="Heading1"/>
      </w:pPr>
      <w:r>
        <w:t>Conclusions</w:t>
      </w:r>
    </w:p>
    <w:p>
      <w:pPr>
        <w:ind w:firstLine="0"/>
      </w:pPr>
      <w:r>
        <w:rPr>
          <w:rFonts w:ascii="Times New Roman" w:hAnsi="Times New Roman"/>
          <w:b w:val="0"/>
          <w:i w:val="0"/>
          <w:sz w:val="24"/>
        </w:rPr>
        <w:t>CIR is a heuristic, formula-based estimate of chemically plausible isomeric depth. Applied to the WHONDRS network with properly non-pseudoreplicated statistics (n = 27), the isomeric richness of CRAM tracks latitude at r = −0.79—the strongest among the tested summary metrics—and structural depth and compositional breadth are partially decoupled axes of DOM complexity. Cross-ecosystem application to seven datasets spanning 691,229 formulae confirmed the class ordering without parameter adjustment and revealed a CRAM isomeric depth gradient (Arctic &lt; sediment &lt; river &lt; soil &lt; marine) consistent with processing intensity. CIR is computationally inexpensive, reproducible, and applicable to the large archive of existing FT-ICR-MS datasets.</w:t>
      </w:r>
    </w:p>
    <w:p>
      <w:r>
        <w:br w:type="page"/>
      </w:r>
    </w:p>
    <w:p>
      <w:pPr>
        <w:pStyle w:val="Heading1"/>
      </w:pPr>
      <w:r>
        <w:t>Acknowledgments</w:t>
      </w:r>
    </w:p>
    <w:p>
      <w:pPr>
        <w:ind w:firstLine="0"/>
      </w:pPr>
      <w:r>
        <w:rPr>
          <w:rFonts w:ascii="Times New Roman" w:hAnsi="Times New Roman"/>
          <w:b w:val="0"/>
          <w:i w:val="0"/>
          <w:sz w:val="24"/>
        </w:rPr>
        <w:t>WHONDRS data were obtained from ESS-DIVE. Marine DOM data: PANGAEA (Moye et al. 2025). Soil DOM data: Dryad (Xia and Liu 2025). FT-ICR-MS analyses were performed at the Environmental Molecular Sciences Laboratory (EMSL), a DOE Office of Science user facility at Pacific Northwest National Laboratory.</w:t>
      </w:r>
    </w:p>
    <w:p>
      <w:pPr>
        <w:pStyle w:val="Heading1"/>
      </w:pPr>
      <w:r>
        <w:t>Data Availability Statement</w:t>
      </w:r>
    </w:p>
    <w:p>
      <w:pPr>
        <w:ind w:firstLine="0"/>
      </w:pPr>
      <w:r>
        <w:rPr>
          <w:rFonts w:ascii="Times New Roman" w:hAnsi="Times New Roman"/>
          <w:b w:val="0"/>
          <w:i w:val="0"/>
          <w:sz w:val="24"/>
        </w:rPr>
        <w:t>WHONDRS data are publicly available from ESS-DIVE (doi:10.15485/1484811, doi:10.15485/1603775, doi:10.15485/1729719). Marine DOM: PANGAEA doi:10.1594/PANGAEA.974714. Soil DOM: Dryad doi:10.5061/dryad.pvmcvdnw4. The complete CIR pipeline, universal analysis scripts, and Python formula assignment engine are available at https://github.com/erikafreeman/dom-clonome.</w:t>
      </w:r>
    </w:p>
    <w:p>
      <w:pPr>
        <w:pStyle w:val="Heading1"/>
      </w:pPr>
      <w:r>
        <w:t>Author Contributions</w:t>
      </w:r>
    </w:p>
    <w:p>
      <w:pPr>
        <w:ind w:firstLine="0"/>
      </w:pPr>
      <w:r>
        <w:rPr>
          <w:rFonts w:ascii="Times New Roman" w:hAnsi="Times New Roman"/>
          <w:b w:val="0"/>
          <w:i w:val="0"/>
          <w:sz w:val="24"/>
        </w:rPr>
        <w:t>E.C.F. conceived the study, developed the CIR framework, performed all analyses, and wrote the manuscript.</w:t>
      </w:r>
    </w:p>
    <w:p>
      <w:pPr>
        <w:pStyle w:val="Heading1"/>
      </w:pPr>
      <w:r>
        <w:t>Conflict of Interest</w:t>
      </w:r>
    </w:p>
    <w:p>
      <w:pPr>
        <w:ind w:firstLine="0"/>
      </w:pPr>
      <w:r>
        <w:rPr>
          <w:rFonts w:ascii="Times New Roman" w:hAnsi="Times New Roman"/>
          <w:b w:val="0"/>
          <w:i w:val="0"/>
          <w:sz w:val="24"/>
        </w:rPr>
        <w:t>The author declares no competing interests.</w:t>
      </w:r>
    </w:p>
    <w:p>
      <w:r>
        <w:br w:type="page"/>
      </w:r>
    </w:p>
    <w:p>
      <w:pPr>
        <w:pStyle w:val="Heading1"/>
      </w:pPr>
      <w:r>
        <w:t>References</w:t>
      </w:r>
    </w:p>
    <w:p>
      <w:pPr>
        <w:ind w:left="720" w:hanging="720"/>
      </w:pPr>
      <w:r>
        <w:rPr>
          <w:rFonts w:ascii="Times New Roman" w:hAnsi="Times New Roman"/>
          <w:sz w:val="20"/>
        </w:rPr>
        <w:t>Aiken, G.R., H. Hsu-Kim, and J.N. Ryan. 2011. Influence of dissolved organic matter on the environmental fate of metals, nanoparticles, and colloids. Environ. Sci. Technol. 45: 3196–3201.</w:t>
      </w:r>
    </w:p>
    <w:p>
      <w:pPr>
        <w:ind w:left="720" w:hanging="720"/>
      </w:pPr>
      <w:r>
        <w:rPr>
          <w:rFonts w:ascii="Times New Roman" w:hAnsi="Times New Roman"/>
          <w:sz w:val="20"/>
        </w:rPr>
        <w:t>Benecke, C., R. Grund, R. Hohberger, A. Kerber, R. Laue, and T. Wieland. 1997. MOLGEN+, a generator of connectivity isomers and stereoisomers for molecular structure elucidation. Anal. Chim. Acta 314: 141–147.</w:t>
      </w:r>
    </w:p>
    <w:p>
      <w:pPr>
        <w:ind w:left="720" w:hanging="720"/>
      </w:pPr>
      <w:r>
        <w:rPr>
          <w:rFonts w:ascii="Times New Roman" w:hAnsi="Times New Roman"/>
          <w:sz w:val="20"/>
        </w:rPr>
        <w:t>Danczak, R.E., A.E. Goldman, R.K. Chu, and others. 2020. Using metacommunity ecology to understand environmental metabolomes. Nat. Commun. 11: 6369.</w:t>
      </w:r>
    </w:p>
    <w:p>
      <w:pPr>
        <w:ind w:left="720" w:hanging="720"/>
      </w:pPr>
      <w:r>
        <w:rPr>
          <w:rFonts w:ascii="Times New Roman" w:hAnsi="Times New Roman"/>
          <w:sz w:val="20"/>
        </w:rPr>
        <w:t>Dittmar, T., and A. Stubbins. 2014. Dissolved organic matter in aquatic systems, p. 125–156. In Treatise on Geochemistry, 2nd ed., v. 12. Elsevier.</w:t>
      </w:r>
    </w:p>
    <w:p>
      <w:pPr>
        <w:ind w:left="720" w:hanging="720"/>
      </w:pPr>
      <w:r>
        <w:rPr>
          <w:rFonts w:ascii="Times New Roman" w:hAnsi="Times New Roman"/>
          <w:sz w:val="20"/>
        </w:rPr>
        <w:t>Goldman, A.E., E.B. Graham, A.R. Crump, and others. 2020. Biogeochemical cycling at the aquatic–terrestrial interface is linked to parafluvial hyporheic zone inundation history. Biogeosciences 17: 3685–3700.</w:t>
      </w:r>
    </w:p>
    <w:p>
      <w:pPr>
        <w:ind w:left="720" w:hanging="720"/>
      </w:pPr>
      <w:r>
        <w:rPr>
          <w:rFonts w:ascii="Times New Roman" w:hAnsi="Times New Roman"/>
          <w:sz w:val="20"/>
        </w:rPr>
        <w:t>Hertkorn, N., R. Benner, M. Frommberger, and others. 2006. Characterization of a major refractory component of marine dissolved organic matter. Geochim. Cosmochim. Acta 70: 2990–3010.</w:t>
      </w:r>
    </w:p>
    <w:p>
      <w:pPr>
        <w:ind w:left="720" w:hanging="720"/>
      </w:pPr>
      <w:r>
        <w:rPr>
          <w:rFonts w:ascii="Times New Roman" w:hAnsi="Times New Roman"/>
          <w:sz w:val="20"/>
        </w:rPr>
        <w:t>Kim, S., R.W. Kramer, and P.G. Hatcher. 2003. Graphical method for analysis of ultrahigh-resolution broadband mass spectra of natural organic matter, the van Krevelen diagram. Anal. Chem. 75: 5336–5344.</w:t>
      </w:r>
    </w:p>
    <w:p>
      <w:pPr>
        <w:ind w:left="720" w:hanging="720"/>
      </w:pPr>
      <w:r>
        <w:rPr>
          <w:rFonts w:ascii="Times New Roman" w:hAnsi="Times New Roman"/>
          <w:sz w:val="20"/>
        </w:rPr>
        <w:t>Koch, B.P., and T. Dittmar. 2006. From mass to structure: an aromaticity index for high-resolution mass data of natural organic matter. Rapid Commun. Mass Spectrom. 20: 926–932.</w:t>
      </w:r>
    </w:p>
    <w:p>
      <w:pPr>
        <w:ind w:left="720" w:hanging="720"/>
      </w:pPr>
      <w:r>
        <w:rPr>
          <w:rFonts w:ascii="Times New Roman" w:hAnsi="Times New Roman"/>
          <w:sz w:val="20"/>
        </w:rPr>
        <w:t>Koch, B.P., T. Dittmar, M. Witt, and G. Kattner. 2007. Fundamentals of molecular formula assignment to ultrahigh resolution mass data of natural organic matter. Anal. Chem. 79: 1758–1763.</w:t>
      </w:r>
    </w:p>
    <w:p>
      <w:pPr>
        <w:ind w:left="720" w:hanging="720"/>
      </w:pPr>
      <w:r>
        <w:rPr>
          <w:rFonts w:ascii="Times New Roman" w:hAnsi="Times New Roman"/>
          <w:sz w:val="20"/>
        </w:rPr>
        <w:t>Kujawinski, E.B. 2002. Electrospray ionization Fourier transform ion cyclotron resonance mass spectrometry (ESI FT-ICR MS): characterization of complex environmental mixtures. Environ. Forensics 3: 207–216.</w:t>
      </w:r>
    </w:p>
    <w:p>
      <w:pPr>
        <w:ind w:left="720" w:hanging="720"/>
      </w:pPr>
      <w:r>
        <w:rPr>
          <w:rFonts w:ascii="Times New Roman" w:hAnsi="Times New Roman"/>
          <w:sz w:val="20"/>
        </w:rPr>
        <w:t>LaRowe, D.E., and P. Van Cappellen. 2011. Degradation of natural organic matter: a thermodynamic analysis. Geochim. Cosmochim. Acta 75: 2030–2042.</w:t>
      </w:r>
    </w:p>
    <w:p>
      <w:pPr>
        <w:ind w:left="720" w:hanging="720"/>
      </w:pPr>
      <w:r>
        <w:rPr>
          <w:rFonts w:ascii="Times New Roman" w:hAnsi="Times New Roman"/>
          <w:sz w:val="20"/>
        </w:rPr>
        <w:t>Leyva, D., L.V. Tose, J. Porter, J. Wolber, R. Schrader, and F. Fernandez-Lima. 2019. Understanding the structural complexity of dissolved organic matter: isomeric diversity. Faraday Discuss. 218: 431–440.</w:t>
      </w:r>
    </w:p>
    <w:p>
      <w:pPr>
        <w:ind w:left="720" w:hanging="720"/>
      </w:pPr>
      <w:r>
        <w:rPr>
          <w:rFonts w:ascii="Times New Roman" w:hAnsi="Times New Roman"/>
          <w:sz w:val="20"/>
        </w:rPr>
        <w:t>Leyva, D., R. Jaffe, and F. Fernandez-Lima. 2020. Structural characterization of dissolved organic matter at the chemical formula level using TIMS-FT-ICR MS/MS. Anal. Chem. 92: 11960–11966.</w:t>
      </w:r>
    </w:p>
    <w:p>
      <w:pPr>
        <w:ind w:left="720" w:hanging="720"/>
      </w:pPr>
      <w:r>
        <w:rPr>
          <w:rFonts w:ascii="Times New Roman" w:hAnsi="Times New Roman"/>
          <w:sz w:val="20"/>
        </w:rPr>
        <w:t>Moye, F., M. Bareth, B.P. Koch, J. Tebben, and T. Harder. 2025. Annotated and filtered molecular formulas associated with dissolved organic matter molecular composition data of exemplary water masses resolved by online LC-FT-ICR-MS [dataset]. PANGAEA, doi:10.1594/PANGAEA.974714.</w:t>
      </w:r>
    </w:p>
    <w:p>
      <w:pPr>
        <w:ind w:left="720" w:hanging="720"/>
      </w:pPr>
      <w:r>
        <w:rPr>
          <w:rFonts w:ascii="Times New Roman" w:hAnsi="Times New Roman"/>
          <w:sz w:val="20"/>
        </w:rPr>
        <w:t>Ohno, T., T.B. Parr, M.-C.I. Gruselle, I.J. Fernandez, R.L. Sleighter, and P.G. Hatcher. 2014. Molecular composition and biodegradability of soil dissolved organic matter. Environ. Sci. Technol. 48: 7229–7236.</w:t>
      </w:r>
    </w:p>
    <w:p>
      <w:pPr>
        <w:ind w:left="720" w:hanging="720"/>
      </w:pPr>
      <w:r>
        <w:rPr>
          <w:rFonts w:ascii="Times New Roman" w:hAnsi="Times New Roman"/>
          <w:sz w:val="20"/>
        </w:rPr>
        <w:t>Petchey, O.L., and K.J. Gaston. 2006. Functional diversity: back to basics and looking forward. Ecol. Lett. 9: 741–758.</w:t>
      </w:r>
    </w:p>
    <w:p>
      <w:pPr>
        <w:ind w:left="720" w:hanging="720"/>
      </w:pPr>
      <w:r>
        <w:rPr>
          <w:rFonts w:ascii="Times New Roman" w:hAnsi="Times New Roman"/>
          <w:sz w:val="20"/>
        </w:rPr>
        <w:t>Qi, Q., Y. Liu, Y. Cheng, and others. 2014. Diversity and clonal selection in the human T-cell repertoire. Proc. Natl. Acad. Sci. USA 111: 13139–13144.</w:t>
      </w:r>
    </w:p>
    <w:p>
      <w:pPr>
        <w:ind w:left="720" w:hanging="720"/>
      </w:pPr>
      <w:r>
        <w:rPr>
          <w:rFonts w:ascii="Times New Roman" w:hAnsi="Times New Roman"/>
          <w:sz w:val="20"/>
        </w:rPr>
        <w:t>Sleighter, R.L., and P.G. Hatcher. 2007. The application of electrospray ionization coupled to ultrahigh resolution mass spectrometry for the molecular characterization of natural organic matter. J. Mass Spectrom. 42: 559–574.</w:t>
      </w:r>
    </w:p>
    <w:p>
      <w:pPr>
        <w:ind w:left="720" w:hanging="720"/>
      </w:pPr>
      <w:r>
        <w:rPr>
          <w:rFonts w:ascii="Times New Roman" w:hAnsi="Times New Roman"/>
          <w:sz w:val="20"/>
        </w:rPr>
        <w:t>Stegen, J.C., T. Johnson, J.K. Fredrickson, and others. 2018. Influences of organic carbon speciation on hyporheic corridor biogeochemistry and microbial ecology. Nat. Commun. 9: 585.</w:t>
      </w:r>
    </w:p>
    <w:p>
      <w:pPr>
        <w:ind w:left="720" w:hanging="720"/>
      </w:pPr>
      <w:r>
        <w:rPr>
          <w:rFonts w:ascii="Times New Roman" w:hAnsi="Times New Roman"/>
          <w:sz w:val="20"/>
        </w:rPr>
        <w:t>Stegen, J.C., A.E. Goldman, R.E. Danczak, and others. 2022. WHONDRS: a community resource for studying dynamic river corridors. mSystems 7: e00151-22.</w:t>
      </w:r>
    </w:p>
    <w:p>
      <w:pPr>
        <w:ind w:left="720" w:hanging="720"/>
      </w:pPr>
      <w:r>
        <w:rPr>
          <w:rFonts w:ascii="Times New Roman" w:hAnsi="Times New Roman"/>
          <w:sz w:val="20"/>
        </w:rPr>
        <w:t>Stenson, A.C., A.G. Marshall, and W.T. Cooper. 2003. Exact masses and chemical formulas of individual Suwannee River fulvic acids from ultrahigh resolution electrospray ionization Fourier transform ion cyclotron resonance mass spectra. Anal. Chem. 75: 1275–1284.</w:t>
      </w:r>
    </w:p>
    <w:p>
      <w:pPr>
        <w:ind w:left="720" w:hanging="720"/>
      </w:pPr>
      <w:r>
        <w:rPr>
          <w:rFonts w:ascii="Times New Roman" w:hAnsi="Times New Roman"/>
          <w:sz w:val="20"/>
        </w:rPr>
        <w:t>Stubbins, A., R.G.M. Spencer, H. Chen, and others. 2010. Illuminated darkness: molecular signatures of Congo River dissolved organic matter and its photochemical alteration as revealed by ultrahigh precision mass spectrometry. Limnol. Oceanogr. 55: 1467–1477.</w:t>
      </w:r>
    </w:p>
    <w:p>
      <w:pPr>
        <w:ind w:left="720" w:hanging="720"/>
      </w:pPr>
      <w:r>
        <w:rPr>
          <w:rFonts w:ascii="Times New Roman" w:hAnsi="Times New Roman"/>
          <w:sz w:val="20"/>
        </w:rPr>
        <w:t>Tfaily, M.M., R.K. Chu, N. Tolic, and others. 2015. Advanced solvent based methods for molecular characterization of soil organic matter by high-resolution mass spectrometry. Anal. Chem. 87: 5206–5215.</w:t>
      </w:r>
    </w:p>
    <w:p>
      <w:pPr>
        <w:ind w:left="720" w:hanging="720"/>
      </w:pPr>
      <w:r>
        <w:rPr>
          <w:rFonts w:ascii="Times New Roman" w:hAnsi="Times New Roman"/>
          <w:sz w:val="20"/>
        </w:rPr>
        <w:t>Xia, M., and M. Liu. 2025. Fourier transform ion cyclotron resonance (FT ICR) mass spectrometry data [dataset]. Dryad, doi:10.5061/dryad.pvmcvdnw4.</w:t>
      </w:r>
    </w:p>
    <w:p>
      <w:pPr>
        <w:ind w:left="720" w:hanging="720"/>
      </w:pPr>
      <w:r>
        <w:rPr>
          <w:rFonts w:ascii="Times New Roman" w:hAnsi="Times New Roman"/>
          <w:sz w:val="20"/>
        </w:rPr>
        <w:t>Zark, M., and T. Dittmar. 2018. Universal molecular structures in natural dissolved organic matter. Nat. Commun. 9: 3178.</w:t>
      </w:r>
    </w:p>
    <w:sectPr w:rsidR="00FC693F" w:rsidRPr="0006063C" w:rsidSect="00034616">
      <w:footerReference w:type="default" r:id="rId9"/>
      <w:pgSz w:w="12240" w:h="15840"/>
      <w:pgMar w:top="1440" w:right="144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48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