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38F31" w14:textId="77777777" w:rsidR="009B1E47" w:rsidRPr="00EA3FCE" w:rsidRDefault="009B1E47" w:rsidP="009B1E47">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Unit 4- Musculoskeletal</w:t>
      </w:r>
    </w:p>
    <w:p w14:paraId="6D68E465" w14:textId="3B88EAC6" w:rsidR="009B1E47" w:rsidRPr="00EA3FCE" w:rsidRDefault="009B1E47" w:rsidP="009B1E47">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Completion of Unit 4 enables you to:</w:t>
      </w:r>
    </w:p>
    <w:p w14:paraId="6C0EF8D7" w14:textId="77777777" w:rsidR="009B1E47" w:rsidRPr="00EA3FCE" w:rsidRDefault="009B1E47" w:rsidP="009B1E47">
      <w:pPr>
        <w:numPr>
          <w:ilvl w:val="0"/>
          <w:numId w:val="1"/>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Describe the key features of rhabdomyolysis, osteomyelitis, and septic arthritis.</w:t>
      </w:r>
    </w:p>
    <w:p w14:paraId="156D3D94" w14:textId="77777777" w:rsidR="009B1E47" w:rsidRPr="00EA3FCE" w:rsidRDefault="009B1E47" w:rsidP="009B1E47">
      <w:pPr>
        <w:numPr>
          <w:ilvl w:val="0"/>
          <w:numId w:val="1"/>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Discuss the pathophysiology and treatment of inflammatory diseases, including osteoarthritis, rheumatoid arthritis, juvenile arthritis, ankylosing spondylitis, and gout.</w:t>
      </w:r>
    </w:p>
    <w:p w14:paraId="1AE018C8" w14:textId="77777777" w:rsidR="009B1E47" w:rsidRPr="00EA3FCE" w:rsidRDefault="009B1E47" w:rsidP="009B1E47">
      <w:pPr>
        <w:numPr>
          <w:ilvl w:val="0"/>
          <w:numId w:val="1"/>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Discuss pathophysiology and treatment of osteoporosis and fibromyalgia.</w:t>
      </w:r>
    </w:p>
    <w:p w14:paraId="2223651C" w14:textId="77777777" w:rsidR="009B1E47" w:rsidRPr="00EA3FCE" w:rsidRDefault="009B1E47" w:rsidP="009B1E47">
      <w:pPr>
        <w:numPr>
          <w:ilvl w:val="0"/>
          <w:numId w:val="1"/>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Describe the basic features of first-, second- and third-degree sprains and bone healing.</w:t>
      </w:r>
    </w:p>
    <w:p w14:paraId="3AD0725E" w14:textId="77777777" w:rsidR="007E2FD2" w:rsidRPr="00EA3FCE" w:rsidRDefault="007E2FD2">
      <w:pPr>
        <w:rPr>
          <w:rFonts w:ascii="Open Sans" w:hAnsi="Open Sans" w:cs="Open Sans"/>
          <w:color w:val="000000" w:themeColor="text1"/>
          <w:sz w:val="20"/>
          <w:szCs w:val="20"/>
        </w:rPr>
      </w:pPr>
    </w:p>
    <w:p w14:paraId="10AE1E9A" w14:textId="77777777" w:rsidR="00221F67" w:rsidRPr="00EA3FCE" w:rsidRDefault="009B1E47" w:rsidP="009B1E47">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Rheumatoid Arthritis Overview and Presentation</w:t>
      </w:r>
      <w:r w:rsidRPr="00EA3FCE">
        <w:rPr>
          <w:rFonts w:ascii="Open Sans" w:hAnsi="Open Sans" w:cs="Open Sans"/>
          <w:color w:val="000000" w:themeColor="text1"/>
          <w:sz w:val="20"/>
          <w:szCs w:val="20"/>
        </w:rPr>
        <w:br/>
      </w:r>
    </w:p>
    <w:p w14:paraId="2A6DF6F8"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Rheumatoid arthritis (RA) is a chronic, systemic, autoimmune inflammatory disease primarily affecting synovial joints and characterized by periods of flares and remissions. Joint manifestations include painful, warm, swollen joints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prolonged morning stiffness lasting longer than 60 minutes</w:t>
      </w:r>
      <w:r w:rsidRPr="00EA3FCE">
        <w:rPr>
          <w:rFonts w:ascii="Open Sans" w:hAnsi="Open Sans" w:cs="Open Sans"/>
          <w:color w:val="000000" w:themeColor="text1"/>
          <w:sz w:val="20"/>
          <w:szCs w:val="20"/>
        </w:rPr>
        <w:t>, typically beginning in the small joints of the hands and feet. The disease is classically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symmetrical</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may progress to involve the wrists, elbows, shoulders, hips, knees, ankles,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cervical spine (especially the atlantoaxial joint)</w:t>
      </w:r>
      <w:r w:rsidRPr="00EA3FCE">
        <w:rPr>
          <w:rFonts w:ascii="Open Sans" w:hAnsi="Open Sans" w:cs="Open Sans"/>
          <w:color w:val="000000" w:themeColor="text1"/>
          <w:sz w:val="20"/>
          <w:szCs w:val="20"/>
        </w:rPr>
        <w:t>. Systemic features include persistent fatigue, malaise, low-grade fever, poor appetite, and generalized aches. Extra-articular manifestations reflect the systemic inflammatory nature of RA and may involve the skin, eyes, lungs, cardiovascular system, and nervous system.</w:t>
      </w:r>
    </w:p>
    <w:p w14:paraId="57A83F2A"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Signs and Symptoms</w:t>
      </w:r>
    </w:p>
    <w:p w14:paraId="6C8C1B80"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Joint manifestations</w:t>
      </w:r>
    </w:p>
    <w:p w14:paraId="5607F742" w14:textId="77777777" w:rsidR="00A736F8" w:rsidRPr="00EA3FCE" w:rsidRDefault="00A736F8" w:rsidP="00A736F8">
      <w:pPr>
        <w:pStyle w:val="NormalWeb"/>
        <w:numPr>
          <w:ilvl w:val="0"/>
          <w:numId w:val="1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Painful, warm, swollen joints</w:t>
      </w:r>
    </w:p>
    <w:p w14:paraId="0AA57F43" w14:textId="77777777" w:rsidR="00A736F8" w:rsidRPr="00EA3FCE" w:rsidRDefault="00A736F8" w:rsidP="00A736F8">
      <w:pPr>
        <w:pStyle w:val="NormalWeb"/>
        <w:numPr>
          <w:ilvl w:val="0"/>
          <w:numId w:val="1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Typically begin in the small joints of the hands and feet (MCPs, PIPs, MTPs)</w:t>
      </w:r>
    </w:p>
    <w:p w14:paraId="0A0FF07B" w14:textId="77777777" w:rsidR="00A736F8" w:rsidRPr="00EA3FCE" w:rsidRDefault="00A736F8" w:rsidP="00A736F8">
      <w:pPr>
        <w:pStyle w:val="NormalWeb"/>
        <w:numPr>
          <w:ilvl w:val="0"/>
          <w:numId w:val="12"/>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Prolonged morning stiffness lasting &gt;60 minutes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improves with activity</w:t>
      </w:r>
    </w:p>
    <w:p w14:paraId="20894892" w14:textId="77777777" w:rsidR="00A736F8" w:rsidRPr="00EA3FCE" w:rsidRDefault="00A736F8" w:rsidP="00A736F8">
      <w:pPr>
        <w:pStyle w:val="NormalWeb"/>
        <w:numPr>
          <w:ilvl w:val="0"/>
          <w:numId w:val="1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Symmetric joint involvement affecting the same joints bilaterally</w:t>
      </w:r>
    </w:p>
    <w:p w14:paraId="4DB1D11F" w14:textId="77777777" w:rsidR="00A736F8" w:rsidRPr="00EA3FCE" w:rsidRDefault="00A736F8" w:rsidP="00A736F8">
      <w:pPr>
        <w:pStyle w:val="NormalWeb"/>
        <w:numPr>
          <w:ilvl w:val="0"/>
          <w:numId w:val="1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Progressive involvement of wrists, elbows, shoulders, hips, knees, ankles</w:t>
      </w:r>
    </w:p>
    <w:p w14:paraId="39B06210" w14:textId="77777777" w:rsidR="00A736F8" w:rsidRPr="00EA3FCE" w:rsidRDefault="00A736F8" w:rsidP="00A736F8">
      <w:pPr>
        <w:pStyle w:val="NormalWeb"/>
        <w:numPr>
          <w:ilvl w:val="0"/>
          <w:numId w:val="1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Reduced range of motion and joint deformity in advanced disease</w:t>
      </w:r>
    </w:p>
    <w:p w14:paraId="3EAEC472"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Systemic manifestations</w:t>
      </w:r>
    </w:p>
    <w:p w14:paraId="51B331F0" w14:textId="77777777" w:rsidR="00A736F8" w:rsidRPr="00EA3FCE" w:rsidRDefault="00A736F8" w:rsidP="00A736F8">
      <w:pPr>
        <w:pStyle w:val="NormalWeb"/>
        <w:numPr>
          <w:ilvl w:val="0"/>
          <w:numId w:val="1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Persistent fatigue</w:t>
      </w:r>
    </w:p>
    <w:p w14:paraId="628FACEF" w14:textId="77777777" w:rsidR="00A736F8" w:rsidRPr="00EA3FCE" w:rsidRDefault="00A736F8" w:rsidP="00A736F8">
      <w:pPr>
        <w:pStyle w:val="NormalWeb"/>
        <w:numPr>
          <w:ilvl w:val="0"/>
          <w:numId w:val="1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Generalized aches and myalgias</w:t>
      </w:r>
    </w:p>
    <w:p w14:paraId="3CEA4A7B" w14:textId="77777777" w:rsidR="00A736F8" w:rsidRPr="00EA3FCE" w:rsidRDefault="00A736F8" w:rsidP="00A736F8">
      <w:pPr>
        <w:pStyle w:val="NormalWeb"/>
        <w:numPr>
          <w:ilvl w:val="0"/>
          <w:numId w:val="1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Low-grade fever</w:t>
      </w:r>
    </w:p>
    <w:p w14:paraId="03381B9E" w14:textId="77777777" w:rsidR="00A736F8" w:rsidRPr="00EA3FCE" w:rsidRDefault="00A736F8" w:rsidP="00A736F8">
      <w:pPr>
        <w:pStyle w:val="NormalWeb"/>
        <w:numPr>
          <w:ilvl w:val="0"/>
          <w:numId w:val="1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Poor appetite and unintended weight loss</w:t>
      </w:r>
    </w:p>
    <w:p w14:paraId="1A882217" w14:textId="77777777" w:rsidR="00A736F8" w:rsidRPr="00EA3FCE" w:rsidRDefault="00A736F8" w:rsidP="00A736F8">
      <w:pPr>
        <w:pStyle w:val="NormalWeb"/>
        <w:numPr>
          <w:ilvl w:val="0"/>
          <w:numId w:val="1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Malaise that may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precede joint symptoms by weeks to months</w:t>
      </w:r>
    </w:p>
    <w:p w14:paraId="73908DD8"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Extra-articular manifestations</w:t>
      </w:r>
    </w:p>
    <w:p w14:paraId="0B9E7EE0" w14:textId="77777777" w:rsidR="00A736F8" w:rsidRPr="00EA3FCE" w:rsidRDefault="00A736F8" w:rsidP="00A736F8">
      <w:pPr>
        <w:pStyle w:val="NormalWeb"/>
        <w:numPr>
          <w:ilvl w:val="0"/>
          <w:numId w:val="1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Skin: rheumatoid nodules, vasculitic skin lesions</w:t>
      </w:r>
    </w:p>
    <w:p w14:paraId="5A75FDF6" w14:textId="77777777" w:rsidR="00A736F8" w:rsidRPr="00EA3FCE" w:rsidRDefault="00A736F8" w:rsidP="00A736F8">
      <w:pPr>
        <w:pStyle w:val="NormalWeb"/>
        <w:numPr>
          <w:ilvl w:val="0"/>
          <w:numId w:val="1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Eyes: dryness (keratoconjunctivitis sicca),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scleritis</w:t>
      </w:r>
      <w:r w:rsidRPr="00EA3FCE">
        <w:rPr>
          <w:rFonts w:ascii="Open Sans" w:hAnsi="Open Sans" w:cs="Open Sans"/>
          <w:color w:val="000000" w:themeColor="text1"/>
          <w:sz w:val="20"/>
          <w:szCs w:val="20"/>
        </w:rPr>
        <w:t>, episcleritis,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secondary Sjögren’s syndrome</w:t>
      </w:r>
    </w:p>
    <w:p w14:paraId="7B9CB51C" w14:textId="77777777" w:rsidR="00A736F8" w:rsidRPr="00EA3FCE" w:rsidRDefault="00A736F8" w:rsidP="00A736F8">
      <w:pPr>
        <w:pStyle w:val="NormalWeb"/>
        <w:numPr>
          <w:ilvl w:val="0"/>
          <w:numId w:val="14"/>
        </w:numPr>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Lungs: pleuritis, pleural effusions, interstitial lung disease</w:t>
      </w:r>
    </w:p>
    <w:p w14:paraId="45DCDED8" w14:textId="77777777" w:rsidR="00A736F8" w:rsidRPr="00EA3FCE" w:rsidRDefault="00A736F8" w:rsidP="00A736F8">
      <w:pPr>
        <w:pStyle w:val="NormalWeb"/>
        <w:numPr>
          <w:ilvl w:val="0"/>
          <w:numId w:val="1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Cardiovascular: pericarditis, accelerated atherosclerosis, small-vessel vasculitis</w:t>
      </w:r>
    </w:p>
    <w:p w14:paraId="455DDF0F" w14:textId="77777777" w:rsidR="00A736F8" w:rsidRPr="00EA3FCE" w:rsidRDefault="00A736F8" w:rsidP="00A736F8">
      <w:pPr>
        <w:pStyle w:val="NormalWeb"/>
        <w:numPr>
          <w:ilvl w:val="0"/>
          <w:numId w:val="1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Nervous system:</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entrapment neuropathies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(e.g., carpal tunnel syndrome), peripheral neuropathy</w:t>
      </w:r>
    </w:p>
    <w:p w14:paraId="3D430D14" w14:textId="77777777" w:rsidR="00A736F8" w:rsidRPr="00EA3FCE" w:rsidRDefault="00A736F8" w:rsidP="00A736F8">
      <w:pPr>
        <w:pStyle w:val="NormalWeb"/>
        <w:numPr>
          <w:ilvl w:val="0"/>
          <w:numId w:val="1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Hematologic (high-yield addition): anemia of chronic disease,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Felty syndrome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(RA + splenomegaly + neutropenia)</w:t>
      </w:r>
    </w:p>
    <w:p w14:paraId="50598ECF"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pearls</w:t>
      </w:r>
    </w:p>
    <w:p w14:paraId="16C86D2C" w14:textId="77777777" w:rsidR="00A736F8" w:rsidRPr="00EA3FCE" w:rsidRDefault="00A736F8" w:rsidP="00A736F8">
      <w:pPr>
        <w:pStyle w:val="NormalWeb"/>
        <w:numPr>
          <w:ilvl w:val="0"/>
          <w:numId w:val="15"/>
        </w:numPr>
        <w:rPr>
          <w:rFonts w:ascii="Open Sans" w:hAnsi="Open Sans" w:cs="Open Sans"/>
          <w:color w:val="000000" w:themeColor="text1"/>
          <w:sz w:val="20"/>
          <w:szCs w:val="20"/>
        </w:rPr>
      </w:pPr>
      <w:r w:rsidRPr="00EA3FCE">
        <w:rPr>
          <w:rFonts w:ascii="Open Sans" w:hAnsi="Open Sans" w:cs="Open Sans"/>
          <w:color w:val="000000" w:themeColor="text1"/>
          <w:sz w:val="20"/>
          <w:szCs w:val="20"/>
        </w:rPr>
        <w:t>Morning stiffness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&gt;60 minutes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a key feature distinguishing RA from osteoarthritis</w:t>
      </w:r>
    </w:p>
    <w:p w14:paraId="2210FFE3" w14:textId="77777777" w:rsidR="00A736F8" w:rsidRPr="00EA3FCE" w:rsidRDefault="00A736F8" w:rsidP="00A736F8">
      <w:pPr>
        <w:pStyle w:val="NormalWeb"/>
        <w:numPr>
          <w:ilvl w:val="0"/>
          <w:numId w:val="15"/>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RA is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systemic disease</w:t>
      </w:r>
      <w:r w:rsidRPr="00EA3FCE">
        <w:rPr>
          <w:rFonts w:ascii="Open Sans" w:hAnsi="Open Sans" w:cs="Open Sans"/>
          <w:color w:val="000000" w:themeColor="text1"/>
          <w:sz w:val="20"/>
          <w:szCs w:val="20"/>
        </w:rPr>
        <w:t>—extra-articular manifestations correlate with disease severity and seropositivity</w:t>
      </w:r>
    </w:p>
    <w:p w14:paraId="6C019FE3" w14:textId="254645AE" w:rsidR="00221F67" w:rsidRPr="00EA3FCE" w:rsidRDefault="00A736F8" w:rsidP="00221F67">
      <w:pPr>
        <w:pStyle w:val="NormalWeb"/>
        <w:numPr>
          <w:ilvl w:val="0"/>
          <w:numId w:val="15"/>
        </w:numPr>
        <w:rPr>
          <w:rFonts w:ascii="Open Sans" w:hAnsi="Open Sans" w:cs="Open Sans"/>
          <w:color w:val="000000" w:themeColor="text1"/>
          <w:sz w:val="20"/>
          <w:szCs w:val="20"/>
        </w:rPr>
      </w:pPr>
      <w:r w:rsidRPr="00EA3FCE">
        <w:rPr>
          <w:rFonts w:ascii="Open Sans" w:hAnsi="Open Sans" w:cs="Open Sans"/>
          <w:color w:val="000000" w:themeColor="text1"/>
          <w:sz w:val="20"/>
          <w:szCs w:val="20"/>
        </w:rPr>
        <w:t>Cervical spine involvement can be clinically silent but has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serious implications for anesthesia and intubation</w:t>
      </w:r>
    </w:p>
    <w:p w14:paraId="41D59A00" w14:textId="7F2C4A6C" w:rsidR="009B1E47" w:rsidRPr="00EA3FCE" w:rsidRDefault="009B1E47" w:rsidP="009B1E47">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Epidemiology in Canada</w:t>
      </w:r>
      <w:r w:rsidRPr="00EA3FCE">
        <w:rPr>
          <w:rFonts w:ascii="Open Sans" w:hAnsi="Open Sans" w:cs="Open Sans"/>
          <w:color w:val="000000" w:themeColor="text1"/>
          <w:sz w:val="20"/>
          <w:szCs w:val="20"/>
        </w:rPr>
        <w:br/>
        <w:t>Rheumatoid arthritis affects approximately 1.2% of Canadians aged 16 and older, with an estimated 374,000 individuals living with the disease. Annual incidence is approximately 0.8 per 1,000 persons, translating to roughly 23,000 new diagnoses per year. Prevalence increases with age and is significantly higher in females than males. RA contributes substantially to disability, reduced quality of life, and cardiovascular morbidity.</w:t>
      </w:r>
    </w:p>
    <w:p w14:paraId="0C702A20" w14:textId="77777777" w:rsidR="00A736F8" w:rsidRPr="00EA3FCE" w:rsidRDefault="009B1E47"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Genetic and Environmental Risk Factors</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Rheumatoid arthritis results from an interaction between</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genetic susceptibility and environmental triggers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that leads to loss of immune tolerance. Genetic risk factors include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HLA-DRB1 alleles (shared epitope)</w:t>
      </w:r>
      <w:r w:rsidR="00A736F8" w:rsidRPr="00EA3FCE">
        <w:rPr>
          <w:rFonts w:ascii="Open Sans" w:hAnsi="Open Sans" w:cs="Open Sans"/>
          <w:color w:val="000000" w:themeColor="text1"/>
          <w:sz w:val="20"/>
          <w:szCs w:val="20"/>
        </w:rPr>
        <w:t>, which are strongly associated with RA and influence antigen presentation to CD4</w:t>
      </w:r>
      <w:r w:rsidR="00A736F8" w:rsidRPr="00EA3FCE">
        <w:rPr>
          <w:rFonts w:ascii="Cambria Math" w:hAnsi="Cambria Math" w:cs="Cambria Math"/>
          <w:color w:val="000000" w:themeColor="text1"/>
          <w:sz w:val="20"/>
          <w:szCs w:val="20"/>
        </w:rPr>
        <w:t>⁺</w:t>
      </w:r>
      <w:r w:rsidR="00A736F8" w:rsidRPr="00EA3FCE">
        <w:rPr>
          <w:rFonts w:ascii="Open Sans" w:hAnsi="Open Sans" w:cs="Open Sans"/>
          <w:color w:val="000000" w:themeColor="text1"/>
          <w:sz w:val="20"/>
          <w:szCs w:val="20"/>
        </w:rPr>
        <w:t xml:space="preserve"> T helper cells. Variants in</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PTPN22</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lower the activation threshold of lymphocytes, promoting autoreactive immune responses.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Polymorphisms in PADI4 (peptidyl arginine deiminase type 4)</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increase protein citrullination within joints, enhancing the generation of anti-citrullinated protein antibodies (ACPAs). Additional variants affecting</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cytokine signaling, T-cell regulation, and NF-κB transcription</w:t>
      </w:r>
      <w:r w:rsidR="00A736F8" w:rsidRPr="00EA3FCE">
        <w:rPr>
          <w:rFonts w:ascii="Open Sans" w:hAnsi="Open Sans" w:cs="Open Sans"/>
          <w:color w:val="000000" w:themeColor="text1"/>
          <w:sz w:val="20"/>
          <w:szCs w:val="20"/>
        </w:rPr>
        <w:t>further increase inflammatory risk. Environmental risk factors synergize with genetic predisposition and include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cigarette smoking</w:t>
      </w:r>
      <w:r w:rsidR="00A736F8" w:rsidRPr="00EA3FCE">
        <w:rPr>
          <w:rFonts w:ascii="Open Sans" w:hAnsi="Open Sans" w:cs="Open Sans"/>
          <w:color w:val="000000" w:themeColor="text1"/>
          <w:sz w:val="20"/>
          <w:szCs w:val="20"/>
        </w:rPr>
        <w:t>, which increases reactive oxygen species and PAD enzyme expression, and</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periodontal disease</w:t>
      </w:r>
      <w:r w:rsidR="00A736F8" w:rsidRPr="00EA3FCE">
        <w:rPr>
          <w:rFonts w:ascii="Open Sans" w:hAnsi="Open Sans" w:cs="Open Sans"/>
          <w:color w:val="000000" w:themeColor="text1"/>
          <w:sz w:val="20"/>
          <w:szCs w:val="20"/>
        </w:rPr>
        <w:t>, particularly infection with</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Emphasis"/>
          <w:rFonts w:ascii="Open Sans" w:eastAsiaTheme="majorEastAsia" w:hAnsi="Open Sans" w:cs="Open Sans"/>
          <w:color w:val="000000" w:themeColor="text1"/>
          <w:sz w:val="20"/>
          <w:szCs w:val="20"/>
        </w:rPr>
        <w:t>Porphyromonas gingivalis</w:t>
      </w:r>
      <w:r w:rsidR="00A736F8" w:rsidRPr="00EA3FCE">
        <w:rPr>
          <w:rFonts w:ascii="Open Sans" w:hAnsi="Open Sans" w:cs="Open Sans"/>
          <w:color w:val="000000" w:themeColor="text1"/>
          <w:sz w:val="20"/>
          <w:szCs w:val="20"/>
        </w:rPr>
        <w:t>, which promotes citrullination of bacterial and host proteins.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Neutrophil extracellular traps (NETs)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further amplify citrullination and antigen exposure, perpetuating autoimmunity.</w:t>
      </w:r>
    </w:p>
    <w:p w14:paraId="460CB231"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Key Genetic Risk Factors (Exam-Focused)</w:t>
      </w:r>
    </w:p>
    <w:p w14:paraId="701CCDDA" w14:textId="77777777" w:rsidR="00A736F8" w:rsidRPr="00EA3FCE" w:rsidRDefault="00A736F8" w:rsidP="00A736F8">
      <w:pPr>
        <w:pStyle w:val="NormalWeb"/>
        <w:numPr>
          <w:ilvl w:val="0"/>
          <w:numId w:val="1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HLA-DRB1 (shared epitope):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encodes HLA-DR molecules that present citrullinated peptides to CD4</w:t>
      </w:r>
      <w:r w:rsidRPr="00EA3FCE">
        <w:rPr>
          <w:rFonts w:ascii="Cambria Math" w:hAnsi="Cambria Math" w:cs="Cambria Math"/>
          <w:color w:val="000000" w:themeColor="text1"/>
          <w:sz w:val="20"/>
          <w:szCs w:val="20"/>
        </w:rPr>
        <w:t>⁺</w:t>
      </w:r>
      <w:r w:rsidRPr="00EA3FCE">
        <w:rPr>
          <w:rFonts w:ascii="Open Sans" w:hAnsi="Open Sans" w:cs="Open Sans"/>
          <w:color w:val="000000" w:themeColor="text1"/>
          <w:sz w:val="20"/>
          <w:szCs w:val="20"/>
        </w:rPr>
        <w:t xml:space="preserve"> T helper cells; strongly associated with seropositive and erosive RA</w:t>
      </w:r>
    </w:p>
    <w:p w14:paraId="1C120C0C" w14:textId="77777777" w:rsidR="00A736F8" w:rsidRPr="00EA3FCE" w:rsidRDefault="00A736F8" w:rsidP="00A736F8">
      <w:pPr>
        <w:pStyle w:val="NormalWeb"/>
        <w:numPr>
          <w:ilvl w:val="0"/>
          <w:numId w:val="1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PTPN22 (R620W variant):</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alters lymphocyte phosphatase activity, lowering activation thresholds and increasing autoreactive T- and B-cell survival</w:t>
      </w:r>
    </w:p>
    <w:p w14:paraId="7B64F8C1" w14:textId="77777777" w:rsidR="00A736F8" w:rsidRPr="00EA3FCE" w:rsidRDefault="00A736F8" w:rsidP="00A736F8">
      <w:pPr>
        <w:pStyle w:val="NormalWeb"/>
        <w:numPr>
          <w:ilvl w:val="0"/>
          <w:numId w:val="1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PADI4 polymorphisms: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increase protein citrullination in joints, enhancing ACPA generation and disease severity</w:t>
      </w:r>
    </w:p>
    <w:p w14:paraId="6BA8007E" w14:textId="77777777" w:rsidR="00A736F8" w:rsidRPr="00EA3FCE" w:rsidRDefault="00A736F8" w:rsidP="00A736F8">
      <w:pPr>
        <w:pStyle w:val="NormalWeb"/>
        <w:numPr>
          <w:ilvl w:val="0"/>
          <w:numId w:val="1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STAT4:</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promotes Th1 and Th17 differentiation and cytokine signaling</w:t>
      </w:r>
    </w:p>
    <w:p w14:paraId="2727CFB2" w14:textId="77777777" w:rsidR="00A736F8" w:rsidRPr="00EA3FCE" w:rsidRDefault="00A736F8" w:rsidP="00A736F8">
      <w:pPr>
        <w:pStyle w:val="NormalWeb"/>
        <w:numPr>
          <w:ilvl w:val="0"/>
          <w:numId w:val="1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CTLA4:</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impairs inhibitory T-cell signaling, reducing immune tolerance</w:t>
      </w:r>
    </w:p>
    <w:p w14:paraId="3D57A520" w14:textId="77777777" w:rsidR="00A736F8" w:rsidRPr="00EA3FCE" w:rsidRDefault="00A736F8" w:rsidP="00A736F8">
      <w:pPr>
        <w:pStyle w:val="NormalWeb"/>
        <w:numPr>
          <w:ilvl w:val="0"/>
          <w:numId w:val="1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lastRenderedPageBreak/>
        <w:t>TRAF1/C5:</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involved in TNF signaling and complement activation, contributing to chronic inflammation</w:t>
      </w:r>
    </w:p>
    <w:p w14:paraId="66667EB6"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w:t>
      </w:r>
      <w:r w:rsidRPr="00EA3FCE">
        <w:rPr>
          <w:rFonts w:ascii="Open Sans" w:hAnsi="Open Sans" w:cs="Open Sans"/>
          <w:color w:val="000000" w:themeColor="text1"/>
          <w:sz w:val="20"/>
          <w:szCs w:val="20"/>
        </w:rPr>
        <w:br/>
        <w:t>RA risk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highest when genetic susceptibility (HLA-DRB1) and environmental exposure (smoking)</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coexist, explaining why smoking is strongly associated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ACPA-positive, erosive RA</w:t>
      </w:r>
      <w:r w:rsidRPr="00EA3FCE">
        <w:rPr>
          <w:rFonts w:ascii="Open Sans" w:hAnsi="Open Sans" w:cs="Open Sans"/>
          <w:color w:val="000000" w:themeColor="text1"/>
          <w:sz w:val="20"/>
          <w:szCs w:val="20"/>
        </w:rPr>
        <w:t>.</w:t>
      </w:r>
    </w:p>
    <w:p w14:paraId="1DC6C7B0" w14:textId="0517EDE7" w:rsidR="009B1E47" w:rsidRPr="00EA3FCE" w:rsidRDefault="009B1E47"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Diagnosis and Classification</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Diagnosis of rheumatoid arthritis emphasizes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early recognition and prompt referral</w:t>
      </w:r>
      <w:r w:rsidR="00A736F8" w:rsidRPr="00EA3FCE">
        <w:rPr>
          <w:rFonts w:ascii="Open Sans" w:hAnsi="Open Sans" w:cs="Open Sans"/>
          <w:color w:val="000000" w:themeColor="text1"/>
          <w:sz w:val="20"/>
          <w:szCs w:val="20"/>
        </w:rPr>
        <w:t>, as outlined in Canadian Rheumatology Association guidance, to prevent irreversible joint damage. The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ACR/EULAR classification criteria</w:t>
      </w:r>
      <w:r w:rsidR="00A736F8" w:rsidRPr="00EA3FCE">
        <w:rPr>
          <w:rFonts w:ascii="Open Sans" w:hAnsi="Open Sans" w:cs="Open Sans"/>
          <w:color w:val="000000" w:themeColor="text1"/>
          <w:sz w:val="20"/>
          <w:szCs w:val="20"/>
        </w:rPr>
        <w:t>support diagnosis and incorporate the extent and pattern of</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joint involvement</w:t>
      </w:r>
      <w:r w:rsidR="00A736F8" w:rsidRPr="00EA3FCE">
        <w:rPr>
          <w:rFonts w:ascii="Open Sans" w:hAnsi="Open Sans" w:cs="Open Sans"/>
          <w:color w:val="000000" w:themeColor="text1"/>
          <w:sz w:val="20"/>
          <w:szCs w:val="20"/>
        </w:rPr>
        <w:t>,</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serology</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(rheumatoid factor [RF] and anti-citrullinated protein antibodies [ACPAs]),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acute-phase reactants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(erythrocyte sedimentation rate [ESR] and C-reactive protein [CRP]), and</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symptom duration</w:t>
      </w:r>
      <w:r w:rsidR="00A736F8" w:rsidRPr="00EA3FCE">
        <w:rPr>
          <w:rFonts w:ascii="Open Sans" w:hAnsi="Open Sans" w:cs="Open Sans"/>
          <w:color w:val="000000" w:themeColor="text1"/>
          <w:sz w:val="20"/>
          <w:szCs w:val="20"/>
        </w:rPr>
        <w:t>. Key laboratory findings include RF, ACPAs, ESR, and CRP. ACPAs are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highly specific for RA</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and may be detectable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years before clinical disease onset</w:t>
      </w:r>
      <w:r w:rsidR="00A736F8" w:rsidRPr="00EA3FCE">
        <w:rPr>
          <w:rFonts w:ascii="Open Sans" w:hAnsi="Open Sans" w:cs="Open Sans"/>
          <w:color w:val="000000" w:themeColor="text1"/>
          <w:sz w:val="20"/>
          <w:szCs w:val="20"/>
        </w:rPr>
        <w:t>, and their presence is associated with more aggressive, erosive disease. Imaging, including baseline and follow-up</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plain radiography</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and increasingly</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musculoskeletal ultrasound</w:t>
      </w:r>
      <w:r w:rsidR="00A736F8" w:rsidRPr="00EA3FCE">
        <w:rPr>
          <w:rFonts w:ascii="Open Sans" w:hAnsi="Open Sans" w:cs="Open Sans"/>
          <w:color w:val="000000" w:themeColor="text1"/>
          <w:sz w:val="20"/>
          <w:szCs w:val="20"/>
        </w:rPr>
        <w:t>, is used to identify synovitis, erosions, and disease progression and to support early diagnosis and monitoring.</w:t>
      </w:r>
    </w:p>
    <w:p w14:paraId="6491CF49" w14:textId="77777777" w:rsidR="00A736F8" w:rsidRPr="00EA3FCE" w:rsidRDefault="009B1E47"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Pathophysiology: Failure of Immune Tolerance</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Rheumatoid arthritis arises from a breakdown of immune tolerance in genetically predisposed individuals exposed to environmental triggers. Activated B cells produce autoantibodies including rheumatoid factor (RF), anti-citrullinated protein antibodies (ACPAs), and anti-carbamylated protein antibodies. These autoantibodies form immune complexes within the synovium, leading to complement activation and recruitment of inflammatory cells, which damages synovial tissue and further activates leukocytes, synoviocytes, and fibroblasts. This process drives chronic synovial inflammation and the formation of</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pannus</w:t>
      </w:r>
      <w:r w:rsidR="00A736F8" w:rsidRPr="00EA3FCE">
        <w:rPr>
          <w:rFonts w:ascii="Open Sans" w:hAnsi="Open Sans" w:cs="Open Sans"/>
          <w:color w:val="000000" w:themeColor="text1"/>
          <w:sz w:val="20"/>
          <w:szCs w:val="20"/>
        </w:rPr>
        <w:t>, a hyperplastic, invasive synovial tissue.</w:t>
      </w:r>
    </w:p>
    <w:p w14:paraId="48CA0E71"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Activated CD4</w:t>
      </w:r>
      <w:r w:rsidRPr="00EA3FCE">
        <w:rPr>
          <w:rFonts w:ascii="Cambria Math" w:hAnsi="Cambria Math" w:cs="Cambria Math"/>
          <w:color w:val="000000" w:themeColor="text1"/>
          <w:sz w:val="20"/>
          <w:szCs w:val="20"/>
        </w:rPr>
        <w:t>⁺</w:t>
      </w:r>
      <w:r w:rsidRPr="00EA3FCE">
        <w:rPr>
          <w:rFonts w:ascii="Open Sans" w:hAnsi="Open Sans" w:cs="Open Sans"/>
          <w:color w:val="000000" w:themeColor="text1"/>
          <w:sz w:val="20"/>
          <w:szCs w:val="20"/>
        </w:rPr>
        <w:t xml:space="preserve"> helper T cells play a central role. Th1 cells secrete interferon-γ, activating macrophages, while Th17 cells secrete interleukin-17, which activates neutrophils and monocytes and promotes osteoclastogenesis via increased RANKL expression (IL-17 </w:t>
      </w:r>
      <w:r w:rsidRPr="00EA3FCE">
        <w:rPr>
          <w:rFonts w:ascii="Arial" w:hAnsi="Arial" w:cs="Arial"/>
          <w:color w:val="000000" w:themeColor="text1"/>
          <w:sz w:val="20"/>
          <w:szCs w:val="20"/>
        </w:rPr>
        <w:t>→</w:t>
      </w:r>
      <w:r w:rsidRPr="00EA3FCE">
        <w:rPr>
          <w:rFonts w:ascii="Open Sans" w:hAnsi="Open Sans" w:cs="Open Sans"/>
          <w:color w:val="000000" w:themeColor="text1"/>
          <w:sz w:val="20"/>
          <w:szCs w:val="20"/>
        </w:rPr>
        <w:t xml:space="preserve"> osteoblast/synoviocyte </w:t>
      </w:r>
      <w:r w:rsidRPr="00EA3FCE">
        <w:rPr>
          <w:rFonts w:ascii="Arial" w:hAnsi="Arial" w:cs="Arial"/>
          <w:color w:val="000000" w:themeColor="text1"/>
          <w:sz w:val="20"/>
          <w:szCs w:val="20"/>
        </w:rPr>
        <w:t>→</w:t>
      </w:r>
      <w:r w:rsidRPr="00EA3FCE">
        <w:rPr>
          <w:rFonts w:ascii="Open Sans" w:hAnsi="Open Sans" w:cs="Open Sans"/>
          <w:color w:val="000000" w:themeColor="text1"/>
          <w:sz w:val="20"/>
          <w:szCs w:val="20"/>
        </w:rPr>
        <w:t xml:space="preserve"> RANKL </w:t>
      </w:r>
      <w:r w:rsidRPr="00EA3FCE">
        <w:rPr>
          <w:rFonts w:ascii="Arial" w:hAnsi="Arial" w:cs="Arial"/>
          <w:color w:val="000000" w:themeColor="text1"/>
          <w:sz w:val="20"/>
          <w:szCs w:val="20"/>
        </w:rPr>
        <w:t>→</w:t>
      </w:r>
      <w:r w:rsidRPr="00EA3FCE">
        <w:rPr>
          <w:rFonts w:ascii="Open Sans" w:hAnsi="Open Sans" w:cs="Open Sans"/>
          <w:color w:val="000000" w:themeColor="text1"/>
          <w:sz w:val="20"/>
          <w:szCs w:val="20"/>
        </w:rPr>
        <w:t xml:space="preserve"> osteoclast activation </w:t>
      </w:r>
      <w:r w:rsidRPr="00EA3FCE">
        <w:rPr>
          <w:rFonts w:ascii="Arial" w:hAnsi="Arial" w:cs="Arial"/>
          <w:color w:val="000000" w:themeColor="text1"/>
          <w:sz w:val="20"/>
          <w:szCs w:val="20"/>
        </w:rPr>
        <w:t>→</w:t>
      </w:r>
      <w:r w:rsidRPr="00EA3FCE">
        <w:rPr>
          <w:rFonts w:ascii="Open Sans" w:hAnsi="Open Sans" w:cs="Open Sans"/>
          <w:color w:val="000000" w:themeColor="text1"/>
          <w:sz w:val="20"/>
          <w:szCs w:val="20"/>
        </w:rPr>
        <w:t xml:space="preserve"> bone resorption). Activated macrophages release pro-inflammatory cytokines including TNF-α, IL-1, and IL-6, which sustain inflammation, stimulate synoviocyte proliferation, and enhance cartilage degradation and bone erosion. Fibroblast-like synoviocytes acquire an aggressive, apoptosis-resistant phenotype, producing matrix metalloproteinases and perpetuating joint destruction. The cumulative effect is a self-sustaining inflammatory environment within the synovium leading to progressive cartilage loss, bone erosion, and irreversible joint damage.</w:t>
      </w:r>
    </w:p>
    <w:p w14:paraId="00EEE01C" w14:textId="0A98E69C" w:rsidR="000E2F73" w:rsidRPr="00EA3FCE" w:rsidRDefault="000E2F73"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Pannus: an abnormal thickened layer of hyperplastic synovial tissue that forms as a result of chronic inflammation within the joint</w:t>
      </w:r>
    </w:p>
    <w:p w14:paraId="3B0F0D72" w14:textId="55C17641" w:rsidR="000E2F73" w:rsidRPr="00EA3FCE" w:rsidRDefault="000E2F73" w:rsidP="000E2F73">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Autoantibodies Associated with RA</w:t>
      </w:r>
    </w:p>
    <w:p w14:paraId="02B1D2EF" w14:textId="5FBD842F" w:rsidR="000E2F73" w:rsidRPr="00EA3FCE" w:rsidRDefault="000E2F73" w:rsidP="000E2F73">
      <w:pPr>
        <w:pStyle w:val="NormalWeb"/>
        <w:numPr>
          <w:ilvl w:val="0"/>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RF: targets Fc portion of IgG antibodies</w:t>
      </w:r>
    </w:p>
    <w:p w14:paraId="7A063DB5" w14:textId="050682DC" w:rsidR="000E2F73" w:rsidRPr="00EA3FCE" w:rsidRDefault="000E2F73" w:rsidP="000E2F73">
      <w:pPr>
        <w:pStyle w:val="NormalWeb"/>
        <w:numPr>
          <w:ilvl w:val="1"/>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Present in 70-80% of RA patients</w:t>
      </w:r>
    </w:p>
    <w:p w14:paraId="44CE24A4" w14:textId="2E50FE0B" w:rsidR="000E2F73" w:rsidRPr="00EA3FCE" w:rsidRDefault="000E2F73" w:rsidP="000E2F73">
      <w:pPr>
        <w:pStyle w:val="NormalWeb"/>
        <w:numPr>
          <w:ilvl w:val="1"/>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 xml:space="preserve">Not specific for RA and can be positive in other autoimmune diseases, chronic infections, and in older adults. High RF titres are associated with more severe disease, extra articular manifestations, and worse prognosis </w:t>
      </w:r>
    </w:p>
    <w:p w14:paraId="0292700E" w14:textId="0F5FF12F" w:rsidR="000E2F73" w:rsidRPr="00EA3FCE" w:rsidRDefault="000E2F73" w:rsidP="000E2F73">
      <w:pPr>
        <w:pStyle w:val="NormalWeb"/>
        <w:numPr>
          <w:ilvl w:val="0"/>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Anti-citrullinated protein antibodies (ACPAs): target citrullinated proteins</w:t>
      </w:r>
    </w:p>
    <w:p w14:paraId="140E458E" w14:textId="5C932FE2" w:rsidR="000E2F73" w:rsidRPr="00EA3FCE" w:rsidRDefault="000E2F73" w:rsidP="000E2F73">
      <w:pPr>
        <w:pStyle w:val="NormalWeb"/>
        <w:numPr>
          <w:ilvl w:val="1"/>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Highly specific for RA</w:t>
      </w:r>
    </w:p>
    <w:p w14:paraId="41E40EDA" w14:textId="11E3A825" w:rsidR="000E2F73" w:rsidRPr="00EA3FCE" w:rsidRDefault="000E2F73" w:rsidP="000E2F73">
      <w:pPr>
        <w:pStyle w:val="NormalWeb"/>
        <w:numPr>
          <w:ilvl w:val="1"/>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Often present years before clinical symptoms, making them useful for early diagnosis. Associated with more aggressive, erosive disease and increased cardiovascular risk. </w:t>
      </w:r>
    </w:p>
    <w:p w14:paraId="5431B5C0" w14:textId="49DE4F97" w:rsidR="000E2F73" w:rsidRPr="00EA3FCE" w:rsidRDefault="000E2F73" w:rsidP="000E2F73">
      <w:pPr>
        <w:pStyle w:val="NormalWeb"/>
        <w:numPr>
          <w:ilvl w:val="0"/>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Anti-carbamylated protein antibodies (ACA): target carbamylated proteins</w:t>
      </w:r>
    </w:p>
    <w:p w14:paraId="4A98C7C3" w14:textId="749DF32E" w:rsidR="000E2F73" w:rsidRPr="00EA3FCE" w:rsidRDefault="000E2F73" w:rsidP="000E2F73">
      <w:pPr>
        <w:pStyle w:val="NormalWeb"/>
        <w:numPr>
          <w:ilvl w:val="1"/>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Associated with severe RA</w:t>
      </w:r>
    </w:p>
    <w:p w14:paraId="200751CD" w14:textId="1386FF02" w:rsidR="000E2F73" w:rsidRPr="00EA3FCE" w:rsidRDefault="000E2F73" w:rsidP="000E2F73">
      <w:pPr>
        <w:pStyle w:val="NormalWeb"/>
        <w:numPr>
          <w:ilvl w:val="1"/>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Less sensitive than ACPAs but associated in severe erosive RA, helpful in prognostication rather than routine diagnosis </w:t>
      </w:r>
    </w:p>
    <w:p w14:paraId="5E6A64A7" w14:textId="425A3AD8" w:rsidR="000E2F73" w:rsidRPr="00EA3FCE" w:rsidRDefault="000E2F73" w:rsidP="000E2F73">
      <w:pPr>
        <w:pStyle w:val="NormalWeb"/>
        <w:numPr>
          <w:ilvl w:val="0"/>
          <w:numId w:val="1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Antinuclear antibodies (ANA): found in various autoimmune diseases, not RA specific </w:t>
      </w:r>
    </w:p>
    <w:p w14:paraId="63EC4E56" w14:textId="477F6D28" w:rsidR="009B1E47" w:rsidRPr="00EA3FCE" w:rsidRDefault="009B1E47" w:rsidP="009B1E47">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Citrullination and Autoimmunity</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Citrullination is a</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post-translational modification</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in which arginine residues are converted to citrulline by</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peptidyl arginine deiminase (PAD) enzymes</w:t>
      </w:r>
      <w:r w:rsidR="00A736F8" w:rsidRPr="00EA3FCE">
        <w:rPr>
          <w:rFonts w:ascii="Open Sans" w:hAnsi="Open Sans" w:cs="Open Sans"/>
          <w:color w:val="000000" w:themeColor="text1"/>
          <w:sz w:val="20"/>
          <w:szCs w:val="20"/>
        </w:rPr>
        <w:t>, resulting in loss of positive charge and altered protein folding. Excessive or aberrant citrullination exposes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neoepitopes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that are recognized as non-self by the immune system, leading to loss of immune tolerance. Triggers include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calcium influx following cell membrane damage</w:t>
      </w:r>
      <w:r w:rsidR="00A736F8" w:rsidRPr="00EA3FCE">
        <w:rPr>
          <w:rFonts w:ascii="Open Sans" w:hAnsi="Open Sans" w:cs="Open Sans"/>
          <w:color w:val="000000" w:themeColor="text1"/>
          <w:sz w:val="20"/>
          <w:szCs w:val="20"/>
        </w:rPr>
        <w:t>, complement activation, cytotoxic T-cell–mediated injury, and</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PAD release from activated neutrophils</w:t>
      </w:r>
      <w:r w:rsidR="00A736F8" w:rsidRPr="00EA3FCE">
        <w:rPr>
          <w:rFonts w:ascii="Open Sans" w:hAnsi="Open Sans" w:cs="Open Sans"/>
          <w:color w:val="000000" w:themeColor="text1"/>
          <w:sz w:val="20"/>
          <w:szCs w:val="20"/>
        </w:rPr>
        <w:t>, particularly through neutrophil extracellular traps (NETs). In genetically susceptible individuals, these citrullinated proteins drive B-cell activation and production of</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anti-citrullinated protein antibodies (ACPAs)</w:t>
      </w:r>
      <w:r w:rsidR="00A736F8" w:rsidRPr="00EA3FCE">
        <w:rPr>
          <w:rFonts w:ascii="Open Sans" w:hAnsi="Open Sans" w:cs="Open Sans"/>
          <w:color w:val="000000" w:themeColor="text1"/>
          <w:sz w:val="20"/>
          <w:szCs w:val="20"/>
        </w:rPr>
        <w:t>. ACPAs are highly specific for RA, may be present</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years before clinical disease</w:t>
      </w:r>
      <w:r w:rsidR="00A736F8" w:rsidRPr="00EA3FCE">
        <w:rPr>
          <w:rFonts w:ascii="Open Sans" w:hAnsi="Open Sans" w:cs="Open Sans"/>
          <w:color w:val="000000" w:themeColor="text1"/>
          <w:sz w:val="20"/>
          <w:szCs w:val="20"/>
        </w:rPr>
        <w:t>, and are associated with</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earlier disease onset, more severe erosive joint disease, and increased cardiovascular risk</w:t>
      </w:r>
      <w:r w:rsidR="00A736F8" w:rsidRPr="00EA3FCE">
        <w:rPr>
          <w:rFonts w:ascii="Open Sans" w:hAnsi="Open Sans" w:cs="Open Sans"/>
          <w:color w:val="000000" w:themeColor="text1"/>
          <w:sz w:val="20"/>
          <w:szCs w:val="20"/>
        </w:rPr>
        <w:t>, making them an important</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diagnostic and prognostic marker</w:t>
      </w:r>
      <w:r w:rsidR="00A736F8" w:rsidRPr="00EA3FCE">
        <w:rPr>
          <w:rFonts w:ascii="Open Sans" w:hAnsi="Open Sans" w:cs="Open Sans"/>
          <w:color w:val="000000" w:themeColor="text1"/>
          <w:sz w:val="20"/>
          <w:szCs w:val="20"/>
        </w:rPr>
        <w:t>.</w:t>
      </w:r>
    </w:p>
    <w:p w14:paraId="41B8541B" w14:textId="7607D0D5" w:rsidR="00A736F8" w:rsidRPr="00EA3FCE" w:rsidRDefault="00A736F8" w:rsidP="009B1E47">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Citrullination links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environmental exposures (e.g., smoking, periodontal disease)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with genetic susceptibility (HLA-DRB1 shared epitope), explaining why ACPA-positive RA is more aggressive and erosive.</w:t>
      </w:r>
    </w:p>
    <w:p w14:paraId="64E3F847" w14:textId="17981DC2" w:rsidR="009B1E47" w:rsidRPr="00EA3FCE" w:rsidRDefault="009B1E47" w:rsidP="009B1E47">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Role of Synoviocytes and Pannus Formation</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Synoviocytes line the synovial membrane and exist as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fibroblast-like synoviocytes (FLS)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and</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macrophage-like synoviocytes</w:t>
      </w:r>
      <w:r w:rsidR="00A736F8" w:rsidRPr="00EA3FCE">
        <w:rPr>
          <w:rFonts w:ascii="Open Sans" w:hAnsi="Open Sans" w:cs="Open Sans"/>
          <w:color w:val="000000" w:themeColor="text1"/>
          <w:sz w:val="20"/>
          <w:szCs w:val="20"/>
        </w:rPr>
        <w:t>. In rheumatoid arthritis, both subtypes undergo</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pathologic hyperplasia and resistance to apoptosis</w:t>
      </w:r>
      <w:r w:rsidR="00A736F8" w:rsidRPr="00EA3FCE">
        <w:rPr>
          <w:rFonts w:ascii="Open Sans" w:hAnsi="Open Sans" w:cs="Open Sans"/>
          <w:color w:val="000000" w:themeColor="text1"/>
          <w:sz w:val="20"/>
          <w:szCs w:val="20"/>
        </w:rPr>
        <w:t>, leading to synovial thickening and</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pannus formation</w:t>
      </w:r>
      <w:r w:rsidR="00A736F8" w:rsidRPr="00EA3FCE">
        <w:rPr>
          <w:rFonts w:ascii="Open Sans" w:hAnsi="Open Sans" w:cs="Open Sans"/>
          <w:color w:val="000000" w:themeColor="text1"/>
          <w:sz w:val="20"/>
          <w:szCs w:val="20"/>
        </w:rPr>
        <w:t>. Fibroblast-like synoviocytes acquire an aggressive, tumor-like phenotype and produce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interleukin-6 (IL-6), interleukin-8 (IL-8), prostaglandin E</w:t>
      </w:r>
      <w:r w:rsidR="00A736F8" w:rsidRPr="00EA3FCE">
        <w:rPr>
          <w:rStyle w:val="Strong"/>
          <w:rFonts w:ascii="Cambria Math" w:eastAsiaTheme="majorEastAsia" w:hAnsi="Cambria Math" w:cs="Cambria Math"/>
          <w:b w:val="0"/>
          <w:bCs w:val="0"/>
          <w:color w:val="000000" w:themeColor="text1"/>
          <w:sz w:val="20"/>
          <w:szCs w:val="20"/>
        </w:rPr>
        <w:t>₂</w:t>
      </w:r>
      <w:r w:rsidR="00A736F8" w:rsidRPr="00EA3FCE">
        <w:rPr>
          <w:rStyle w:val="Strong"/>
          <w:rFonts w:ascii="Open Sans" w:eastAsiaTheme="majorEastAsia" w:hAnsi="Open Sans" w:cs="Open Sans"/>
          <w:b w:val="0"/>
          <w:bCs w:val="0"/>
          <w:color w:val="000000" w:themeColor="text1"/>
          <w:sz w:val="20"/>
          <w:szCs w:val="20"/>
        </w:rPr>
        <w:t>, chemokines, and matrix metalloproteinases (MMPs)</w:t>
      </w:r>
      <w:r w:rsidR="00A736F8" w:rsidRPr="00EA3FCE">
        <w:rPr>
          <w:rFonts w:ascii="Open Sans" w:hAnsi="Open Sans" w:cs="Open Sans"/>
          <w:color w:val="000000" w:themeColor="text1"/>
          <w:sz w:val="20"/>
          <w:szCs w:val="20"/>
        </w:rPr>
        <w:t>, which degrade cartilage and invade adjacent bone. Macrophage-like synoviocytes secrete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tumor necrosis factor–α (TNF-α), interleukin-1β (IL-1β), and additional chemokines and growth factors</w:t>
      </w:r>
      <w:r w:rsidR="00A736F8" w:rsidRPr="00EA3FCE">
        <w:rPr>
          <w:rFonts w:ascii="Open Sans" w:hAnsi="Open Sans" w:cs="Open Sans"/>
          <w:color w:val="000000" w:themeColor="text1"/>
          <w:sz w:val="20"/>
          <w:szCs w:val="20"/>
        </w:rPr>
        <w:t>, further amplifying inflammation. Bidirectional crosstalk between these synoviocyte populations sustains cytokine production, recruits additional immune cells, stimulates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RANKL-mediated osteoclast activation</w:t>
      </w:r>
      <w:r w:rsidR="00A736F8" w:rsidRPr="00EA3FCE">
        <w:rPr>
          <w:rFonts w:ascii="Open Sans" w:hAnsi="Open Sans" w:cs="Open Sans"/>
          <w:color w:val="000000" w:themeColor="text1"/>
          <w:sz w:val="20"/>
          <w:szCs w:val="20"/>
        </w:rPr>
        <w:t>, and drives progressive cartilage destruction and bone erosion.</w:t>
      </w:r>
    </w:p>
    <w:p w14:paraId="5E4A691C"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Fibroblast-like synoviocytes 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key effector cells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 RA and remain activated even when immune cell infiltration decreases</w:t>
      </w:r>
    </w:p>
    <w:p w14:paraId="67AF4E3B"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  TNF-α and IL-6 produced by synoviocytes explain the effectiveness of</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TNF inhibitors and IL-6 receptor antagonists</w:t>
      </w:r>
    </w:p>
    <w:p w14:paraId="4B591F53"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Pannus behaves like an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invasive tissue</w:t>
      </w:r>
      <w:r w:rsidRPr="00EA3FCE">
        <w:rPr>
          <w:rFonts w:ascii="Open Sans" w:hAnsi="Open Sans" w:cs="Open Sans"/>
          <w:color w:val="000000" w:themeColor="text1"/>
          <w:sz w:val="20"/>
          <w:szCs w:val="20"/>
        </w:rPr>
        <w:t>, directly eroding cartilage and bone rather than simply causing inflammation</w:t>
      </w:r>
    </w:p>
    <w:p w14:paraId="23CFB42D" w14:textId="77777777" w:rsidR="00A736F8" w:rsidRPr="00EA3FCE" w:rsidRDefault="00A736F8" w:rsidP="009B1E47">
      <w:pPr>
        <w:pStyle w:val="NormalWeb"/>
        <w:rPr>
          <w:rFonts w:ascii="Open Sans" w:hAnsi="Open Sans" w:cs="Open Sans"/>
          <w:color w:val="000000" w:themeColor="text1"/>
          <w:sz w:val="20"/>
          <w:szCs w:val="20"/>
        </w:rPr>
      </w:pPr>
    </w:p>
    <w:p w14:paraId="023AB6C2" w14:textId="77777777" w:rsidR="00A736F8" w:rsidRPr="00EA3FCE" w:rsidRDefault="009B1E47"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Pharmacologic Management Overview</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Management of rheumatoid arthritis follows a</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stepwise, treat-to-target approach</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guided by disease severity, prognostic factors, and treatment response.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NSAIDs and acetaminophen</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are used for symptomatic relief of pain and stiffness but</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do not modify disease progression</w:t>
      </w:r>
      <w:r w:rsidR="00A736F8" w:rsidRPr="00EA3FCE">
        <w:rPr>
          <w:rFonts w:ascii="Open Sans" w:hAnsi="Open Sans" w:cs="Open Sans"/>
          <w:color w:val="000000" w:themeColor="text1"/>
          <w:sz w:val="20"/>
          <w:szCs w:val="20"/>
        </w:rPr>
        <w:t>.</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Disease-modifying antirheumatic drugs (DMARDs)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are the cornerstone of therapy and should be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initiated as early as possible</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to prevent irreversible joint damage.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Combination conventional DMARD therapy</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is standard of care in Canada for many patients.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Short-term corticosteroids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may be used as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bridging therapy</w:t>
      </w:r>
      <w:r w:rsidR="00A736F8" w:rsidRPr="00EA3FCE">
        <w:rPr>
          <w:rFonts w:ascii="Open Sans" w:hAnsi="Open Sans" w:cs="Open Sans"/>
          <w:color w:val="000000" w:themeColor="text1"/>
          <w:sz w:val="20"/>
          <w:szCs w:val="20"/>
        </w:rPr>
        <w:t>to rapidly control inflammation while DMARDs take effect but should be minimized due to long-term toxicity.</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Biologic DMARDs and targeted synthetic agents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are indicated for</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moderate to severe disease refractory to conventional DMARDs</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and are typically initiated and monitored by rheumatology specialists.</w:t>
      </w:r>
    </w:p>
    <w:p w14:paraId="2181DFB0"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pearls:</w:t>
      </w:r>
    </w:p>
    <w:p w14:paraId="0E6F17B0" w14:textId="77777777" w:rsidR="00A736F8" w:rsidRPr="00EA3FCE" w:rsidRDefault="00A736F8" w:rsidP="00A736F8">
      <w:pPr>
        <w:pStyle w:val="NormalWeb"/>
        <w:numPr>
          <w:ilvl w:val="0"/>
          <w:numId w:val="1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Early DMARD initiation improves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long-term functional outcomes and radiographic progression</w:t>
      </w:r>
    </w:p>
    <w:p w14:paraId="56EC61F9" w14:textId="77777777" w:rsidR="00A736F8" w:rsidRPr="00EA3FCE" w:rsidRDefault="00A736F8" w:rsidP="00A736F8">
      <w:pPr>
        <w:pStyle w:val="NormalWeb"/>
        <w:numPr>
          <w:ilvl w:val="0"/>
          <w:numId w:val="1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aims for</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low disease activity or remission</w:t>
      </w:r>
      <w:r w:rsidRPr="00EA3FCE">
        <w:rPr>
          <w:rFonts w:ascii="Open Sans" w:hAnsi="Open Sans" w:cs="Open Sans"/>
          <w:color w:val="000000" w:themeColor="text1"/>
          <w:sz w:val="20"/>
          <w:szCs w:val="20"/>
        </w:rPr>
        <w:t>, not just symptom control</w:t>
      </w:r>
    </w:p>
    <w:p w14:paraId="45777FA6" w14:textId="77777777" w:rsidR="00A736F8" w:rsidRPr="00EA3FCE" w:rsidRDefault="00A736F8" w:rsidP="00A736F8">
      <w:pPr>
        <w:pStyle w:val="NormalWeb"/>
        <w:numPr>
          <w:ilvl w:val="0"/>
          <w:numId w:val="1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Corticosteroids 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not disease-modifying</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increase infection, osteoporosis, and cardiovascular risk</w:t>
      </w:r>
    </w:p>
    <w:p w14:paraId="1468D641" w14:textId="77777777" w:rsidR="00A736F8" w:rsidRPr="00EA3FCE" w:rsidRDefault="00A736F8" w:rsidP="00A736F8">
      <w:pPr>
        <w:pStyle w:val="NormalWeb"/>
        <w:numPr>
          <w:ilvl w:val="0"/>
          <w:numId w:val="1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Failure to respond to one biologic does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not preclude response to another with a different mechanism</w:t>
      </w:r>
    </w:p>
    <w:p w14:paraId="4359241D" w14:textId="77777777" w:rsidR="00A736F8" w:rsidRPr="00EA3FCE" w:rsidRDefault="00A736F8" w:rsidP="00A736F8">
      <w:pPr>
        <w:pStyle w:val="NormalWeb"/>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Sulfasalazine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a prodrug metabolized by intestinal bacteria into sulfapyridine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5-aminosalicylic acid (5-ASA)</w:t>
      </w:r>
      <w:r w:rsidRPr="00EA3FCE">
        <w:rPr>
          <w:rFonts w:ascii="Open Sans" w:hAnsi="Open Sans" w:cs="Open Sans"/>
          <w:color w:val="000000" w:themeColor="text1"/>
          <w:sz w:val="20"/>
          <w:szCs w:val="20"/>
        </w:rPr>
        <w:t>, the latter being the primary active component. It suppresses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NF-κB activation</w:t>
      </w:r>
      <w:r w:rsidRPr="00EA3FCE">
        <w:rPr>
          <w:rFonts w:ascii="Open Sans" w:hAnsi="Open Sans" w:cs="Open Sans"/>
          <w:color w:val="000000" w:themeColor="text1"/>
          <w:sz w:val="20"/>
          <w:szCs w:val="20"/>
        </w:rPr>
        <w:t>, reduces prostaglandin and leukotriene synthesis, and decreases T- and B-cell activity. Clinical onset is slow, typically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6–12 weeks</w:t>
      </w:r>
      <w:r w:rsidRPr="00EA3FCE">
        <w:rPr>
          <w:rFonts w:ascii="Open Sans" w:hAnsi="Open Sans" w:cs="Open Sans"/>
          <w:color w:val="000000" w:themeColor="text1"/>
          <w:sz w:val="20"/>
          <w:szCs w:val="20"/>
        </w:rPr>
        <w:t>. Monitoring includes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CBC, liver enzymes, and renal function</w:t>
      </w:r>
      <w:r w:rsidRPr="00EA3FCE">
        <w:rPr>
          <w:rFonts w:ascii="Open Sans" w:hAnsi="Open Sans" w:cs="Open Sans"/>
          <w:color w:val="000000" w:themeColor="text1"/>
          <w:sz w:val="20"/>
          <w:szCs w:val="20"/>
        </w:rPr>
        <w:t>. Adverse effects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cytopenias, hemolysis (especially in G6PD deficiency), reversible oligospermia, gastrointestinal upset, and folate deficiency</w:t>
      </w:r>
      <w:r w:rsidRPr="00EA3FCE">
        <w:rPr>
          <w:rFonts w:ascii="Open Sans" w:hAnsi="Open Sans" w:cs="Open Sans"/>
          <w:color w:val="000000" w:themeColor="text1"/>
          <w:sz w:val="20"/>
          <w:szCs w:val="20"/>
        </w:rPr>
        <w:t>. Folic acid supplementation may be required. Sulfasalazine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generally safe in pregnancy and lactation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but is contraindicated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sulfa allergy and porphyria</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used cautiously in patients with significant hepatic disease.</w:t>
      </w:r>
    </w:p>
    <w:p w14:paraId="4DCB4C11" w14:textId="77777777" w:rsidR="00A736F8" w:rsidRPr="00EA3FCE" w:rsidRDefault="00A736F8" w:rsidP="00A736F8">
      <w:pPr>
        <w:pStyle w:val="NormalWeb"/>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Hydroxychloroquine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a weakly basic, lipophilic drug that accumulates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lysosomes and endosomes</w:t>
      </w:r>
      <w:r w:rsidRPr="00EA3FCE">
        <w:rPr>
          <w:rFonts w:ascii="Open Sans" w:hAnsi="Open Sans" w:cs="Open Sans"/>
          <w:color w:val="000000" w:themeColor="text1"/>
          <w:sz w:val="20"/>
          <w:szCs w:val="20"/>
        </w:rPr>
        <w:t>, increasing intracellular pH and interfering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antigen processing and toll-like receptor (TLR) signaling</w:t>
      </w:r>
      <w:r w:rsidRPr="00EA3FCE">
        <w:rPr>
          <w:rFonts w:ascii="Open Sans" w:hAnsi="Open Sans" w:cs="Open Sans"/>
          <w:color w:val="000000" w:themeColor="text1"/>
          <w:sz w:val="20"/>
          <w:szCs w:val="20"/>
        </w:rPr>
        <w:t>. This reduces pro-inflammatory cytokine production and synoviocyte activation. Onset of benefit is slow, often requiring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3–6 months</w:t>
      </w:r>
      <w:r w:rsidRPr="00EA3FCE">
        <w:rPr>
          <w:rFonts w:ascii="Open Sans" w:hAnsi="Open Sans" w:cs="Open Sans"/>
          <w:color w:val="000000" w:themeColor="text1"/>
          <w:sz w:val="20"/>
          <w:szCs w:val="20"/>
        </w:rPr>
        <w:t>. It is among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safest conventional DMARDs</w:t>
      </w:r>
      <w:r w:rsidRPr="00EA3FCE">
        <w:rPr>
          <w:rFonts w:ascii="Open Sans" w:hAnsi="Open Sans" w:cs="Open Sans"/>
          <w:color w:val="000000" w:themeColor="text1"/>
          <w:sz w:val="20"/>
          <w:szCs w:val="20"/>
        </w:rPr>
        <w:t>. Key adverse effects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retinal toxicity (dose- and duration-dependent)</w:t>
      </w:r>
      <w:r w:rsidRPr="00EA3FCE">
        <w:rPr>
          <w:rFonts w:ascii="Open Sans" w:hAnsi="Open Sans" w:cs="Open Sans"/>
          <w:color w:val="000000" w:themeColor="text1"/>
          <w:sz w:val="20"/>
          <w:szCs w:val="20"/>
        </w:rPr>
        <w:t>, rare cardiomyopathy or conduction abnormalities, and mild hepatic effects.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Baseline and periodic ophthalmologic screening</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required. Hydroxychloroquine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safe in pregnancy and lactation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is often continued to maintain disease control.</w:t>
      </w:r>
    </w:p>
    <w:p w14:paraId="0B3218B9" w14:textId="77777777" w:rsidR="00A736F8" w:rsidRPr="00EA3FCE" w:rsidRDefault="00A736F8" w:rsidP="00A736F8">
      <w:pPr>
        <w:pStyle w:val="NormalWeb"/>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lastRenderedPageBreak/>
        <w:t>Leflunomide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metabolized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teriflunomide</w:t>
      </w:r>
      <w:r w:rsidRPr="00EA3FCE">
        <w:rPr>
          <w:rFonts w:ascii="Open Sans" w:hAnsi="Open Sans" w:cs="Open Sans"/>
          <w:color w:val="000000" w:themeColor="text1"/>
          <w:sz w:val="20"/>
          <w:szCs w:val="20"/>
        </w:rPr>
        <w:t>, which inhibits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dihydroorotate dehydrogenase</w:t>
      </w:r>
      <w:r w:rsidRPr="00EA3FCE">
        <w:rPr>
          <w:rFonts w:ascii="Open Sans" w:hAnsi="Open Sans" w:cs="Open Sans"/>
          <w:color w:val="000000" w:themeColor="text1"/>
          <w:sz w:val="20"/>
          <w:szCs w:val="20"/>
        </w:rPr>
        <w:t>, blocking de novo pyrimidine synthesis and thereby suppressing activated lymphocyte proliferation. It has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long half-life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due to enterohepatic circulation. Adverse effects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hepatotoxicity, gastrointestinal symptoms, alopecia, hypertension, cytopenias, and peripheral neuropathy</w:t>
      </w:r>
      <w:r w:rsidRPr="00EA3FCE">
        <w:rPr>
          <w:rFonts w:ascii="Open Sans" w:hAnsi="Open Sans" w:cs="Open Sans"/>
          <w:color w:val="000000" w:themeColor="text1"/>
          <w:sz w:val="20"/>
          <w:szCs w:val="20"/>
        </w:rPr>
        <w:t>. Leflunomide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teratogenic and contraindicated in pregnancy</w:t>
      </w:r>
      <w:r w:rsidRPr="00EA3FCE">
        <w:rPr>
          <w:rFonts w:ascii="Open Sans" w:hAnsi="Open Sans" w:cs="Open Sans"/>
          <w:color w:val="000000" w:themeColor="text1"/>
          <w:sz w:val="20"/>
          <w:szCs w:val="20"/>
        </w:rPr>
        <w:t>;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cholestyramine washout</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required prior to conception or in cases of severe toxicity. Liver enzymes and CBC must be monitored regularly.</w:t>
      </w:r>
    </w:p>
    <w:p w14:paraId="1BEB1DF1" w14:textId="77777777" w:rsidR="00A736F8" w:rsidRPr="00EA3FCE" w:rsidRDefault="00A736F8" w:rsidP="00A736F8">
      <w:pPr>
        <w:pStyle w:val="NormalWeb"/>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Methotrexate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anchor DMARD</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for rheumatoid arthritis and first-line therapy for most patients. It inhibits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dihydrofolate reductase</w:t>
      </w:r>
      <w:r w:rsidRPr="00EA3FCE">
        <w:rPr>
          <w:rFonts w:ascii="Open Sans" w:hAnsi="Open Sans" w:cs="Open Sans"/>
          <w:color w:val="000000" w:themeColor="text1"/>
          <w:sz w:val="20"/>
          <w:szCs w:val="20"/>
        </w:rPr>
        <w:t>, impairing purine and thymidylate synthesis and suppressing lymphocyte proliferation. It also increases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adenosine release</w:t>
      </w:r>
      <w:r w:rsidRPr="00EA3FCE">
        <w:rPr>
          <w:rFonts w:ascii="Open Sans" w:hAnsi="Open Sans" w:cs="Open Sans"/>
          <w:color w:val="000000" w:themeColor="text1"/>
          <w:sz w:val="20"/>
          <w:szCs w:val="20"/>
        </w:rPr>
        <w:t>, producing potent anti-inflammatory effects and downregulating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TNF-α, IL-1, and IL-6</w:t>
      </w:r>
      <w:r w:rsidRPr="00EA3FCE">
        <w:rPr>
          <w:rFonts w:ascii="Open Sans" w:hAnsi="Open Sans" w:cs="Open Sans"/>
          <w:color w:val="000000" w:themeColor="text1"/>
          <w:sz w:val="20"/>
          <w:szCs w:val="20"/>
        </w:rPr>
        <w:t>. Adverse effects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hepatotoxicity, cytopenias, mucositis, gastrointestinal intolerance, and methotrexate-induced pneumonitis</w:t>
      </w:r>
      <w:r w:rsidRPr="00EA3FCE">
        <w:rPr>
          <w:rFonts w:ascii="Open Sans" w:hAnsi="Open Sans" w:cs="Open Sans"/>
          <w:color w:val="000000" w:themeColor="text1"/>
          <w:sz w:val="20"/>
          <w:szCs w:val="20"/>
        </w:rPr>
        <w:t>, which can occur at any time during therapy.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Folic acid supplementation is essential</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to reduce toxicity. Monitoring includes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CBC, liver enzymes, and renal function</w:t>
      </w:r>
      <w:r w:rsidRPr="00EA3FCE">
        <w:rPr>
          <w:rFonts w:ascii="Open Sans" w:hAnsi="Open Sans" w:cs="Open Sans"/>
          <w:color w:val="000000" w:themeColor="text1"/>
          <w:sz w:val="20"/>
          <w:szCs w:val="20"/>
        </w:rPr>
        <w:t>. Methotrexate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teratogenic and contraindicated in pregnancy and breastfeeding</w:t>
      </w:r>
      <w:r w:rsidRPr="00EA3FCE">
        <w:rPr>
          <w:rFonts w:ascii="Open Sans" w:hAnsi="Open Sans" w:cs="Open Sans"/>
          <w:color w:val="000000" w:themeColor="text1"/>
          <w:sz w:val="20"/>
          <w:szCs w:val="20"/>
        </w:rPr>
        <w:t>.</w:t>
      </w:r>
    </w:p>
    <w:p w14:paraId="25E86AE3"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pearls</w:t>
      </w:r>
    </w:p>
    <w:p w14:paraId="6059531D" w14:textId="77777777" w:rsidR="00A736F8" w:rsidRPr="00EA3FCE" w:rsidRDefault="00A736F8" w:rsidP="00A736F8">
      <w:pPr>
        <w:pStyle w:val="NormalWeb"/>
        <w:numPr>
          <w:ilvl w:val="0"/>
          <w:numId w:val="17"/>
        </w:numPr>
        <w:rPr>
          <w:rFonts w:ascii="Open Sans" w:hAnsi="Open Sans" w:cs="Open Sans"/>
          <w:color w:val="000000" w:themeColor="text1"/>
          <w:sz w:val="20"/>
          <w:szCs w:val="20"/>
        </w:rPr>
      </w:pPr>
      <w:r w:rsidRPr="00EA3FCE">
        <w:rPr>
          <w:rFonts w:ascii="Open Sans" w:hAnsi="Open Sans" w:cs="Open Sans"/>
          <w:color w:val="000000" w:themeColor="text1"/>
          <w:sz w:val="20"/>
          <w:szCs w:val="20"/>
        </w:rPr>
        <w:t>Methotrexate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first-line unless contraindicated</w:t>
      </w:r>
    </w:p>
    <w:p w14:paraId="5DD678C5" w14:textId="77777777" w:rsidR="00A736F8" w:rsidRPr="00EA3FCE" w:rsidRDefault="00A736F8" w:rsidP="00A736F8">
      <w:pPr>
        <w:pStyle w:val="NormalWeb"/>
        <w:numPr>
          <w:ilvl w:val="0"/>
          <w:numId w:val="17"/>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Hydroxychloroquine is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safest DMARD in pregnancy</w:t>
      </w:r>
    </w:p>
    <w:p w14:paraId="07E3F35D" w14:textId="77777777" w:rsidR="00A736F8" w:rsidRPr="00EA3FCE" w:rsidRDefault="00A736F8" w:rsidP="00A736F8">
      <w:pPr>
        <w:pStyle w:val="NormalWeb"/>
        <w:numPr>
          <w:ilvl w:val="0"/>
          <w:numId w:val="17"/>
        </w:numPr>
        <w:rPr>
          <w:rFonts w:ascii="Open Sans" w:hAnsi="Open Sans" w:cs="Open Sans"/>
          <w:color w:val="000000" w:themeColor="text1"/>
          <w:sz w:val="20"/>
          <w:szCs w:val="20"/>
        </w:rPr>
      </w:pPr>
      <w:r w:rsidRPr="00EA3FCE">
        <w:rPr>
          <w:rFonts w:ascii="Open Sans" w:hAnsi="Open Sans" w:cs="Open Sans"/>
          <w:color w:val="000000" w:themeColor="text1"/>
          <w:sz w:val="20"/>
          <w:szCs w:val="20"/>
        </w:rPr>
        <w:t>Leflunomide requires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drug elimination protocol</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before conception</w:t>
      </w:r>
    </w:p>
    <w:p w14:paraId="4EFBE970" w14:textId="77777777" w:rsidR="00A736F8" w:rsidRPr="00EA3FCE" w:rsidRDefault="00A736F8" w:rsidP="00A736F8">
      <w:pPr>
        <w:pStyle w:val="NormalWeb"/>
        <w:numPr>
          <w:ilvl w:val="0"/>
          <w:numId w:val="17"/>
        </w:numPr>
        <w:rPr>
          <w:rFonts w:ascii="Open Sans" w:hAnsi="Open Sans" w:cs="Open Sans"/>
          <w:color w:val="000000" w:themeColor="text1"/>
          <w:sz w:val="20"/>
          <w:szCs w:val="20"/>
        </w:rPr>
      </w:pPr>
      <w:r w:rsidRPr="00EA3FCE">
        <w:rPr>
          <w:rFonts w:ascii="Open Sans" w:hAnsi="Open Sans" w:cs="Open Sans"/>
          <w:color w:val="000000" w:themeColor="text1"/>
          <w:sz w:val="20"/>
          <w:szCs w:val="20"/>
        </w:rPr>
        <w:t>Sulfasalazine commonly causes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reversible male infertility</w:t>
      </w:r>
    </w:p>
    <w:p w14:paraId="31373F6F" w14:textId="77777777" w:rsidR="00A736F8" w:rsidRPr="00EA3FCE" w:rsidRDefault="00A736F8" w:rsidP="00A736F8">
      <w:pPr>
        <w:pStyle w:val="NormalWeb"/>
        <w:numPr>
          <w:ilvl w:val="0"/>
          <w:numId w:val="17"/>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All conventional DMARDs have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delayed onset</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require bridging strategies for symptom control</w:t>
      </w:r>
    </w:p>
    <w:p w14:paraId="425140B1"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Biologic therapies 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biologic disease-modifying antirheumatic drugs (DMARDs)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target specific components of the inflammatory cascade in rheumatoid arthritis. These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tumor necrosis factor-α (TNF-α) inhibitors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such as adalimumab, etanercept, infliximab, golimumab, and certolizumab;</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interleukin-6 (IL-6) receptor antagonists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such as tocilizumab and sarilumab;</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T-cell co-stimulation modulators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such as abatacept, which inhibit CD80/86-CD28 signaling;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B-cell–depleting agents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such as rituximab, which target CD20-positive B cells;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interleukin-1 receptor antagonists</w:t>
      </w:r>
      <w:r w:rsidRPr="00EA3FCE">
        <w:rPr>
          <w:rFonts w:ascii="Open Sans" w:hAnsi="Open Sans" w:cs="Open Sans"/>
          <w:color w:val="000000" w:themeColor="text1"/>
          <w:sz w:val="20"/>
          <w:szCs w:val="20"/>
        </w:rPr>
        <w:t>such as anakinra.</w:t>
      </w:r>
    </w:p>
    <w:p w14:paraId="422B9ABF"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Biologic DMARDs significantly reduce inflammation, slow radiographic progression, and improve functional outcomes but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increase the risk of serious infections</w:t>
      </w:r>
      <w:r w:rsidRPr="00EA3FCE">
        <w:rPr>
          <w:rFonts w:ascii="Open Sans" w:hAnsi="Open Sans" w:cs="Open Sans"/>
          <w:color w:val="000000" w:themeColor="text1"/>
          <w:sz w:val="20"/>
          <w:szCs w:val="20"/>
        </w:rPr>
        <w:t>. Patients must undergo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screening for latent tuberculosis and hepatitis B (± hepatitis C)</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prior to initiation,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live vaccines are contraindicated</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during therapy. Biologics are typically withheld during active infection or before major surgery. Due to cost, monitoring requirements, and infection risk, biologic therapies are generally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initiated and supervised by rheumatology specialists</w:t>
      </w:r>
      <w:r w:rsidRPr="00EA3FCE">
        <w:rPr>
          <w:rFonts w:ascii="Open Sans" w:hAnsi="Open Sans" w:cs="Open Sans"/>
          <w:color w:val="000000" w:themeColor="text1"/>
          <w:sz w:val="20"/>
          <w:szCs w:val="20"/>
        </w:rPr>
        <w:t>, with access often facilitated through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provincial drug programs or compassionate coverage in Canada</w:t>
      </w:r>
      <w:r w:rsidRPr="00EA3FCE">
        <w:rPr>
          <w:rFonts w:ascii="Open Sans" w:hAnsi="Open Sans" w:cs="Open Sans"/>
          <w:color w:val="000000" w:themeColor="text1"/>
          <w:sz w:val="20"/>
          <w:szCs w:val="20"/>
        </w:rPr>
        <w:t>.</w:t>
      </w:r>
    </w:p>
    <w:p w14:paraId="1DDC6010"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pearls:</w:t>
      </w:r>
    </w:p>
    <w:p w14:paraId="2A5E1503" w14:textId="77777777" w:rsidR="00A736F8" w:rsidRPr="00EA3FCE" w:rsidRDefault="00A736F8" w:rsidP="00A736F8">
      <w:pPr>
        <w:pStyle w:val="NormalWeb"/>
        <w:numPr>
          <w:ilvl w:val="0"/>
          <w:numId w:val="18"/>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TNF-α and IL-6 inhibitors target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key cytokines driving synovial inflammation</w:t>
      </w:r>
    </w:p>
    <w:p w14:paraId="7658EDB3" w14:textId="77777777" w:rsidR="00A736F8" w:rsidRPr="00EA3FCE" w:rsidRDefault="00A736F8" w:rsidP="00A736F8">
      <w:pPr>
        <w:pStyle w:val="NormalWeb"/>
        <w:numPr>
          <w:ilvl w:val="0"/>
          <w:numId w:val="18"/>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Rituximab is often used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seropositive RA</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or after TNF-inhibitor failure</w:t>
      </w:r>
    </w:p>
    <w:p w14:paraId="4CA3F585" w14:textId="77777777" w:rsidR="00A736F8" w:rsidRPr="00EA3FCE" w:rsidRDefault="00A736F8" w:rsidP="00A736F8">
      <w:pPr>
        <w:pStyle w:val="NormalWeb"/>
        <w:numPr>
          <w:ilvl w:val="0"/>
          <w:numId w:val="18"/>
        </w:numPr>
        <w:rPr>
          <w:rFonts w:ascii="Open Sans" w:hAnsi="Open Sans" w:cs="Open Sans"/>
          <w:color w:val="000000" w:themeColor="text1"/>
          <w:sz w:val="20"/>
          <w:szCs w:val="20"/>
        </w:rPr>
      </w:pPr>
      <w:r w:rsidRPr="00EA3FCE">
        <w:rPr>
          <w:rFonts w:ascii="Open Sans" w:hAnsi="Open Sans" w:cs="Open Sans"/>
          <w:color w:val="000000" w:themeColor="text1"/>
          <w:sz w:val="20"/>
          <w:szCs w:val="20"/>
        </w:rPr>
        <w:t>IL-6 inhibitors can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mask infection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by suppressing CRP and fever</w:t>
      </w:r>
    </w:p>
    <w:p w14:paraId="490ED525" w14:textId="77777777" w:rsidR="00A736F8" w:rsidRPr="00EA3FCE" w:rsidRDefault="00A736F8" w:rsidP="00A736F8">
      <w:pPr>
        <w:pStyle w:val="NormalWeb"/>
        <w:numPr>
          <w:ilvl w:val="0"/>
          <w:numId w:val="18"/>
        </w:numPr>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Failure of one biologic does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not preclude response to another with a different mechanism</w:t>
      </w:r>
    </w:p>
    <w:p w14:paraId="57061F49" w14:textId="77777777" w:rsidR="009B1E47" w:rsidRPr="00EA3FCE" w:rsidRDefault="009B1E47" w:rsidP="009B1E47">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Key Exam Takeaways</w:t>
      </w:r>
      <w:r w:rsidRPr="00EA3FCE">
        <w:rPr>
          <w:rFonts w:ascii="Open Sans" w:hAnsi="Open Sans" w:cs="Open Sans"/>
          <w:color w:val="000000" w:themeColor="text1"/>
          <w:sz w:val="20"/>
          <w:szCs w:val="20"/>
        </w:rPr>
        <w:br/>
        <w:t>Rheumatoid arthritis is a systemic autoimmune disease with symmetric inflammatory arthritis, extra-articular involvement, and progressive joint destruction driven by cytokines, autoantibodies, and synovial hyperplasia. Citrullination and ACPAs are central to disease pathogenesis and prognosis. Early diagnosis and aggressive DMARD therapy are critical to preventing irreversible damage. NSAIDs treat symptoms only, DMARDs alter disease course, and biologics target specific immune mediators. Understanding pathophysiology directly explains therapeutic targets and adverse effects.</w:t>
      </w:r>
    </w:p>
    <w:p w14:paraId="57F7C2ED"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Musculoskeletal System Study Notes (Bone, Osteoporosis, Skeletal Muscle, NMJ, Rhabdomyolysis)</w:t>
      </w:r>
    </w:p>
    <w:p w14:paraId="68655AB7" w14:textId="77777777" w:rsidR="00A736F8" w:rsidRPr="00EA3FCE" w:rsidRDefault="00AC258D"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Bone Macrostructure and Matrix</w:t>
      </w:r>
      <w:r w:rsidRPr="00EA3FCE">
        <w:rPr>
          <w:rFonts w:ascii="Open Sans" w:hAnsi="Open Sans" w:cs="Open Sans"/>
          <w:color w:val="000000" w:themeColor="text1"/>
          <w:sz w:val="20"/>
          <w:szCs w:val="20"/>
        </w:rPr>
        <w:br/>
      </w:r>
      <w:r w:rsidR="00A736F8" w:rsidRPr="00EA3FCE">
        <w:rPr>
          <w:rFonts w:ascii="Open Sans" w:hAnsi="Open Sans" w:cs="Open Sans"/>
          <w:color w:val="000000" w:themeColor="text1"/>
          <w:sz w:val="20"/>
          <w:szCs w:val="20"/>
        </w:rPr>
        <w:t>Bone is composed of</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compact (cortical) bone</w:t>
      </w:r>
      <w:r w:rsidR="00A736F8" w:rsidRPr="00EA3FCE">
        <w:rPr>
          <w:rStyle w:val="apple-converted-space"/>
          <w:rFonts w:ascii="Open Sans" w:eastAsiaTheme="majorEastAsia" w:hAnsi="Open Sans" w:cs="Open Sans"/>
          <w:color w:val="000000" w:themeColor="text1"/>
          <w:sz w:val="20"/>
          <w:szCs w:val="20"/>
        </w:rPr>
        <w:t> </w:t>
      </w:r>
      <w:r w:rsidR="00A736F8" w:rsidRPr="00EA3FCE">
        <w:rPr>
          <w:rFonts w:ascii="Open Sans" w:hAnsi="Open Sans" w:cs="Open Sans"/>
          <w:color w:val="000000" w:themeColor="text1"/>
          <w:sz w:val="20"/>
          <w:szCs w:val="20"/>
        </w:rPr>
        <w:t>and</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cancellous (trabecular or spongy) bone</w:t>
      </w:r>
      <w:r w:rsidR="00A736F8" w:rsidRPr="00EA3FCE">
        <w:rPr>
          <w:rFonts w:ascii="Open Sans" w:hAnsi="Open Sans" w:cs="Open Sans"/>
          <w:color w:val="000000" w:themeColor="text1"/>
          <w:sz w:val="20"/>
          <w:szCs w:val="20"/>
        </w:rPr>
        <w:t>. Cortical bone forms the dense outer shell of bones and provides</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mechanical strength and resistance to bending</w:t>
      </w:r>
      <w:r w:rsidR="00A736F8" w:rsidRPr="00EA3FCE">
        <w:rPr>
          <w:rFonts w:ascii="Open Sans" w:hAnsi="Open Sans" w:cs="Open Sans"/>
          <w:color w:val="000000" w:themeColor="text1"/>
          <w:sz w:val="20"/>
          <w:szCs w:val="20"/>
        </w:rPr>
        <w:t>, while trabecular bone is arranged in a lattice of</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trabeculae</w:t>
      </w:r>
      <w:r w:rsidR="00A736F8" w:rsidRPr="00EA3FCE">
        <w:rPr>
          <w:rFonts w:ascii="Open Sans" w:hAnsi="Open Sans" w:cs="Open Sans"/>
          <w:color w:val="000000" w:themeColor="text1"/>
          <w:sz w:val="20"/>
          <w:szCs w:val="20"/>
        </w:rPr>
        <w:t>, is highly</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metabolically active</w:t>
      </w:r>
      <w:r w:rsidR="00A736F8" w:rsidRPr="00EA3FCE">
        <w:rPr>
          <w:rFonts w:ascii="Open Sans" w:hAnsi="Open Sans" w:cs="Open Sans"/>
          <w:color w:val="000000" w:themeColor="text1"/>
          <w:sz w:val="20"/>
          <w:szCs w:val="20"/>
        </w:rPr>
        <w:t>, and is typically lost earlier in osteoporosis. Bone is covered externally by the</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periosteum</w:t>
      </w:r>
      <w:r w:rsidR="00A736F8" w:rsidRPr="00EA3FCE">
        <w:rPr>
          <w:rFonts w:ascii="Open Sans" w:hAnsi="Open Sans" w:cs="Open Sans"/>
          <w:color w:val="000000" w:themeColor="text1"/>
          <w:sz w:val="20"/>
          <w:szCs w:val="20"/>
        </w:rPr>
        <w:t>, a dense connective tissue layer essential for</w:t>
      </w:r>
      <w:r w:rsidR="00A736F8" w:rsidRPr="00EA3FCE">
        <w:rPr>
          <w:rStyle w:val="apple-converted-space"/>
          <w:rFonts w:ascii="Open Sans" w:eastAsiaTheme="majorEastAsia" w:hAnsi="Open Sans" w:cs="Open Sans"/>
          <w:color w:val="000000" w:themeColor="text1"/>
          <w:sz w:val="20"/>
          <w:szCs w:val="20"/>
        </w:rPr>
        <w:t> </w:t>
      </w:r>
      <w:r w:rsidR="00A736F8" w:rsidRPr="00EA3FCE">
        <w:rPr>
          <w:rStyle w:val="Strong"/>
          <w:rFonts w:ascii="Open Sans" w:eastAsiaTheme="majorEastAsia" w:hAnsi="Open Sans" w:cs="Open Sans"/>
          <w:b w:val="0"/>
          <w:bCs w:val="0"/>
          <w:color w:val="000000" w:themeColor="text1"/>
          <w:sz w:val="20"/>
          <w:szCs w:val="20"/>
        </w:rPr>
        <w:t>vascular supply, sensory innervation, appositional growth, and fracture healing</w:t>
      </w:r>
      <w:r w:rsidR="00A736F8" w:rsidRPr="00EA3FCE">
        <w:rPr>
          <w:rFonts w:ascii="Open Sans" w:hAnsi="Open Sans" w:cs="Open Sans"/>
          <w:color w:val="000000" w:themeColor="text1"/>
          <w:sz w:val="20"/>
          <w:szCs w:val="20"/>
        </w:rPr>
        <w:t>.</w:t>
      </w:r>
    </w:p>
    <w:p w14:paraId="13560CA1"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Bone matrix consists of</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inorganic mineral components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an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organic scaffold</w:t>
      </w:r>
      <w:r w:rsidRPr="00EA3FCE">
        <w:rPr>
          <w:rFonts w:ascii="Open Sans" w:hAnsi="Open Sans" w:cs="Open Sans"/>
          <w:color w:val="000000" w:themeColor="text1"/>
          <w:sz w:val="20"/>
          <w:szCs w:val="20"/>
        </w:rPr>
        <w:t>. The inorganic component is primarily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calcium and phosphate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arranged as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hydroxyapatite crystals</w:t>
      </w:r>
      <w:r w:rsidRPr="00EA3FCE">
        <w:rPr>
          <w:rFonts w:ascii="Open Sans" w:hAnsi="Open Sans" w:cs="Open Sans"/>
          <w:color w:val="000000" w:themeColor="text1"/>
          <w:sz w:val="20"/>
          <w:szCs w:val="20"/>
        </w:rPr>
        <w:t>, which provide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compressive strength</w:t>
      </w:r>
      <w:r w:rsidRPr="00EA3FCE">
        <w:rPr>
          <w:rFonts w:ascii="Open Sans" w:hAnsi="Open Sans" w:cs="Open Sans"/>
          <w:color w:val="000000" w:themeColor="text1"/>
          <w:sz w:val="20"/>
          <w:szCs w:val="20"/>
        </w:rPr>
        <w:t>. The organic component is composed mainly of</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type I collagen</w:t>
      </w:r>
      <w:r w:rsidRPr="00EA3FCE">
        <w:rPr>
          <w:rFonts w:ascii="Open Sans" w:hAnsi="Open Sans" w:cs="Open Sans"/>
          <w:color w:val="000000" w:themeColor="text1"/>
          <w:sz w:val="20"/>
          <w:szCs w:val="20"/>
        </w:rPr>
        <w:t>, which provides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tensile strength and a framework for mineral deposition</w:t>
      </w:r>
      <w:r w:rsidRPr="00EA3FCE">
        <w:rPr>
          <w:rFonts w:ascii="Open Sans" w:hAnsi="Open Sans" w:cs="Open Sans"/>
          <w:color w:val="000000" w:themeColor="text1"/>
          <w:sz w:val="20"/>
          <w:szCs w:val="20"/>
        </w:rPr>
        <w:t>, along with proteoglycans, glycoproteins,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bone morphogenetic proteins (BMPs)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regulate osteoblast differentiation, bone formation, and remodeling.</w:t>
      </w:r>
    </w:p>
    <w:p w14:paraId="4013E670"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  </w:t>
      </w:r>
      <w:r w:rsidRPr="00EA3FCE">
        <w:rPr>
          <w:rStyle w:val="Strong"/>
          <w:rFonts w:ascii="Open Sans" w:eastAsiaTheme="majorEastAsia" w:hAnsi="Open Sans" w:cs="Open Sans"/>
          <w:b w:val="0"/>
          <w:bCs w:val="0"/>
          <w:color w:val="000000" w:themeColor="text1"/>
          <w:sz w:val="20"/>
          <w:szCs w:val="20"/>
        </w:rPr>
        <w:t>Trabecular bone loss precedes cortical bone loss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 osteoporosis, explaining early vertebral and hip fractures</w:t>
      </w:r>
    </w:p>
    <w:p w14:paraId="567C243D"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Disorders of collagen (e.g., osteogenesis imperfecta) impair tensile strength despite normal mineralization</w:t>
      </w:r>
    </w:p>
    <w:p w14:paraId="738711EC"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Disorders of mineralization (e.g., osteomalacia) impair compressive strength despite preserved collagen</w:t>
      </w:r>
    </w:p>
    <w:p w14:paraId="34F3FB20" w14:textId="77777777" w:rsidR="00A736F8" w:rsidRPr="00EA3FCE" w:rsidRDefault="00A736F8"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Compact bone is organized into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osteons (Haversian systems)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composed of concentric</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lamellae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surrounding a central</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Haversian canal</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contains blood vessels and nerves.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Osteocytes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reside within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lacunae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are interconnected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canaliculi</w:t>
      </w:r>
      <w:r w:rsidRPr="00EA3FCE">
        <w:rPr>
          <w:rFonts w:ascii="Open Sans" w:hAnsi="Open Sans" w:cs="Open Sans"/>
          <w:color w:val="000000" w:themeColor="text1"/>
          <w:sz w:val="20"/>
          <w:szCs w:val="20"/>
        </w:rPr>
        <w:t>, forming an extensive communication network that permits nutrient diffusion, waste removal,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mechanosensing</w:t>
      </w:r>
      <w:r w:rsidRPr="00EA3FCE">
        <w:rPr>
          <w:rFonts w:ascii="Open Sans" w:hAnsi="Open Sans" w:cs="Open Sans"/>
          <w:color w:val="000000" w:themeColor="text1"/>
          <w:sz w:val="20"/>
          <w:szCs w:val="20"/>
        </w:rPr>
        <w:t>. Through this network, osteocytes detect mechanical stress and regulate bone remodeling by signaling to osteoblasts and osteoclasts, allowing bone to adapt to loading demands.</w:t>
      </w:r>
    </w:p>
    <w:p w14:paraId="09923D3C"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Osteons run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parallel to the long axis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of long bones to resist compressive forces</w:t>
      </w:r>
    </w:p>
    <w:p w14:paraId="4A43EE94"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  Canaliculi are essential because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mineralized bone matrix is impermeable</w:t>
      </w:r>
    </w:p>
    <w:p w14:paraId="2B247E0E"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  Osteocyte mechanosensing explains why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weight-bearing exercise strengthens bone</w:t>
      </w:r>
    </w:p>
    <w:p w14:paraId="2AC95ADD" w14:textId="77777777" w:rsidR="00A736F8" w:rsidRPr="00EA3FCE" w:rsidRDefault="00A736F8" w:rsidP="00AC258D">
      <w:pPr>
        <w:pStyle w:val="NormalWeb"/>
        <w:rPr>
          <w:rFonts w:ascii="Open Sans" w:hAnsi="Open Sans" w:cs="Open Sans"/>
          <w:color w:val="000000" w:themeColor="text1"/>
          <w:sz w:val="20"/>
          <w:szCs w:val="20"/>
        </w:rPr>
      </w:pPr>
    </w:p>
    <w:p w14:paraId="77F3CEBD"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Bone Cells and What They Do</w:t>
      </w:r>
      <w:r w:rsidRPr="00EA3FCE">
        <w:rPr>
          <w:rFonts w:ascii="Open Sans" w:hAnsi="Open Sans" w:cs="Open Sans"/>
          <w:color w:val="000000" w:themeColor="text1"/>
          <w:sz w:val="20"/>
          <w:szCs w:val="20"/>
        </w:rPr>
        <w:br/>
      </w:r>
      <w:r w:rsidRPr="00EA3FCE">
        <w:rPr>
          <w:rStyle w:val="Strong"/>
          <w:rFonts w:ascii="Open Sans" w:eastAsiaTheme="majorEastAsia" w:hAnsi="Open Sans" w:cs="Open Sans"/>
          <w:b w:val="0"/>
          <w:bCs w:val="0"/>
          <w:color w:val="000000" w:themeColor="text1"/>
          <w:sz w:val="20"/>
          <w:szCs w:val="20"/>
        </w:rPr>
        <w:t>Osteoblasts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are bone-forming cells derived from mesenchymal stem cells that synthesize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osteoid</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(organic matrix composed mainly of type I collagen) and promote mineralization. Their activity is stimulated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adequate vitamin D, mechanical loading, growth factors, and intermittent parathyroid hormone (PTH)</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exposure.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Osteocytes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are mature osteoblasts embedded within the mineralized matrix; they act as the primary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mechanosensors of bone</w:t>
      </w:r>
      <w:r w:rsidRPr="00EA3FCE">
        <w:rPr>
          <w:rFonts w:ascii="Open Sans" w:hAnsi="Open Sans" w:cs="Open Sans"/>
          <w:color w:val="000000" w:themeColor="text1"/>
          <w:sz w:val="20"/>
          <w:szCs w:val="20"/>
        </w:rPr>
        <w:t>, maintaining bone tissue and coordinating remodeling by signaling to osteoblasts and osteoclasts.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Osteoclasts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are large, multinucleated bone-resorbing cells derived from the monocyte–macrophage lineage. They possess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ruffled border</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secretes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hydrogen ions and proteolytic enzymes</w:t>
      </w:r>
      <w:r w:rsidRPr="00EA3FCE">
        <w:rPr>
          <w:rFonts w:ascii="Open Sans" w:hAnsi="Open Sans" w:cs="Open Sans"/>
          <w:color w:val="000000" w:themeColor="text1"/>
          <w:sz w:val="20"/>
          <w:szCs w:val="20"/>
        </w:rPr>
        <w:t>, allowing dissolution of hydroxyapatite and degradation of the organic matrix.</w:t>
      </w:r>
    </w:p>
    <w:p w14:paraId="5F4F1D9F"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Hormonal and Cytokine Regulation of Bone Remodeling</w:t>
      </w:r>
      <w:r w:rsidRPr="00EA3FCE">
        <w:rPr>
          <w:rFonts w:ascii="Open Sans" w:hAnsi="Open Sans" w:cs="Open Sans"/>
          <w:color w:val="000000" w:themeColor="text1"/>
          <w:sz w:val="20"/>
          <w:szCs w:val="20"/>
        </w:rPr>
        <w:br/>
      </w:r>
      <w:r w:rsidRPr="00EA3FCE">
        <w:rPr>
          <w:rStyle w:val="Strong"/>
          <w:rFonts w:ascii="Open Sans" w:eastAsiaTheme="majorEastAsia" w:hAnsi="Open Sans" w:cs="Open Sans"/>
          <w:b w:val="0"/>
          <w:bCs w:val="0"/>
          <w:color w:val="000000" w:themeColor="text1"/>
          <w:sz w:val="20"/>
          <w:szCs w:val="20"/>
        </w:rPr>
        <w:t>Parathyroid hormone (PTH)</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exerts dose- and time-dependent effects on bone.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Intermittent, low-dose exposure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has a net anabolic effect by stimulating osteoblast activity and survival, whereas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sustained elevations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promote bone resorption by increasing osteoclast differentiation and activity indirectly via osteoblast and osteocyte signaling (notably increased RANKL expression).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Calcitonin</w:t>
      </w:r>
      <w:r w:rsidRPr="00EA3FCE">
        <w:rPr>
          <w:rFonts w:ascii="Open Sans" w:hAnsi="Open Sans" w:cs="Open Sans"/>
          <w:color w:val="000000" w:themeColor="text1"/>
          <w:sz w:val="20"/>
          <w:szCs w:val="20"/>
        </w:rPr>
        <w:t>, produced by thyroid parafollicular (C) cells, binds directly to osteoclast receptors and inhibits osteoclast activity, though its clinical role in osteoporosis is limited.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Inflammation shifts bone remodeling toward net bone loss</w:t>
      </w:r>
      <w:r w:rsidRPr="00EA3FCE">
        <w:rPr>
          <w:rFonts w:ascii="Open Sans" w:hAnsi="Open Sans" w:cs="Open Sans"/>
          <w:color w:val="000000" w:themeColor="text1"/>
          <w:sz w:val="20"/>
          <w:szCs w:val="20"/>
        </w:rPr>
        <w:t>: pro-inflammatory cytokines such as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TNF-α, IL-1, and IL-6</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increase osteoclastogenesis and suppress osteoblast function, while anti-inflammatory cytokines and mechanical loading favor bone formation.</w:t>
      </w:r>
    </w:p>
    <w:p w14:paraId="4CCA9FAA" w14:textId="77777777" w:rsidR="00A736F8" w:rsidRPr="00EA3FCE" w:rsidRDefault="00A736F8" w:rsidP="00A736F8">
      <w:pPr>
        <w:pStyle w:val="NormalWeb"/>
        <w:numPr>
          <w:ilvl w:val="0"/>
          <w:numId w:val="19"/>
        </w:numPr>
        <w:rPr>
          <w:rFonts w:ascii="Open Sans" w:hAnsi="Open Sans" w:cs="Open Sans"/>
          <w:color w:val="000000" w:themeColor="text1"/>
          <w:sz w:val="20"/>
          <w:szCs w:val="20"/>
        </w:rPr>
      </w:pPr>
      <w:r w:rsidRPr="00EA3FCE">
        <w:rPr>
          <w:rFonts w:ascii="Open Sans" w:hAnsi="Open Sans" w:cs="Open Sans"/>
          <w:color w:val="000000" w:themeColor="text1"/>
          <w:sz w:val="20"/>
          <w:szCs w:val="20"/>
        </w:rPr>
        <w:t>Osteoclasts are activated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indirectly</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by PTH via osteoblast/osteocyte signaling</w:t>
      </w:r>
    </w:p>
    <w:p w14:paraId="145C1B65" w14:textId="77777777" w:rsidR="00A736F8" w:rsidRPr="00EA3FCE" w:rsidRDefault="00A736F8" w:rsidP="00A736F8">
      <w:pPr>
        <w:pStyle w:val="NormalWeb"/>
        <w:numPr>
          <w:ilvl w:val="0"/>
          <w:numId w:val="19"/>
        </w:numPr>
        <w:rPr>
          <w:rFonts w:ascii="Open Sans" w:hAnsi="Open Sans" w:cs="Open Sans"/>
          <w:color w:val="000000" w:themeColor="text1"/>
          <w:sz w:val="20"/>
          <w:szCs w:val="20"/>
        </w:rPr>
      </w:pPr>
      <w:r w:rsidRPr="00EA3FCE">
        <w:rPr>
          <w:rFonts w:ascii="Open Sans" w:hAnsi="Open Sans" w:cs="Open Sans"/>
          <w:color w:val="000000" w:themeColor="text1"/>
          <w:sz w:val="20"/>
          <w:szCs w:val="20"/>
        </w:rPr>
        <w:t>Chronic inflammatory diseases accelerate osteoporosis through cytokine-mediated osteoclast activation</w:t>
      </w:r>
    </w:p>
    <w:p w14:paraId="2C93B4FB" w14:textId="77777777" w:rsidR="00A736F8" w:rsidRPr="00EA3FCE" w:rsidRDefault="00A736F8" w:rsidP="00A736F8">
      <w:pPr>
        <w:pStyle w:val="NormalWeb"/>
        <w:numPr>
          <w:ilvl w:val="0"/>
          <w:numId w:val="19"/>
        </w:numPr>
        <w:rPr>
          <w:rFonts w:ascii="Open Sans" w:hAnsi="Open Sans" w:cs="Open Sans"/>
          <w:color w:val="000000" w:themeColor="text1"/>
          <w:sz w:val="20"/>
          <w:szCs w:val="20"/>
        </w:rPr>
      </w:pPr>
      <w:r w:rsidRPr="00EA3FCE">
        <w:rPr>
          <w:rFonts w:ascii="Open Sans" w:hAnsi="Open Sans" w:cs="Open Sans"/>
          <w:color w:val="000000" w:themeColor="text1"/>
          <w:sz w:val="20"/>
          <w:szCs w:val="20"/>
        </w:rPr>
        <w:t>Intermittent PTH is anabolic, while continuous PTH is catabolic</w:t>
      </w:r>
    </w:p>
    <w:p w14:paraId="6DAC2145"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RANK/RANKL/OPG Axis (High-Yield Mechanism)</w:t>
      </w:r>
      <w:r w:rsidRPr="00EA3FCE">
        <w:rPr>
          <w:rFonts w:ascii="Open Sans" w:hAnsi="Open Sans" w:cs="Open Sans"/>
          <w:color w:val="000000" w:themeColor="text1"/>
          <w:sz w:val="20"/>
          <w:szCs w:val="20"/>
        </w:rPr>
        <w:br/>
        <w:t>Osteoblast-lineage cells, including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osteoblasts and osteocytes</w:t>
      </w:r>
      <w:r w:rsidRPr="00EA3FCE">
        <w:rPr>
          <w:rFonts w:ascii="Open Sans" w:hAnsi="Open Sans" w:cs="Open Sans"/>
          <w:color w:val="000000" w:themeColor="text1"/>
          <w:sz w:val="20"/>
          <w:szCs w:val="20"/>
        </w:rPr>
        <w:t>, produce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RANKL (receptor activator of nuclear factor-κB ligand)</w:t>
      </w:r>
      <w:r w:rsidRPr="00EA3FCE">
        <w:rPr>
          <w:rFonts w:ascii="Open Sans" w:hAnsi="Open Sans" w:cs="Open Sans"/>
          <w:color w:val="000000" w:themeColor="text1"/>
          <w:sz w:val="20"/>
          <w:szCs w:val="20"/>
        </w:rPr>
        <w:t>. Osteoclast precursors express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RANK receptor</w:t>
      </w:r>
      <w:r w:rsidRPr="00EA3FCE">
        <w:rPr>
          <w:rFonts w:ascii="Open Sans" w:hAnsi="Open Sans" w:cs="Open Sans"/>
          <w:color w:val="000000" w:themeColor="text1"/>
          <w:sz w:val="20"/>
          <w:szCs w:val="20"/>
        </w:rPr>
        <w:t>; when RANKL binds to RANK, these precursors differentiate into mature, activated osteoclasts, leading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increased bone resorption</w:t>
      </w:r>
      <w:r w:rsidRPr="00EA3FCE">
        <w:rPr>
          <w:rFonts w:ascii="Open Sans" w:hAnsi="Open Sans" w:cs="Open Sans"/>
          <w:color w:val="000000" w:themeColor="text1"/>
          <w:sz w:val="20"/>
          <w:szCs w:val="20"/>
        </w:rPr>
        <w: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Osteoprotegerin (OPG)</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a soluble decoy receptor produced by osteoblasts and osteocytes that binds RANKL, preventing its interaction with RANK and thereby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inhibiting osteoclastogenesis</w:t>
      </w:r>
      <w:r w:rsidRPr="00EA3FCE">
        <w:rPr>
          <w:rFonts w:ascii="Open Sans" w:hAnsi="Open Sans" w:cs="Open Sans"/>
          <w:color w:val="000000" w:themeColor="text1"/>
          <w:sz w:val="20"/>
          <w:szCs w:val="20"/>
        </w:rPr>
        <w:t>. Bone remodeling is determined by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balance between RANKL and OPG</w:t>
      </w:r>
      <w:r w:rsidRPr="00EA3FCE">
        <w:rPr>
          <w:rFonts w:ascii="Open Sans" w:hAnsi="Open Sans" w:cs="Open Sans"/>
          <w:color w:val="000000" w:themeColor="text1"/>
          <w:sz w:val="20"/>
          <w:szCs w:val="20"/>
        </w:rPr>
        <w:t>: a higher RANKL-to-OPG ratio promotes bone resorption, whereas a higher OPG-to-RANKL ratio favors bone preservation and formation. This pathway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directly targeted by denosumab</w:t>
      </w:r>
      <w:r w:rsidRPr="00EA3FCE">
        <w:rPr>
          <w:rFonts w:ascii="Open Sans" w:hAnsi="Open Sans" w:cs="Open Sans"/>
          <w:color w:val="000000" w:themeColor="text1"/>
          <w:sz w:val="20"/>
          <w:szCs w:val="20"/>
        </w:rPr>
        <w:t>, a monoclonal antibody that binds RANKL and suppresses osteoclast activity.</w:t>
      </w:r>
    </w:p>
    <w:p w14:paraId="7F8536E5"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w:t>
      </w:r>
      <w:r w:rsidRPr="00EA3FCE">
        <w:rPr>
          <w:rFonts w:ascii="Open Sans" w:hAnsi="Open Sans" w:cs="Open Sans"/>
          <w:color w:val="000000" w:themeColor="text1"/>
          <w:sz w:val="20"/>
          <w:szCs w:val="20"/>
        </w:rPr>
        <w:br/>
        <w:t>Chronic inflammation and estrogen deficiency increase RANKL expression and decrease OPG, explaining accelerated bone loss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RA, chronic steroid use, and postmenopausal osteoporosis</w:t>
      </w:r>
      <w:r w:rsidRPr="00EA3FCE">
        <w:rPr>
          <w:rFonts w:ascii="Open Sans" w:hAnsi="Open Sans" w:cs="Open Sans"/>
          <w:color w:val="000000" w:themeColor="text1"/>
          <w:sz w:val="20"/>
          <w:szCs w:val="20"/>
        </w:rPr>
        <w:t>.</w:t>
      </w:r>
    </w:p>
    <w:p w14:paraId="3497DF83"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Osteoporosis Essentials (Definition, Risk, Diagnosis in Canada)</w:t>
      </w:r>
      <w:r w:rsidRPr="00EA3FCE">
        <w:rPr>
          <w:rFonts w:ascii="Open Sans" w:hAnsi="Open Sans" w:cs="Open Sans"/>
          <w:color w:val="000000" w:themeColor="text1"/>
          <w:sz w:val="20"/>
          <w:szCs w:val="20"/>
        </w:rPr>
        <w:br/>
        <w:t>Osteoporosis is a systemic skeletal disorder characterized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reduced bone strength and increased fracture risk</w:t>
      </w:r>
      <w:r w:rsidRPr="00EA3FCE">
        <w:rPr>
          <w:rFonts w:ascii="Open Sans" w:hAnsi="Open Sans" w:cs="Open Sans"/>
          <w:color w:val="000000" w:themeColor="text1"/>
          <w:sz w:val="20"/>
          <w:szCs w:val="20"/>
        </w:rPr>
        <w:t>. Bone loss typically begins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trabecular bone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progresses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cortical thinning</w:t>
      </w:r>
      <w:r w:rsidRPr="00EA3FCE">
        <w:rPr>
          <w:rFonts w:ascii="Open Sans" w:hAnsi="Open Sans" w:cs="Open Sans"/>
          <w:color w:val="000000" w:themeColor="text1"/>
          <w:sz w:val="20"/>
          <w:szCs w:val="20"/>
        </w:rPr>
        <w:t>, leading to fragility fractures, most commonly of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vertebrae, hip, and wrist</w:t>
      </w:r>
      <w:r w:rsidRPr="00EA3FCE">
        <w:rPr>
          <w:rFonts w:ascii="Open Sans" w:hAnsi="Open Sans" w:cs="Open Sans"/>
          <w:color w:val="000000" w:themeColor="text1"/>
          <w:sz w:val="20"/>
          <w:szCs w:val="20"/>
        </w:rPr>
        <w:t>. Canadian clinical practice emphasizes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fracture risk assessment rather than bone mineral density alone</w:t>
      </w:r>
      <w:r w:rsidRPr="00EA3FCE">
        <w:rPr>
          <w:rFonts w:ascii="Open Sans" w:hAnsi="Open Sans" w:cs="Open Sans"/>
          <w:color w:val="000000" w:themeColor="text1"/>
          <w:sz w:val="20"/>
          <w:szCs w:val="20"/>
        </w:rPr>
        <w:t>. Diagnosis and risk stratification integrate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DXA-derived BMD (T-score)</w:t>
      </w:r>
      <w:r w:rsidRPr="00EA3FCE">
        <w:rPr>
          <w:rFonts w:ascii="Open Sans" w:hAnsi="Open Sans" w:cs="Open Sans"/>
          <w:color w:val="000000" w:themeColor="text1"/>
          <w:sz w:val="20"/>
          <w:szCs w:val="20"/>
        </w:rPr>
        <w:t>, history of</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fragility fracture</w:t>
      </w:r>
      <w:r w:rsidRPr="00EA3FCE">
        <w:rPr>
          <w:rFonts w:ascii="Open Sans" w:hAnsi="Open Sans" w:cs="Open Sans"/>
          <w:color w:val="000000" w:themeColor="text1"/>
          <w:sz w:val="20"/>
          <w:szCs w:val="20"/>
        </w:rPr>
        <w:t>, and validated clinical risk assessment tools such as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FRAX (preferred)</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or</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CAROC</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to estimate 10-year risk of major osteoporotic fracture.</w:t>
      </w:r>
    </w:p>
    <w:p w14:paraId="416662DB"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Key exam point</w:t>
      </w:r>
      <w:r w:rsidRPr="00EA3FCE">
        <w:rPr>
          <w:rFonts w:ascii="Open Sans" w:hAnsi="Open Sans" w:cs="Open Sans"/>
          <w:color w:val="000000" w:themeColor="text1"/>
          <w:sz w:val="20"/>
          <w:szCs w:val="20"/>
        </w:rPr>
        <w:br/>
        <w:t>Vertebral compression fractures are often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clinically silent</w:t>
      </w:r>
      <w:r w:rsidRPr="00EA3FCE">
        <w:rPr>
          <w:rFonts w:ascii="Open Sans" w:hAnsi="Open Sans" w:cs="Open Sans"/>
          <w:color w:val="000000" w:themeColor="text1"/>
          <w:sz w:val="20"/>
          <w:szCs w:val="20"/>
        </w:rPr>
        <w:t>; unexplained height loss, kyphosis, or new back pain should prompt evaluation for occult vertebral fracture.</w:t>
      </w:r>
    </w:p>
    <w:p w14:paraId="0FEB433A"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Osteoporosis Non-Pharmacologic Fundamentals (Often Tested)</w:t>
      </w:r>
      <w:r w:rsidRPr="00EA3FCE">
        <w:rPr>
          <w:rFonts w:ascii="Open Sans" w:hAnsi="Open Sans" w:cs="Open Sans"/>
          <w:color w:val="000000" w:themeColor="text1"/>
          <w:sz w:val="20"/>
          <w:szCs w:val="20"/>
        </w:rPr>
        <w:br/>
        <w:t>Non-pharmacologic management is foundational and includes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weight-bearing and resistance exercise</w:t>
      </w:r>
      <w:r w:rsidRPr="00EA3FCE">
        <w:rPr>
          <w:rFonts w:ascii="Open Sans" w:hAnsi="Open Sans" w:cs="Open Sans"/>
          <w:color w:val="000000" w:themeColor="text1"/>
          <w:sz w:val="20"/>
          <w:szCs w:val="20"/>
        </w:rPr>
        <w:t>, balance training and fall-prevention strategies,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adequate calcium and vitamin D intake</w:t>
      </w:r>
      <w:r w:rsidRPr="00EA3FCE">
        <w:rPr>
          <w:rFonts w:ascii="Open Sans" w:hAnsi="Open Sans" w:cs="Open Sans"/>
          <w:color w:val="000000" w:themeColor="text1"/>
          <w:sz w:val="20"/>
          <w:szCs w:val="20"/>
        </w:rPr>
        <w:t>, smoking cessation, and limiting excess alcohol consumption. Canadian guidelines place strong emphasis on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exercise, nutrition, and fracture prevention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as essential components of osteoporosis management alongside pharmacotherapy.</w:t>
      </w:r>
    </w:p>
    <w:p w14:paraId="4EEA5921"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Osteoporosis is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fracture-risk disease</w:t>
      </w:r>
      <w:r w:rsidRPr="00EA3FCE">
        <w:rPr>
          <w:rFonts w:ascii="Open Sans" w:hAnsi="Open Sans" w:cs="Open Sans"/>
          <w:color w:val="000000" w:themeColor="text1"/>
          <w:sz w:val="20"/>
          <w:szCs w:val="20"/>
        </w:rPr>
        <w:t>, not simply a low BMD disease</w:t>
      </w:r>
    </w:p>
    <w:p w14:paraId="0F6A30B7"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Trabecular bone loss explains early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vertebral and hip fractures</w:t>
      </w:r>
    </w:p>
    <w:p w14:paraId="77DB9B44"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Exercise is one of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most effective non-drug interventions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for fracture risk reduction</w:t>
      </w:r>
    </w:p>
    <w:p w14:paraId="7D437B5A"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Bisphosphonates (often first-line)</w:t>
      </w:r>
      <w:r w:rsidRPr="00EA3FCE">
        <w:rPr>
          <w:rFonts w:ascii="Open Sans" w:hAnsi="Open Sans" w:cs="Open Sans"/>
          <w:color w:val="000000" w:themeColor="text1"/>
          <w:sz w:val="20"/>
          <w:szCs w:val="20"/>
        </w:rPr>
        <w:br/>
        <w:t>Bisphosphonates bind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hydroxyapatite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at sites of active bone remodeling and inhibit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osteoclast-mediated bone resorption</w:t>
      </w:r>
      <w:r w:rsidRPr="00EA3FCE">
        <w:rPr>
          <w:rFonts w:ascii="Open Sans" w:hAnsi="Open Sans" w:cs="Open Sans"/>
          <w:color w:val="000000" w:themeColor="text1"/>
          <w:sz w:val="20"/>
          <w:szCs w:val="20"/>
        </w:rPr>
        <w: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Nitrogen-containing bisphosphonates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(e.g., alendronate, risedronate, zoledronic acid) inhibit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farnesyl pyrophosphate synthase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 the mevalonate pathway, impairing osteoclast function, cytoskeletal organization, and survival.</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Non-nitrogen bisphosphonates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(e.g., etidronate) are metabolized into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nonfunctional ATP analogs</w:t>
      </w:r>
      <w:r w:rsidRPr="00EA3FCE">
        <w:rPr>
          <w:rFonts w:ascii="Open Sans" w:hAnsi="Open Sans" w:cs="Open Sans"/>
          <w:color w:val="000000" w:themeColor="text1"/>
          <w:sz w:val="20"/>
          <w:szCs w:val="20"/>
        </w:rPr>
        <w:t>, leading to osteoclast apoptosis.</w:t>
      </w:r>
    </w:p>
    <w:p w14:paraId="20E036FD"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Indications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postmenopausal osteoporosis</w:t>
      </w:r>
      <w:r w:rsidRPr="00EA3FCE">
        <w:rPr>
          <w:rFonts w:ascii="Open Sans" w:hAnsi="Open Sans" w:cs="Open Sans"/>
          <w:color w:val="000000" w:themeColor="text1"/>
          <w:sz w:val="20"/>
          <w:szCs w:val="20"/>
        </w:rPr>
        <w:t>, osteoporosis in men,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glucocorticoid-induced osteoporosis</w:t>
      </w:r>
      <w:r w:rsidRPr="00EA3FCE">
        <w:rPr>
          <w:rFonts w:ascii="Open Sans" w:hAnsi="Open Sans" w:cs="Open Sans"/>
          <w:color w:val="000000" w:themeColor="text1"/>
          <w:sz w:val="20"/>
          <w:szCs w:val="20"/>
        </w:rPr>
        <w:t>, as well as selected metabolic bone disorders depending on agent and clinical context.</w:t>
      </w:r>
    </w:p>
    <w:p w14:paraId="54AA5529"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Administration pearls for oral agents include taking the medication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first thing in the morning on an empty stomach with a full glass of water</w:t>
      </w:r>
      <w:r w:rsidRPr="00EA3FCE">
        <w:rPr>
          <w:rFonts w:ascii="Open Sans" w:hAnsi="Open Sans" w:cs="Open Sans"/>
          <w:color w:val="000000" w:themeColor="text1"/>
          <w:sz w:val="20"/>
          <w:szCs w:val="20"/>
        </w:rPr>
        <w:t>, remaining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upright for at least 30 minutes</w:t>
      </w:r>
      <w:r w:rsidRPr="00EA3FCE">
        <w:rPr>
          <w:rFonts w:ascii="Open Sans" w:hAnsi="Open Sans" w:cs="Open Sans"/>
          <w:color w:val="000000" w:themeColor="text1"/>
          <w:sz w:val="20"/>
          <w:szCs w:val="20"/>
        </w:rPr>
        <w:t>, and avoiding food or divalent cations (calcium, magnesium, iron) around dosing to prevent reduced absorption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esophageal irritation</w:t>
      </w:r>
      <w:r w:rsidRPr="00EA3FCE">
        <w:rPr>
          <w:rFonts w:ascii="Open Sans" w:hAnsi="Open Sans" w:cs="Open Sans"/>
          <w:color w:val="000000" w:themeColor="text1"/>
          <w:sz w:val="20"/>
          <w:szCs w:val="20"/>
        </w:rPr>
        <w:t>.</w:t>
      </w:r>
    </w:p>
    <w:p w14:paraId="2591EA27"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Adverse effects to memorize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esophagitis and GI intolerance</w:t>
      </w:r>
      <w:r w:rsidRPr="00EA3FCE">
        <w:rPr>
          <w:rFonts w:ascii="Open Sans" w:hAnsi="Open Sans" w:cs="Open Sans"/>
          <w:color w:val="000000" w:themeColor="text1"/>
          <w:sz w:val="20"/>
          <w:szCs w:val="20"/>
        </w:rPr>
        <w:t>, rare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atypical femoral fractures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with long-term use, and rare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osteonecrosis of the jaw</w:t>
      </w:r>
      <w:r w:rsidRPr="00EA3FCE">
        <w:rPr>
          <w:rFonts w:ascii="Open Sans" w:hAnsi="Open Sans" w:cs="Open Sans"/>
          <w:color w:val="000000" w:themeColor="text1"/>
          <w:sz w:val="20"/>
          <w:szCs w:val="20"/>
        </w:rPr>
        <w:t>, particularly with invasive dental procedures or high cumulative exposure. Dental assessment and good oral hygiene are important before and during therapy.</w:t>
      </w:r>
    </w:p>
    <w:p w14:paraId="69D08EFD"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w:t>
      </w:r>
      <w:r w:rsidRPr="00EA3FCE">
        <w:rPr>
          <w:rFonts w:ascii="Open Sans" w:hAnsi="Open Sans" w:cs="Open Sans"/>
          <w:color w:val="000000" w:themeColor="text1"/>
          <w:sz w:val="20"/>
          <w:szCs w:val="20"/>
        </w:rPr>
        <w:br/>
        <w:t>Bisphosphonates reduce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vertebral and hip fracture risk</w:t>
      </w:r>
      <w:r w:rsidRPr="00EA3FCE">
        <w:rPr>
          <w:rFonts w:ascii="Open Sans" w:hAnsi="Open Sans" w:cs="Open Sans"/>
          <w:color w:val="000000" w:themeColor="text1"/>
          <w:sz w:val="20"/>
          <w:szCs w:val="20"/>
        </w:rPr>
        <w:t>, but benefits plateau after several years, prompting reassessment or a “drug holiday” in selected low-risk patients.</w:t>
      </w:r>
    </w:p>
    <w:p w14:paraId="010A824A"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Denosumab (RANKL inhibitor)</w:t>
      </w:r>
      <w:r w:rsidRPr="00EA3FCE">
        <w:rPr>
          <w:rFonts w:ascii="Open Sans" w:hAnsi="Open Sans" w:cs="Open Sans"/>
          <w:color w:val="000000" w:themeColor="text1"/>
          <w:sz w:val="20"/>
          <w:szCs w:val="20"/>
        </w:rPr>
        <w:br/>
        <w:t>Denosumab is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monoclonal antibody against RANKL</w:t>
      </w:r>
      <w:r w:rsidRPr="00EA3FCE">
        <w:rPr>
          <w:rFonts w:ascii="Open Sans" w:hAnsi="Open Sans" w:cs="Open Sans"/>
          <w:color w:val="000000" w:themeColor="text1"/>
          <w:sz w:val="20"/>
          <w:szCs w:val="20"/>
        </w:rPr>
        <w:t xml:space="preserve">, preventing RANK activation on </w:t>
      </w:r>
      <w:r w:rsidRPr="00EA3FCE">
        <w:rPr>
          <w:rFonts w:ascii="Open Sans" w:hAnsi="Open Sans" w:cs="Open Sans"/>
          <w:color w:val="000000" w:themeColor="text1"/>
          <w:sz w:val="20"/>
          <w:szCs w:val="20"/>
        </w:rPr>
        <w:lastRenderedPageBreak/>
        <w:t>osteoclast precursors and mature osteoclasts. This reduces osteoclast formation, function, and survival, leading to increased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bone mineral density in both trabecular and cortical bone</w:t>
      </w:r>
      <w:r w:rsidRPr="00EA3FCE">
        <w:rPr>
          <w:rFonts w:ascii="Open Sans" w:hAnsi="Open Sans" w:cs="Open Sans"/>
          <w:color w:val="000000" w:themeColor="text1"/>
          <w:sz w:val="20"/>
          <w:szCs w:val="20"/>
        </w:rPr>
        <w:t>.</w:t>
      </w:r>
    </w:p>
    <w:p w14:paraId="0B350676"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Safety pearls include the risk of</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hypocalcemia</w:t>
      </w:r>
      <w:r w:rsidRPr="00EA3FCE">
        <w:rPr>
          <w:rFonts w:ascii="Open Sans" w:hAnsi="Open Sans" w:cs="Open Sans"/>
          <w:color w:val="000000" w:themeColor="text1"/>
          <w:sz w:val="20"/>
          <w:szCs w:val="20"/>
        </w:rPr>
        <w:t>, particularly in patients with chronic kidney disease; adequate calcium and vitamin D supplementation is essential, and serum calcium should be monitored when clinically indicated.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Strict adherence to 6-monthly dosing is critical</w:t>
      </w:r>
      <w:r w:rsidRPr="00EA3FCE">
        <w:rPr>
          <w:rFonts w:ascii="Open Sans" w:hAnsi="Open Sans" w:cs="Open Sans"/>
          <w:color w:val="000000" w:themeColor="text1"/>
          <w:sz w:val="20"/>
          <w:szCs w:val="20"/>
        </w:rPr>
        <w:t>. Abrupt discontinuation or delayed dosing can result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rebound bone resorption</w:t>
      </w:r>
      <w:r w:rsidRPr="00EA3FCE">
        <w:rPr>
          <w:rFonts w:ascii="Open Sans" w:hAnsi="Open Sans" w:cs="Open Sans"/>
          <w:color w:val="000000" w:themeColor="text1"/>
          <w:sz w:val="20"/>
          <w:szCs w:val="20"/>
        </w:rPr>
        <w:t>, rapid BMD loss,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multiple vertebral fractures</w:t>
      </w:r>
      <w:r w:rsidRPr="00EA3FCE">
        <w:rPr>
          <w:rFonts w:ascii="Open Sans" w:hAnsi="Open Sans" w:cs="Open Sans"/>
          <w:color w:val="000000" w:themeColor="text1"/>
          <w:sz w:val="20"/>
          <w:szCs w:val="20"/>
        </w:rPr>
        <w:t>. Canadian guidance emphasizes uninterrupted therapy or transition to another antiresorptive agent if denosumab is stopped.</w:t>
      </w:r>
    </w:p>
    <w:p w14:paraId="0C458B7A"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w:t>
      </w:r>
      <w:r w:rsidRPr="00EA3FCE">
        <w:rPr>
          <w:rFonts w:ascii="Open Sans" w:hAnsi="Open Sans" w:cs="Open Sans"/>
          <w:color w:val="000000" w:themeColor="text1"/>
          <w:sz w:val="20"/>
          <w:szCs w:val="20"/>
        </w:rPr>
        <w:br/>
        <w:t>Denosumab is not renally cleared, but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hypocalcemia risk increases as kidney function declines</w:t>
      </w:r>
      <w:r w:rsidRPr="00EA3FCE">
        <w:rPr>
          <w:rFonts w:ascii="Open Sans" w:hAnsi="Open Sans" w:cs="Open Sans"/>
          <w:color w:val="000000" w:themeColor="text1"/>
          <w:sz w:val="20"/>
          <w:szCs w:val="20"/>
        </w:rPr>
        <w:t>.</w:t>
      </w:r>
    </w:p>
    <w:p w14:paraId="6304858C"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Raloxifene (Selective Estrogen Receptor Modulator)</w:t>
      </w:r>
      <w:r w:rsidRPr="00EA3FCE">
        <w:rPr>
          <w:rFonts w:ascii="Open Sans" w:hAnsi="Open Sans" w:cs="Open Sans"/>
          <w:color w:val="000000" w:themeColor="text1"/>
          <w:sz w:val="20"/>
          <w:szCs w:val="20"/>
        </w:rPr>
        <w:br/>
        <w:t>Raloxifene is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selective estrogen receptor modulator (SERM)</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with estrogen-agonist effects on bone and antagonist effects on breast and endometrial tissue. It suppresses osteoclast activity, improves bone mineral density,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reduces vertebral fracture risk</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 postmenopausal women.</w:t>
      </w:r>
    </w:p>
    <w:p w14:paraId="3F843339"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The major high-yield contraindication is an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increased risk of venous thromboembolism</w:t>
      </w:r>
      <w:r w:rsidRPr="00EA3FCE">
        <w:rPr>
          <w:rFonts w:ascii="Open Sans" w:hAnsi="Open Sans" w:cs="Open Sans"/>
          <w:color w:val="000000" w:themeColor="text1"/>
          <w:sz w:val="20"/>
          <w:szCs w:val="20"/>
        </w:rPr>
        <w:t>. Raloxifene should be avoided in patients with prior VTE, known thrombophilia, or prolonged immobilization. Its clinical niche includes postmenopausal women who require vertebral fracture risk reduction, cannot tolerate bisphosphonates, or would benefit from</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reduced estrogen-receptor–positive breast cancer risk</w:t>
      </w:r>
      <w:r w:rsidRPr="00EA3FCE">
        <w:rPr>
          <w:rFonts w:ascii="Open Sans" w:hAnsi="Open Sans" w:cs="Open Sans"/>
          <w:color w:val="000000" w:themeColor="text1"/>
          <w:sz w:val="20"/>
          <w:szCs w:val="20"/>
        </w:rPr>
        <w:t>.</w:t>
      </w:r>
    </w:p>
    <w:p w14:paraId="4DADEE65"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w:t>
      </w:r>
      <w:r w:rsidRPr="00EA3FCE">
        <w:rPr>
          <w:rFonts w:ascii="Open Sans" w:hAnsi="Open Sans" w:cs="Open Sans"/>
          <w:color w:val="000000" w:themeColor="text1"/>
          <w:sz w:val="20"/>
          <w:szCs w:val="20"/>
        </w:rPr>
        <w:br/>
        <w:t>Raloxifene does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not</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reduce hip fracture risk and is not used in men.</w:t>
      </w:r>
    </w:p>
    <w:p w14:paraId="249F669E"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Skeletal Muscle Structure and Function</w:t>
      </w:r>
      <w:r w:rsidRPr="00EA3FCE">
        <w:rPr>
          <w:rFonts w:ascii="Open Sans" w:hAnsi="Open Sans" w:cs="Open Sans"/>
          <w:color w:val="000000" w:themeColor="text1"/>
          <w:sz w:val="20"/>
          <w:szCs w:val="20"/>
        </w:rPr>
        <w:br/>
        <w:t>Skeletal muscle fibers 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large, multinucleated cells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with characteristic striations due to the organized arrangement of contractile proteins. Each muscle fiber contains many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myofibrils</w:t>
      </w:r>
      <w:r w:rsidRPr="00EA3FCE">
        <w:rPr>
          <w:rFonts w:ascii="Open Sans" w:hAnsi="Open Sans" w:cs="Open Sans"/>
          <w:color w:val="000000" w:themeColor="text1"/>
          <w:sz w:val="20"/>
          <w:szCs w:val="20"/>
        </w:rPr>
        <w:t>, which are composed of repeating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sarcomeres</w:t>
      </w:r>
      <w:r w:rsidRPr="00EA3FCE">
        <w:rPr>
          <w:rFonts w:ascii="Open Sans" w:hAnsi="Open Sans" w:cs="Open Sans"/>
          <w:color w:val="000000" w:themeColor="text1"/>
          <w:sz w:val="20"/>
          <w:szCs w:val="20"/>
        </w:rPr>
        <w:t>, the functional contractile units. The primary sarcomere proteins 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actin (thin filaments)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myosin (thick filaments)</w:t>
      </w:r>
      <w:r w:rsidRPr="00EA3FCE">
        <w:rPr>
          <w:rFonts w:ascii="Open Sans" w:hAnsi="Open Sans" w:cs="Open Sans"/>
          <w:color w:val="000000" w:themeColor="text1"/>
          <w:sz w:val="20"/>
          <w:szCs w:val="20"/>
        </w:rPr>
        <w:t>. Muscle contraction is regulated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intracellular calcium release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ATP-dependent cross-bridge cycling</w:t>
      </w:r>
      <w:r w:rsidRPr="00EA3FCE">
        <w:rPr>
          <w:rFonts w:ascii="Open Sans" w:hAnsi="Open Sans" w:cs="Open Sans"/>
          <w:color w:val="000000" w:themeColor="text1"/>
          <w:sz w:val="20"/>
          <w:szCs w:val="20"/>
        </w:rPr>
        <w:t>.</w:t>
      </w:r>
    </w:p>
    <w:p w14:paraId="123091A5"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Muscle fibers are surrounded by connective tissue layers: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endomysium</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around individual fibers,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perimysium</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around fascicles,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epimysium</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around the entire muscle. These connective tissues transmit contractile force to tendons and bone and play a role in muscle integrity and injury response.</w:t>
      </w:r>
    </w:p>
    <w:p w14:paraId="6C501D0A" w14:textId="77777777" w:rsidR="00A736F8" w:rsidRPr="00EA3FCE" w:rsidRDefault="00A736F8" w:rsidP="00A736F8">
      <w:pPr>
        <w:pStyle w:val="NormalWeb"/>
        <w:numPr>
          <w:ilvl w:val="0"/>
          <w:numId w:val="20"/>
        </w:numPr>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w:t>
      </w:r>
      <w:r w:rsidRPr="00EA3FCE">
        <w:rPr>
          <w:rFonts w:ascii="Open Sans" w:hAnsi="Open Sans" w:cs="Open Sans"/>
          <w:color w:val="000000" w:themeColor="text1"/>
          <w:sz w:val="20"/>
          <w:szCs w:val="20"/>
        </w:rPr>
        <w:br/>
        <w:t>Calcium links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electrical excitation to mechanical contraction</w:t>
      </w:r>
      <w:r w:rsidRPr="00EA3FCE">
        <w:rPr>
          <w:rFonts w:ascii="Open Sans" w:hAnsi="Open Sans" w:cs="Open Sans"/>
          <w:color w:val="000000" w:themeColor="text1"/>
          <w:sz w:val="20"/>
          <w:szCs w:val="20"/>
        </w:rPr>
        <w:t>, making calcium handling central to both normal muscle function and disorders such as malignant hyperthermia and rhabdomyolysis.</w:t>
      </w:r>
    </w:p>
    <w:p w14:paraId="1E8989CF"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Excitation–Contraction Coupling (Very Testable Sequence)</w:t>
      </w:r>
    </w:p>
    <w:p w14:paraId="1D788625"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Fonts w:ascii="Open Sans" w:hAnsi="Open Sans" w:cs="Open Sans"/>
          <w:color w:val="000000" w:themeColor="text1"/>
          <w:sz w:val="20"/>
          <w:szCs w:val="20"/>
        </w:rPr>
        <w:t>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lower motor neuron action potential</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reaches the presynaptic terminal at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neuromuscular junction (NMJ)</w:t>
      </w:r>
      <w:r w:rsidRPr="00EA3FCE">
        <w:rPr>
          <w:rFonts w:ascii="Open Sans" w:hAnsi="Open Sans" w:cs="Open Sans"/>
          <w:color w:val="000000" w:themeColor="text1"/>
          <w:sz w:val="20"/>
          <w:szCs w:val="20"/>
        </w:rPr>
        <w:t>.</w:t>
      </w:r>
    </w:p>
    <w:p w14:paraId="33BEF8E8"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Voltage-gated calcium channels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open in the presynaptic membrane; calcium influx triggers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synaptic vesicle fusion and release of acetylcholine (ACh)</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into the synaptic cleft.</w:t>
      </w:r>
    </w:p>
    <w:p w14:paraId="405FB05A"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ACh binds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nicotinic (Nm) receptors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on the motor end plate, opening ligand-gated cation channels and generating an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end-plate potential</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triggers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muscle action potential</w:t>
      </w:r>
      <w:r w:rsidRPr="00EA3FCE">
        <w:rPr>
          <w:rFonts w:ascii="Open Sans" w:hAnsi="Open Sans" w:cs="Open Sans"/>
          <w:color w:val="000000" w:themeColor="text1"/>
          <w:sz w:val="20"/>
          <w:szCs w:val="20"/>
        </w:rPr>
        <w:t>.</w:t>
      </w:r>
    </w:p>
    <w:p w14:paraId="31FD3EE5"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The muscle action potential propagates along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sarcolemma</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travels down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T-tubules</w:t>
      </w:r>
      <w:r w:rsidRPr="00EA3FCE">
        <w:rPr>
          <w:rFonts w:ascii="Open Sans" w:hAnsi="Open Sans" w:cs="Open Sans"/>
          <w:color w:val="000000" w:themeColor="text1"/>
          <w:sz w:val="20"/>
          <w:szCs w:val="20"/>
        </w:rPr>
        <w:t>.</w:t>
      </w:r>
    </w:p>
    <w:p w14:paraId="5B6294A2"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Fonts w:ascii="Open Sans" w:hAnsi="Open Sans" w:cs="Open Sans"/>
          <w:color w:val="000000" w:themeColor="text1"/>
          <w:sz w:val="20"/>
          <w:szCs w:val="20"/>
        </w:rPr>
        <w:t>T-tubule depolarization induces a conformational change in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dihydropyridine receptor (DHPR)</w:t>
      </w:r>
      <w:r w:rsidRPr="00EA3FCE">
        <w:rPr>
          <w:rFonts w:ascii="Open Sans" w:hAnsi="Open Sans" w:cs="Open Sans"/>
          <w:color w:val="000000" w:themeColor="text1"/>
          <w:sz w:val="20"/>
          <w:szCs w:val="20"/>
        </w:rPr>
        <w:t>, which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mechanically coupled</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to 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ryanodine receptor (RyR1)</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on the sarcoplasmic reticulum, causing RyR opening.</w:t>
      </w:r>
    </w:p>
    <w:p w14:paraId="6FECE297"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Calcium is released from the sarcoplasmic reticulum</w:t>
      </w:r>
      <w:r w:rsidRPr="00EA3FCE">
        <w:rPr>
          <w:rFonts w:ascii="Open Sans" w:hAnsi="Open Sans" w:cs="Open Sans"/>
          <w:color w:val="000000" w:themeColor="text1"/>
          <w:sz w:val="20"/>
          <w:szCs w:val="20"/>
        </w:rPr>
        <w:t>, binds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troponin C</w:t>
      </w:r>
      <w:r w:rsidRPr="00EA3FCE">
        <w:rPr>
          <w:rFonts w:ascii="Open Sans" w:hAnsi="Open Sans" w:cs="Open Sans"/>
          <w:color w:val="000000" w:themeColor="text1"/>
          <w:sz w:val="20"/>
          <w:szCs w:val="20"/>
        </w:rPr>
        <w:t>, shifts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tropomyosin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away from actin binding sites, and permits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actin–myosin cross-bridge cycling</w:t>
      </w:r>
      <w:r w:rsidRPr="00EA3FCE">
        <w:rPr>
          <w:rFonts w:ascii="Open Sans" w:hAnsi="Open Sans" w:cs="Open Sans"/>
          <w:color w:val="000000" w:themeColor="text1"/>
          <w:sz w:val="20"/>
          <w:szCs w:val="20"/>
        </w:rPr>
        <w:t>, resulting in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sarcomere shortening and muscle contraction</w:t>
      </w:r>
      <w:r w:rsidRPr="00EA3FCE">
        <w:rPr>
          <w:rFonts w:ascii="Open Sans" w:hAnsi="Open Sans" w:cs="Open Sans"/>
          <w:color w:val="000000" w:themeColor="text1"/>
          <w:sz w:val="20"/>
          <w:szCs w:val="20"/>
        </w:rPr>
        <w:t>.</w:t>
      </w:r>
    </w:p>
    <w:p w14:paraId="6DBDAF97" w14:textId="77777777" w:rsidR="00A736F8" w:rsidRPr="00EA3FCE" w:rsidRDefault="00A736F8" w:rsidP="00A736F8">
      <w:pPr>
        <w:pStyle w:val="NormalWeb"/>
        <w:numPr>
          <w:ilvl w:val="0"/>
          <w:numId w:val="21"/>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Termination and relaxation: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acetylcholinesterase rapidly degrades ACh in the synaptic cleft, and calcium is actively pumped back into the sarcoplasmic reticulum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SERCA (Ca²</w:t>
      </w:r>
      <w:r w:rsidRPr="00EA3FCE">
        <w:rPr>
          <w:rStyle w:val="Strong"/>
          <w:rFonts w:ascii="Cambria Math" w:eastAsiaTheme="majorEastAsia" w:hAnsi="Cambria Math" w:cs="Cambria Math"/>
          <w:b w:val="0"/>
          <w:bCs w:val="0"/>
          <w:color w:val="000000" w:themeColor="text1"/>
          <w:sz w:val="20"/>
          <w:szCs w:val="20"/>
        </w:rPr>
        <w:t>⁺</w:t>
      </w:r>
      <w:r w:rsidRPr="00EA3FCE">
        <w:rPr>
          <w:rStyle w:val="Strong"/>
          <w:rFonts w:ascii="Open Sans" w:eastAsiaTheme="majorEastAsia" w:hAnsi="Open Sans" w:cs="Open Sans"/>
          <w:b w:val="0"/>
          <w:bCs w:val="0"/>
          <w:color w:val="000000" w:themeColor="text1"/>
          <w:sz w:val="20"/>
          <w:szCs w:val="20"/>
        </w:rPr>
        <w:t>-ATPase)</w:t>
      </w:r>
      <w:r w:rsidRPr="00EA3FCE">
        <w:rPr>
          <w:rFonts w:ascii="Open Sans" w:hAnsi="Open Sans" w:cs="Open Sans"/>
          <w:color w:val="000000" w:themeColor="text1"/>
          <w:sz w:val="20"/>
          <w:szCs w:val="20"/>
        </w:rPr>
        <w:t>, allowing muscle relaxation.</w:t>
      </w:r>
    </w:p>
    <w:p w14:paraId="210633E9"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exam pearls</w:t>
      </w:r>
    </w:p>
    <w:p w14:paraId="06023575" w14:textId="77777777" w:rsidR="00A736F8" w:rsidRPr="00EA3FCE" w:rsidRDefault="00A736F8" w:rsidP="00A736F8">
      <w:pPr>
        <w:pStyle w:val="NormalWeb"/>
        <w:numPr>
          <w:ilvl w:val="0"/>
          <w:numId w:val="2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DHPR acts primarily as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voltage sensor</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 skeletal muscle, not a calcium channel</w:t>
      </w:r>
    </w:p>
    <w:p w14:paraId="1DC98BBE" w14:textId="77777777" w:rsidR="00A736F8" w:rsidRPr="00EA3FCE" w:rsidRDefault="00A736F8" w:rsidP="00A736F8">
      <w:pPr>
        <w:pStyle w:val="NormalWeb"/>
        <w:numPr>
          <w:ilvl w:val="0"/>
          <w:numId w:val="2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RyR1 dysfunction is central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malignant hyperthermia</w:t>
      </w:r>
    </w:p>
    <w:p w14:paraId="5802C161" w14:textId="77777777" w:rsidR="00A736F8" w:rsidRPr="00EA3FCE" w:rsidRDefault="00A736F8" w:rsidP="00A736F8">
      <w:pPr>
        <w:pStyle w:val="NormalWeb"/>
        <w:numPr>
          <w:ilvl w:val="0"/>
          <w:numId w:val="2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Organophosphates inhibit acetylcholinesterase </w:t>
      </w:r>
      <w:r w:rsidRPr="00EA3FCE">
        <w:rPr>
          <w:rFonts w:ascii="Arial" w:hAnsi="Arial" w:cs="Arial"/>
          <w:color w:val="000000" w:themeColor="text1"/>
          <w:sz w:val="20"/>
          <w:szCs w:val="20"/>
        </w:rPr>
        <w: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prolonged depolarization</w:t>
      </w:r>
    </w:p>
    <w:p w14:paraId="7CC17968" w14:textId="77777777" w:rsidR="00A736F8" w:rsidRPr="00EA3FCE" w:rsidRDefault="00A736F8" w:rsidP="00A736F8">
      <w:pPr>
        <w:pStyle w:val="NormalWeb"/>
        <w:numPr>
          <w:ilvl w:val="0"/>
          <w:numId w:val="2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Non-depolarizing neuromuscular blockers act at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step 3</w:t>
      </w:r>
      <w:r w:rsidRPr="00EA3FCE">
        <w:rPr>
          <w:rFonts w:ascii="Open Sans" w:hAnsi="Open Sans" w:cs="Open Sans"/>
          <w:color w:val="000000" w:themeColor="text1"/>
          <w:sz w:val="20"/>
          <w:szCs w:val="20"/>
        </w:rPr>
        <w:t>; succinylcholine acts by sustained depolarization</w:t>
      </w:r>
    </w:p>
    <w:p w14:paraId="255B7C73" w14:textId="77777777" w:rsidR="00A736F8" w:rsidRPr="00EA3FCE" w:rsidRDefault="00A736F8" w:rsidP="00A736F8">
      <w:pPr>
        <w:pStyle w:val="NormalWeb"/>
        <w:numPr>
          <w:ilvl w:val="0"/>
          <w:numId w:val="22"/>
        </w:numPr>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SERCA dysfunction or ATP depletion impairs relaxation </w:t>
      </w:r>
      <w:r w:rsidRPr="00EA3FCE">
        <w:rPr>
          <w:rFonts w:ascii="Arial" w:hAnsi="Arial" w:cs="Arial"/>
          <w:color w:val="000000" w:themeColor="text1"/>
          <w:sz w:val="20"/>
          <w:szCs w:val="20"/>
        </w:rPr>
        <w:t>→</w:t>
      </w:r>
      <w:r w:rsidRPr="00EA3FCE">
        <w:rPr>
          <w:rFonts w:ascii="Open Sans" w:hAnsi="Open Sans" w:cs="Open Sans"/>
          <w:color w:val="000000" w:themeColor="text1"/>
          <w:sz w:val="20"/>
          <w:szCs w:val="20"/>
        </w:rPr>
        <w:t xml:space="preserve"> contributes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rigor and rhabdomyolysis</w:t>
      </w:r>
    </w:p>
    <w:p w14:paraId="2141CF80"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Neuromuscular Junction Disorders and Toxins (Compare and Contrast)</w:t>
      </w:r>
    </w:p>
    <w:p w14:paraId="74C2242F"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Myasthenia gravis (MG)</w:t>
      </w:r>
      <w:r w:rsidRPr="00EA3FCE">
        <w:rPr>
          <w:rFonts w:ascii="Open Sans" w:hAnsi="Open Sans" w:cs="Open Sans"/>
          <w:color w:val="000000" w:themeColor="text1"/>
          <w:sz w:val="20"/>
          <w:szCs w:val="20"/>
        </w:rPr>
        <w:br/>
        <w:t>Myasthenia gravis is an autoimmune disorder most commonly caused by antibodies against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postsynaptic nicotinic acetylcholine (ACh) receptors</w:t>
      </w:r>
      <w:r w:rsidRPr="00EA3FCE">
        <w:rPr>
          <w:rFonts w:ascii="Open Sans" w:hAnsi="Open Sans" w:cs="Open Sans"/>
          <w:color w:val="000000" w:themeColor="text1"/>
          <w:sz w:val="20"/>
          <w:szCs w:val="20"/>
        </w:rPr>
        <w:t>, leading to impaired neuromuscular transmission. The result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fatigable skeletal muscle weakness</w:t>
      </w:r>
      <w:r w:rsidRPr="00EA3FCE">
        <w:rPr>
          <w:rFonts w:ascii="Open Sans" w:hAnsi="Open Sans" w:cs="Open Sans"/>
          <w:color w:val="000000" w:themeColor="text1"/>
          <w:sz w:val="20"/>
          <w:szCs w:val="20"/>
        </w:rPr>
        <w:t>, classically affecting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ocular muscles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(ptosis, diplopia),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bulbar muscles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(dysarthria, dysphagia), and proximal limb muscles. Deep tendon reflexes and sensation are preserved. MG is strongly associated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thymic hyperplasia or thymoma</w:t>
      </w:r>
      <w:r w:rsidRPr="00EA3FCE">
        <w:rPr>
          <w:rFonts w:ascii="Open Sans" w:hAnsi="Open Sans" w:cs="Open Sans"/>
          <w:color w:val="000000" w:themeColor="text1"/>
          <w:sz w:val="20"/>
          <w:szCs w:val="20"/>
        </w:rPr>
        <w:t>. First-line symptomatic therapy is an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acetylcholinesterase inhibitor (pyridostigmine)</w:t>
      </w:r>
      <w:r w:rsidRPr="00EA3FCE">
        <w:rPr>
          <w:rFonts w:ascii="Open Sans" w:hAnsi="Open Sans" w:cs="Open Sans"/>
          <w:color w:val="000000" w:themeColor="text1"/>
          <w:sz w:val="20"/>
          <w:szCs w:val="20"/>
        </w:rPr>
        <w:t>, which increases synaptic ACh availability. Immunosuppressive therapies (e.g., corticosteroids, steroid-sparing agents) are used for disease control,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IVIG or plasma exchange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reserved for myasthenic crisis or severe exacerbations.</w:t>
      </w:r>
    </w:p>
    <w:p w14:paraId="56F3123D"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Exam pearls</w:t>
      </w:r>
    </w:p>
    <w:p w14:paraId="460F8F0B" w14:textId="77777777" w:rsidR="00A736F8" w:rsidRPr="00EA3FCE" w:rsidRDefault="00A736F8" w:rsidP="00A736F8">
      <w:pPr>
        <w:pStyle w:val="NormalWeb"/>
        <w:numPr>
          <w:ilvl w:val="0"/>
          <w:numId w:val="2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Weakness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worsens with use and improves with rest</w:t>
      </w:r>
    </w:p>
    <w:p w14:paraId="5DEF6D84" w14:textId="77777777" w:rsidR="00A736F8" w:rsidRPr="00EA3FCE" w:rsidRDefault="00A736F8" w:rsidP="00A736F8">
      <w:pPr>
        <w:pStyle w:val="NormalWeb"/>
        <w:numPr>
          <w:ilvl w:val="0"/>
          <w:numId w:val="2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Reflexes and sensation are normal</w:t>
      </w:r>
    </w:p>
    <w:p w14:paraId="45493699" w14:textId="77777777" w:rsidR="00A736F8" w:rsidRPr="00EA3FCE" w:rsidRDefault="00A736F8" w:rsidP="00A736F8">
      <w:pPr>
        <w:pStyle w:val="NormalWeb"/>
        <w:numPr>
          <w:ilvl w:val="0"/>
          <w:numId w:val="2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Ice pack test may transiently improve ptosis</w:t>
      </w:r>
    </w:p>
    <w:p w14:paraId="24C056AA" w14:textId="77777777" w:rsidR="00A736F8" w:rsidRPr="00EA3FCE" w:rsidRDefault="00A736F8" w:rsidP="00A736F8">
      <w:pPr>
        <w:pStyle w:val="NormalWeb"/>
        <w:numPr>
          <w:ilvl w:val="0"/>
          <w:numId w:val="23"/>
        </w:numPr>
        <w:rPr>
          <w:rFonts w:ascii="Open Sans" w:hAnsi="Open Sans" w:cs="Open Sans"/>
          <w:color w:val="000000" w:themeColor="text1"/>
          <w:sz w:val="20"/>
          <w:szCs w:val="20"/>
        </w:rPr>
      </w:pPr>
      <w:r w:rsidRPr="00EA3FCE">
        <w:rPr>
          <w:rFonts w:ascii="Open Sans" w:hAnsi="Open Sans" w:cs="Open Sans"/>
          <w:color w:val="000000" w:themeColor="text1"/>
          <w:sz w:val="20"/>
          <w:szCs w:val="20"/>
        </w:rPr>
        <w:t>Crisis involves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respiratory muscle weakness</w:t>
      </w:r>
    </w:p>
    <w:p w14:paraId="01C96B63"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Lambert–Eaton myasthenic syndrome (LEMS)</w:t>
      </w:r>
      <w:r w:rsidRPr="00EA3FCE">
        <w:rPr>
          <w:rFonts w:ascii="Open Sans" w:hAnsi="Open Sans" w:cs="Open Sans"/>
          <w:color w:val="000000" w:themeColor="text1"/>
          <w:sz w:val="20"/>
          <w:szCs w:val="20"/>
        </w:rPr>
        <w:br/>
        <w:t>LEMS is an autoimmune disorder in which antibodies target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presynaptic voltage-gated calcium channels</w:t>
      </w:r>
      <w:r w:rsidRPr="00EA3FCE">
        <w:rPr>
          <w:rFonts w:ascii="Open Sans" w:hAnsi="Open Sans" w:cs="Open Sans"/>
          <w:color w:val="000000" w:themeColor="text1"/>
          <w:sz w:val="20"/>
          <w:szCs w:val="20"/>
        </w:rPr>
        <w:t>, reducing calcium-dependent ACh release. It is classically associated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 xml:space="preserve">small cell lung </w:t>
      </w:r>
      <w:r w:rsidRPr="00EA3FCE">
        <w:rPr>
          <w:rStyle w:val="Strong"/>
          <w:rFonts w:ascii="Open Sans" w:eastAsiaTheme="majorEastAsia" w:hAnsi="Open Sans" w:cs="Open Sans"/>
          <w:b w:val="0"/>
          <w:bCs w:val="0"/>
          <w:color w:val="000000" w:themeColor="text1"/>
          <w:sz w:val="20"/>
          <w:szCs w:val="20"/>
        </w:rPr>
        <w:lastRenderedPageBreak/>
        <w:t>carcinoma</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as a paraneoplastic syndrome. Patients present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proximal muscle weakness</w:t>
      </w:r>
      <w:r w:rsidRPr="00EA3FCE">
        <w:rPr>
          <w:rFonts w:ascii="Open Sans" w:hAnsi="Open Sans" w:cs="Open Sans"/>
          <w:color w:val="000000" w:themeColor="text1"/>
          <w:sz w:val="20"/>
          <w:szCs w:val="20"/>
        </w:rPr>
        <w:t>, particularly of the lower limbs, often accompanied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autonomic symptoms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such as dry mouth, erectile dysfunction, and constipation. Unlike MG, muscle strength may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transiently improve with repeated activity</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due to facilitation of calcium influx.</w:t>
      </w:r>
    </w:p>
    <w:p w14:paraId="27296E36"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Exam pearls</w:t>
      </w:r>
    </w:p>
    <w:p w14:paraId="7B75DEC3" w14:textId="77777777" w:rsidR="00A736F8" w:rsidRPr="00EA3FCE" w:rsidRDefault="00A736F8" w:rsidP="00A736F8">
      <w:pPr>
        <w:pStyle w:val="NormalWeb"/>
        <w:numPr>
          <w:ilvl w:val="0"/>
          <w:numId w:val="2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Weakness improves with use</w:t>
      </w:r>
    </w:p>
    <w:p w14:paraId="73EFEB2D" w14:textId="77777777" w:rsidR="00A736F8" w:rsidRPr="00EA3FCE" w:rsidRDefault="00A736F8" w:rsidP="00A736F8">
      <w:pPr>
        <w:pStyle w:val="NormalWeb"/>
        <w:numPr>
          <w:ilvl w:val="0"/>
          <w:numId w:val="2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Reflexes are often reduced or absent but may improve after exercise</w:t>
      </w:r>
    </w:p>
    <w:p w14:paraId="561E25CB" w14:textId="77777777" w:rsidR="00A736F8" w:rsidRPr="00EA3FCE" w:rsidRDefault="00A736F8" w:rsidP="00A736F8">
      <w:pPr>
        <w:pStyle w:val="NormalWeb"/>
        <w:numPr>
          <w:ilvl w:val="0"/>
          <w:numId w:val="24"/>
        </w:numPr>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Strong cancer association </w:t>
      </w:r>
      <w:r w:rsidRPr="00EA3FCE">
        <w:rPr>
          <w:rFonts w:ascii="Arial" w:hAnsi="Arial" w:cs="Arial"/>
          <w:color w:val="000000" w:themeColor="text1"/>
          <w:sz w:val="20"/>
          <w:szCs w:val="20"/>
        </w:rPr>
        <w:t>→</w:t>
      </w:r>
      <w:r w:rsidRPr="00EA3FCE">
        <w:rPr>
          <w:rFonts w:ascii="Open Sans" w:hAnsi="Open Sans" w:cs="Open Sans"/>
          <w:color w:val="000000" w:themeColor="text1"/>
          <w:sz w:val="20"/>
          <w:szCs w:val="20"/>
        </w:rPr>
        <w:t xml:space="preserve"> always screen for malignancy</w:t>
      </w:r>
    </w:p>
    <w:p w14:paraId="5D9CADBE"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Botulism</w:t>
      </w:r>
      <w:r w:rsidRPr="00EA3FCE">
        <w:rPr>
          <w:rFonts w:ascii="Open Sans" w:hAnsi="Open Sans" w:cs="Open Sans"/>
          <w:color w:val="000000" w:themeColor="text1"/>
          <w:sz w:val="20"/>
          <w:szCs w:val="20"/>
        </w:rPr>
        <w:br/>
        <w:t>Botulism results from a toxin produced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Clostridium botulinum</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blocks presynaptic ACh release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by cleaving SNARE proteins required for vesicle fusion. This leads to</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flaccid paralysis</w:t>
      </w:r>
      <w:r w:rsidRPr="00EA3FCE">
        <w:rPr>
          <w:rFonts w:ascii="Open Sans" w:hAnsi="Open Sans" w:cs="Open Sans"/>
          <w:color w:val="000000" w:themeColor="text1"/>
          <w:sz w:val="20"/>
          <w:szCs w:val="20"/>
        </w:rPr>
        <w:t>. Clinical features classically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cranial nerve involvement</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(diplopia, ptosis, dysarthria) followed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descending symmetric weakness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autonomic dysfunction.</w:t>
      </w:r>
    </w:p>
    <w:p w14:paraId="5EC2396C"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Exam pearls</w:t>
      </w:r>
    </w:p>
    <w:p w14:paraId="5C21D78C" w14:textId="77777777" w:rsidR="00A736F8" w:rsidRPr="00EA3FCE" w:rsidRDefault="00A736F8" w:rsidP="00A736F8">
      <w:pPr>
        <w:pStyle w:val="NormalWeb"/>
        <w:numPr>
          <w:ilvl w:val="0"/>
          <w:numId w:val="25"/>
        </w:numPr>
        <w:rPr>
          <w:rFonts w:ascii="Open Sans" w:hAnsi="Open Sans" w:cs="Open Sans"/>
          <w:color w:val="000000" w:themeColor="text1"/>
          <w:sz w:val="20"/>
          <w:szCs w:val="20"/>
        </w:rPr>
      </w:pPr>
      <w:r w:rsidRPr="00EA3FCE">
        <w:rPr>
          <w:rFonts w:ascii="Open Sans" w:hAnsi="Open Sans" w:cs="Open Sans"/>
          <w:color w:val="000000" w:themeColor="text1"/>
          <w:sz w:val="20"/>
          <w:szCs w:val="20"/>
        </w:rPr>
        <w:t>Presynaptic blockade of ACh release</w:t>
      </w:r>
    </w:p>
    <w:p w14:paraId="1957049B" w14:textId="77777777" w:rsidR="00A736F8" w:rsidRPr="00EA3FCE" w:rsidRDefault="00A736F8" w:rsidP="00A736F8">
      <w:pPr>
        <w:pStyle w:val="NormalWeb"/>
        <w:numPr>
          <w:ilvl w:val="0"/>
          <w:numId w:val="25"/>
        </w:numPr>
        <w:rPr>
          <w:rFonts w:ascii="Open Sans" w:hAnsi="Open Sans" w:cs="Open Sans"/>
          <w:color w:val="000000" w:themeColor="text1"/>
          <w:sz w:val="20"/>
          <w:szCs w:val="20"/>
        </w:rPr>
      </w:pPr>
      <w:r w:rsidRPr="00EA3FCE">
        <w:rPr>
          <w:rFonts w:ascii="Open Sans" w:hAnsi="Open Sans" w:cs="Open Sans"/>
          <w:color w:val="000000" w:themeColor="text1"/>
          <w:sz w:val="20"/>
          <w:szCs w:val="20"/>
        </w:rPr>
        <w:t>Descending paralysis distinguishes it from Guillain–Barré syndrome</w:t>
      </w:r>
    </w:p>
    <w:p w14:paraId="3A58739E" w14:textId="77777777" w:rsidR="00A736F8" w:rsidRPr="00EA3FCE" w:rsidRDefault="00A736F8" w:rsidP="00A736F8">
      <w:pPr>
        <w:pStyle w:val="NormalWeb"/>
        <w:numPr>
          <w:ilvl w:val="0"/>
          <w:numId w:val="25"/>
        </w:numPr>
        <w:rPr>
          <w:rFonts w:ascii="Open Sans" w:hAnsi="Open Sans" w:cs="Open Sans"/>
          <w:color w:val="000000" w:themeColor="text1"/>
          <w:sz w:val="20"/>
          <w:szCs w:val="20"/>
        </w:rPr>
      </w:pPr>
      <w:r w:rsidRPr="00EA3FCE">
        <w:rPr>
          <w:rFonts w:ascii="Open Sans" w:hAnsi="Open Sans" w:cs="Open Sans"/>
          <w:color w:val="000000" w:themeColor="text1"/>
          <w:sz w:val="20"/>
          <w:szCs w:val="20"/>
        </w:rPr>
        <w:t>No sensory deficits</w:t>
      </w:r>
    </w:p>
    <w:p w14:paraId="6E584EE9"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Organophosphate poisoning</w:t>
      </w:r>
      <w:r w:rsidRPr="00EA3FCE">
        <w:rPr>
          <w:rFonts w:ascii="Open Sans" w:hAnsi="Open Sans" w:cs="Open Sans"/>
          <w:color w:val="000000" w:themeColor="text1"/>
          <w:sz w:val="20"/>
          <w:szCs w:val="20"/>
        </w:rPr>
        <w:br/>
        <w:t>Organophosphates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irreversibly inhibit acetylcholinesterase</w:t>
      </w:r>
      <w:r w:rsidRPr="00EA3FCE">
        <w:rPr>
          <w:rFonts w:ascii="Open Sans" w:hAnsi="Open Sans" w:cs="Open Sans"/>
          <w:color w:val="000000" w:themeColor="text1"/>
          <w:sz w:val="20"/>
          <w:szCs w:val="20"/>
        </w:rPr>
        <w:t>, causing accumulation of ACh at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muscarinic and nicotinic receptors</w:t>
      </w:r>
      <w:r w:rsidRPr="00EA3FCE">
        <w:rPr>
          <w:rFonts w:ascii="Open Sans" w:hAnsi="Open Sans" w:cs="Open Sans"/>
          <w:color w:val="000000" w:themeColor="text1"/>
          <w:sz w:val="20"/>
          <w:szCs w:val="20"/>
        </w:rPr>
        <w:t>. This results in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cholinergic toxidrome</w:t>
      </w:r>
      <w:r w:rsidRPr="00EA3FCE">
        <w:rPr>
          <w:rFonts w:ascii="Open Sans" w:hAnsi="Open Sans" w:cs="Open Sans"/>
          <w:color w:val="000000" w:themeColor="text1"/>
          <w:sz w:val="20"/>
          <w:szCs w:val="20"/>
        </w:rPr>
        <w:t>. Muscarinic effects include salivation, lacrimation, urination, diarrhea, gastrointestinal cramping, emesis, bronchorrhea, bronchospasm, and bradycardia. Nicotinic effects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muscle fasciculations, weakness, and paralysis</w:t>
      </w:r>
      <w:r w:rsidRPr="00EA3FCE">
        <w:rPr>
          <w:rFonts w:ascii="Open Sans" w:hAnsi="Open Sans" w:cs="Open Sans"/>
          <w:color w:val="000000" w:themeColor="text1"/>
          <w:sz w:val="20"/>
          <w:szCs w:val="20"/>
        </w:rPr>
        <w:t>; CNS effects may include seizures and altered mental status.</w:t>
      </w:r>
    </w:p>
    <w:p w14:paraId="4CD82AAB"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Management includes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atropine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(muscarinic antagonist),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pralidoxime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(reactivates acetylcholinesterase if given early), and aggressive supportive care, particularly airway management.</w:t>
      </w:r>
    </w:p>
    <w:p w14:paraId="1BE9BCDD" w14:textId="77777777" w:rsidR="00A736F8" w:rsidRPr="00EA3FCE" w:rsidRDefault="00A736F8" w:rsidP="00A736F8">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High-yield comparison pearl</w:t>
      </w:r>
    </w:p>
    <w:p w14:paraId="70FF1C7C" w14:textId="77777777" w:rsidR="00A736F8" w:rsidRPr="00EA3FCE" w:rsidRDefault="00A736F8" w:rsidP="00A736F8">
      <w:pPr>
        <w:pStyle w:val="NormalWeb"/>
        <w:numPr>
          <w:ilvl w:val="0"/>
          <w:numId w:val="2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MG: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postsynaptic</w:t>
      </w:r>
      <w:r w:rsidRPr="00EA3FCE">
        <w:rPr>
          <w:rFonts w:ascii="Open Sans" w:hAnsi="Open Sans" w:cs="Open Sans"/>
          <w:color w:val="000000" w:themeColor="text1"/>
          <w:sz w:val="20"/>
          <w:szCs w:val="20"/>
        </w:rPr>
        <w:t>, worse with use</w:t>
      </w:r>
    </w:p>
    <w:p w14:paraId="05F4B5B7" w14:textId="77777777" w:rsidR="00A736F8" w:rsidRPr="00EA3FCE" w:rsidRDefault="00A736F8" w:rsidP="00A736F8">
      <w:pPr>
        <w:pStyle w:val="NormalWeb"/>
        <w:numPr>
          <w:ilvl w:val="0"/>
          <w:numId w:val="2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LEMS: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presynaptic</w:t>
      </w:r>
      <w:r w:rsidRPr="00EA3FCE">
        <w:rPr>
          <w:rFonts w:ascii="Open Sans" w:hAnsi="Open Sans" w:cs="Open Sans"/>
          <w:color w:val="000000" w:themeColor="text1"/>
          <w:sz w:val="20"/>
          <w:szCs w:val="20"/>
        </w:rPr>
        <w:t>, improves with use</w:t>
      </w:r>
    </w:p>
    <w:p w14:paraId="17EBD9EA" w14:textId="77777777" w:rsidR="00A736F8" w:rsidRPr="00EA3FCE" w:rsidRDefault="00A736F8" w:rsidP="00A736F8">
      <w:pPr>
        <w:pStyle w:val="NormalWeb"/>
        <w:numPr>
          <w:ilvl w:val="0"/>
          <w:numId w:val="2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Botulism:</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toxin-mediated presynaptic block</w:t>
      </w:r>
    </w:p>
    <w:p w14:paraId="4E13B4D5" w14:textId="77777777" w:rsidR="00A736F8" w:rsidRPr="00EA3FCE" w:rsidRDefault="00A736F8" w:rsidP="00A736F8">
      <w:pPr>
        <w:pStyle w:val="NormalWeb"/>
        <w:numPr>
          <w:ilvl w:val="0"/>
          <w:numId w:val="26"/>
        </w:numPr>
        <w:rPr>
          <w:rFonts w:ascii="Open Sans" w:hAnsi="Open Sans" w:cs="Open Sans"/>
          <w:color w:val="000000" w:themeColor="text1"/>
          <w:sz w:val="20"/>
          <w:szCs w:val="20"/>
        </w:rPr>
      </w:pPr>
      <w:r w:rsidRPr="00EA3FCE">
        <w:rPr>
          <w:rFonts w:ascii="Open Sans" w:hAnsi="Open Sans" w:cs="Open Sans"/>
          <w:color w:val="000000" w:themeColor="text1"/>
          <w:sz w:val="20"/>
          <w:szCs w:val="20"/>
        </w:rPr>
        <w:t>Organophosphates: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ACh excess due to enzyme inhibition</w:t>
      </w:r>
    </w:p>
    <w:p w14:paraId="087724D1" w14:textId="77777777" w:rsidR="009F6892" w:rsidRPr="00EA3FCE" w:rsidRDefault="009F6892" w:rsidP="009F6892">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Drugs Affecting the Neuromuscular Junction (Common Exam Associations)</w:t>
      </w:r>
      <w:r w:rsidRPr="00EA3FCE">
        <w:rPr>
          <w:rFonts w:ascii="Open Sans" w:hAnsi="Open Sans" w:cs="Open Sans"/>
          <w:color w:val="000000" w:themeColor="text1"/>
          <w:sz w:val="20"/>
          <w:szCs w:val="20"/>
        </w:rPr>
        <w:br/>
      </w:r>
      <w:r w:rsidRPr="00EA3FCE">
        <w:rPr>
          <w:rStyle w:val="Strong"/>
          <w:rFonts w:ascii="Open Sans" w:eastAsiaTheme="majorEastAsia" w:hAnsi="Open Sans" w:cs="Open Sans"/>
          <w:b w:val="0"/>
          <w:bCs w:val="0"/>
          <w:color w:val="000000" w:themeColor="text1"/>
          <w:sz w:val="20"/>
          <w:szCs w:val="20"/>
        </w:rPr>
        <w:t>Botulinum toxin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used therapeutically (e.g., dystonia, spasticity, cosmetic use) but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blocks presynaptic acetylcholine (ACh) release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by cleaving SNARE proteins, resulting in flaccid paralysis.</w:t>
      </w:r>
      <w:r w:rsidRPr="00EA3FCE">
        <w:rPr>
          <w:rFonts w:ascii="Open Sans" w:hAnsi="Open Sans" w:cs="Open Sans"/>
          <w:color w:val="000000" w:themeColor="text1"/>
          <w:sz w:val="20"/>
          <w:szCs w:val="20"/>
        </w:rPr>
        <w:br/>
      </w:r>
      <w:r w:rsidRPr="00EA3FCE">
        <w:rPr>
          <w:rStyle w:val="Strong"/>
          <w:rFonts w:ascii="Open Sans" w:eastAsiaTheme="majorEastAsia" w:hAnsi="Open Sans" w:cs="Open Sans"/>
          <w:b w:val="0"/>
          <w:bCs w:val="0"/>
          <w:color w:val="000000" w:themeColor="text1"/>
          <w:sz w:val="20"/>
          <w:szCs w:val="20"/>
        </w:rPr>
        <w:t>Aminoglycoside antibiotics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impair</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calcium-dependent ACh release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can worsen neuromuscular transmission; this is particularly important in patients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myasthenia gravis</w:t>
      </w:r>
      <w:r w:rsidRPr="00EA3FCE">
        <w:rPr>
          <w:rFonts w:ascii="Open Sans" w:hAnsi="Open Sans" w:cs="Open Sans"/>
          <w:color w:val="000000" w:themeColor="text1"/>
          <w:sz w:val="20"/>
          <w:szCs w:val="20"/>
        </w:rPr>
        <w:t>.</w:t>
      </w:r>
      <w:r w:rsidRPr="00EA3FCE">
        <w:rPr>
          <w:rFonts w:ascii="Open Sans" w:hAnsi="Open Sans" w:cs="Open Sans"/>
          <w:color w:val="000000" w:themeColor="text1"/>
          <w:sz w:val="20"/>
          <w:szCs w:val="20"/>
        </w:rPr>
        <w:br/>
      </w:r>
      <w:r w:rsidRPr="00EA3FCE">
        <w:rPr>
          <w:rStyle w:val="Strong"/>
          <w:rFonts w:ascii="Open Sans" w:eastAsiaTheme="majorEastAsia" w:hAnsi="Open Sans" w:cs="Open Sans"/>
          <w:b w:val="0"/>
          <w:bCs w:val="0"/>
          <w:color w:val="000000" w:themeColor="text1"/>
          <w:sz w:val="20"/>
          <w:szCs w:val="20"/>
        </w:rPr>
        <w:t>Magnesium</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competes with calcium at presynaptic terminals and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reduces ACh release</w:t>
      </w:r>
      <w:r w:rsidRPr="00EA3FCE">
        <w:rPr>
          <w:rFonts w:ascii="Open Sans" w:hAnsi="Open Sans" w:cs="Open Sans"/>
          <w:color w:val="000000" w:themeColor="text1"/>
          <w:sz w:val="20"/>
          <w:szCs w:val="20"/>
        </w:rPr>
        <w:t xml:space="preserve">; clinically </w:t>
      </w:r>
      <w:r w:rsidRPr="00EA3FCE">
        <w:rPr>
          <w:rFonts w:ascii="Open Sans" w:hAnsi="Open Sans" w:cs="Open Sans"/>
          <w:color w:val="000000" w:themeColor="text1"/>
          <w:sz w:val="20"/>
          <w:szCs w:val="20"/>
        </w:rPr>
        <w:lastRenderedPageBreak/>
        <w:t>relevant in settings such as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preeclampsia/eclampsia treatment</w:t>
      </w:r>
      <w:r w:rsidRPr="00EA3FCE">
        <w:rPr>
          <w:rFonts w:ascii="Open Sans" w:hAnsi="Open Sans" w:cs="Open Sans"/>
          <w:color w:val="000000" w:themeColor="text1"/>
          <w:sz w:val="20"/>
          <w:szCs w:val="20"/>
        </w:rPr>
        <w:t>, where excessive magnesium can cause muscle weakness, hyporeflexia, and respiratory depression.</w:t>
      </w:r>
    </w:p>
    <w:p w14:paraId="5DCC15E1" w14:textId="77777777" w:rsidR="009F6892" w:rsidRPr="00EA3FCE" w:rsidRDefault="009F6892" w:rsidP="009F6892">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Neuromuscular Blocking Agents</w:t>
      </w:r>
      <w:r w:rsidRPr="00EA3FCE">
        <w:rPr>
          <w:rFonts w:ascii="Open Sans" w:hAnsi="Open Sans" w:cs="Open Sans"/>
          <w:color w:val="000000" w:themeColor="text1"/>
          <w:sz w:val="20"/>
          <w:szCs w:val="20"/>
        </w:rPr>
        <w:br/>
      </w:r>
      <w:r w:rsidRPr="00EA3FCE">
        <w:rPr>
          <w:rStyle w:val="Strong"/>
          <w:rFonts w:ascii="Open Sans" w:eastAsiaTheme="majorEastAsia" w:hAnsi="Open Sans" w:cs="Open Sans"/>
          <w:b w:val="0"/>
          <w:bCs w:val="0"/>
          <w:color w:val="000000" w:themeColor="text1"/>
          <w:sz w:val="20"/>
          <w:szCs w:val="20"/>
        </w:rPr>
        <w:t>Non-depolarizing neuromuscular blockers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(e.g., rocuronium, vecuronium, pancuronium) are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competitive antagonists at nicotinic ACh receptors</w:t>
      </w:r>
      <w:r w:rsidRPr="00EA3FCE">
        <w:rPr>
          <w:rFonts w:ascii="Open Sans" w:hAnsi="Open Sans" w:cs="Open Sans"/>
          <w:color w:val="000000" w:themeColor="text1"/>
          <w:sz w:val="20"/>
          <w:szCs w:val="20"/>
        </w:rPr>
        <w:t>, preventing depolarization of the motor end plate and causing paralysis. Their effects can be reversed with</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acetylcholinesterase inhibitors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(e.g., neostigmine);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sugammadex</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may be used to reverse certain agents (e.g., rocuronium) depending on institutional protocols.</w:t>
      </w:r>
    </w:p>
    <w:p w14:paraId="79703C2A" w14:textId="77777777" w:rsidR="009F6892" w:rsidRPr="00EA3FCE" w:rsidRDefault="009F6892" w:rsidP="009F6892">
      <w:pPr>
        <w:pStyle w:val="NormalWeb"/>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Depolarizing neuromuscular blocker (succinylcholine)</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is a</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nicotinic receptor agonist</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that causes sustained depolarization, rendering the muscle fiber refractory and leading to paralysis.</w:t>
      </w:r>
      <w:r w:rsidRPr="00EA3FCE">
        <w:rPr>
          <w:rFonts w:ascii="Open Sans" w:hAnsi="Open Sans" w:cs="Open Sans"/>
          <w:color w:val="000000" w:themeColor="text1"/>
          <w:sz w:val="20"/>
          <w:szCs w:val="20"/>
        </w:rPr>
        <w:br/>
        <w:t>High-yield adverse effects include:</w:t>
      </w:r>
    </w:p>
    <w:p w14:paraId="61C118E2" w14:textId="77777777" w:rsidR="009F6892" w:rsidRPr="00EA3FCE" w:rsidRDefault="009F6892" w:rsidP="009F6892">
      <w:pPr>
        <w:pStyle w:val="NormalWeb"/>
        <w:numPr>
          <w:ilvl w:val="0"/>
          <w:numId w:val="27"/>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Hyperkalemia</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(especially in burns, denervation injury, neuromuscular disease, prolonged immobilization)</w:t>
      </w:r>
    </w:p>
    <w:p w14:paraId="47E47915" w14:textId="77777777" w:rsidR="009F6892" w:rsidRPr="00EA3FCE" w:rsidRDefault="009F6892" w:rsidP="009F6892">
      <w:pPr>
        <w:pStyle w:val="NormalWeb"/>
        <w:numPr>
          <w:ilvl w:val="0"/>
          <w:numId w:val="27"/>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Malignant hyperthermia susceptibility</w:t>
      </w:r>
    </w:p>
    <w:p w14:paraId="2305F272" w14:textId="77777777" w:rsidR="009F6892" w:rsidRPr="00EA3FCE" w:rsidRDefault="009F6892" w:rsidP="009F6892">
      <w:pPr>
        <w:pStyle w:val="NormalWeb"/>
        <w:numPr>
          <w:ilvl w:val="0"/>
          <w:numId w:val="27"/>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Bradyarrhythmias</w:t>
      </w:r>
      <w:r w:rsidRPr="00EA3FCE">
        <w:rPr>
          <w:rFonts w:ascii="Open Sans" w:hAnsi="Open Sans" w:cs="Open Sans"/>
          <w:color w:val="000000" w:themeColor="text1"/>
          <w:sz w:val="20"/>
          <w:szCs w:val="20"/>
        </w:rPr>
        <w:t>, particularly with repeat dosing or pediatric use</w:t>
      </w:r>
    </w:p>
    <w:p w14:paraId="3632D4C2" w14:textId="77777777" w:rsidR="009F6892" w:rsidRPr="00EA3FCE" w:rsidRDefault="009F6892" w:rsidP="009F6892">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Rhabdomyolysis (Pathophysiology, Diagnosis, Treatment)</w:t>
      </w:r>
      <w:r w:rsidRPr="00EA3FCE">
        <w:rPr>
          <w:rFonts w:ascii="Open Sans" w:hAnsi="Open Sans" w:cs="Open Sans"/>
          <w:color w:val="000000" w:themeColor="text1"/>
          <w:sz w:val="20"/>
          <w:szCs w:val="20"/>
        </w:rPr>
        <w:br/>
        <w:t>Rhabdomyolysis is an acute skeletal muscle injury characterized by</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sarcolemma disruption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leakage of intracellular contents, including</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creatine kinase (CK), myoglobin, lactate dehydrogenase, potassium, and phosphate</w:t>
      </w:r>
      <w:r w:rsidRPr="00EA3FCE">
        <w:rPr>
          <w:rFonts w:ascii="Open Sans" w:hAnsi="Open Sans" w:cs="Open Sans"/>
          <w:color w:val="000000" w:themeColor="text1"/>
          <w:sz w:val="20"/>
          <w:szCs w:val="20"/>
        </w:rPr>
        <w:t>. The classic triad (myalgias, weakness, dark urine) is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often absent</w:t>
      </w:r>
      <w:r w:rsidRPr="00EA3FCE">
        <w:rPr>
          <w:rFonts w:ascii="Open Sans" w:hAnsi="Open Sans" w:cs="Open Sans"/>
          <w:color w:val="000000" w:themeColor="text1"/>
          <w:sz w:val="20"/>
          <w:szCs w:val="20"/>
        </w:rPr>
        <w:t>, and diagnosis is typically based on</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markedly elevated CK</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with assessment of renal function and electrolytes.</w:t>
      </w:r>
    </w:p>
    <w:p w14:paraId="5718EC0B" w14:textId="77777777" w:rsidR="009F6892" w:rsidRPr="00EA3FCE" w:rsidRDefault="009F6892" w:rsidP="009F6892">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Major complications include:</w:t>
      </w:r>
    </w:p>
    <w:p w14:paraId="72244C77" w14:textId="77777777" w:rsidR="009F6892" w:rsidRPr="00EA3FCE" w:rsidRDefault="009F6892" w:rsidP="009F6892">
      <w:pPr>
        <w:pStyle w:val="NormalWeb"/>
        <w:numPr>
          <w:ilvl w:val="0"/>
          <w:numId w:val="28"/>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Acute kidney injury</w:t>
      </w:r>
      <w:r w:rsidRPr="00EA3FCE">
        <w:rPr>
          <w:rFonts w:ascii="Open Sans" w:hAnsi="Open Sans" w:cs="Open Sans"/>
          <w:color w:val="000000" w:themeColor="text1"/>
          <w:sz w:val="20"/>
          <w:szCs w:val="20"/>
        </w:rPr>
        <w:t>, due to myoglobin-induced tubular toxicity, obstruction, and renal vasoconstriction</w:t>
      </w:r>
    </w:p>
    <w:p w14:paraId="759675B3" w14:textId="77777777" w:rsidR="009F6892" w:rsidRPr="00EA3FCE" w:rsidRDefault="009F6892" w:rsidP="009F6892">
      <w:pPr>
        <w:pStyle w:val="NormalWeb"/>
        <w:numPr>
          <w:ilvl w:val="0"/>
          <w:numId w:val="28"/>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Hyperkalemia</w:t>
      </w:r>
      <w:r w:rsidRPr="00EA3FCE">
        <w:rPr>
          <w:rFonts w:ascii="Open Sans" w:hAnsi="Open Sans" w:cs="Open Sans"/>
          <w:color w:val="000000" w:themeColor="text1"/>
          <w:sz w:val="20"/>
          <w:szCs w:val="20"/>
        </w:rPr>
        <w:t>, posing an immediate risk of cardiac arrhythmias</w:t>
      </w:r>
    </w:p>
    <w:p w14:paraId="282E59A0" w14:textId="77777777" w:rsidR="009F6892" w:rsidRPr="00EA3FCE" w:rsidRDefault="009F6892" w:rsidP="009F6892">
      <w:pPr>
        <w:pStyle w:val="NormalWeb"/>
        <w:numPr>
          <w:ilvl w:val="0"/>
          <w:numId w:val="28"/>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Hyperphosphatemia</w:t>
      </w:r>
    </w:p>
    <w:p w14:paraId="153123DF" w14:textId="77777777" w:rsidR="009F6892" w:rsidRPr="00EA3FCE" w:rsidRDefault="009F6892" w:rsidP="009F6892">
      <w:pPr>
        <w:pStyle w:val="NormalWeb"/>
        <w:numPr>
          <w:ilvl w:val="0"/>
          <w:numId w:val="28"/>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Early hypocalcemia</w:t>
      </w:r>
      <w:r w:rsidRPr="00EA3FCE">
        <w:rPr>
          <w:rFonts w:ascii="Open Sans" w:hAnsi="Open Sans" w:cs="Open Sans"/>
          <w:color w:val="000000" w:themeColor="text1"/>
          <w:sz w:val="20"/>
          <w:szCs w:val="20"/>
        </w:rPr>
        <w:t>, due to calcium sequestration in injured muscle and calcium-phosphate complex formation</w:t>
      </w:r>
    </w:p>
    <w:p w14:paraId="1939E633" w14:textId="77777777" w:rsidR="009F6892" w:rsidRPr="00EA3FCE" w:rsidRDefault="009F6892" w:rsidP="009F6892">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priorities are evidence based and include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early, aggressive isotonic IV fluid resuscitation</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to preserve renal perfusion and enhance myoglobin clearance, tailored to volume status.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Routine urine alkalinization with bicarbonate or mannitol is not recommended</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 most cases, as evidence does not show clear benefit over saline alone; bicarbonate may be used selectively for</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concurrent metabolic acidosis or hyperkalemia</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depending on clinical context and local protocols.</w:t>
      </w:r>
    </w:p>
    <w:p w14:paraId="5D40F13E" w14:textId="77777777" w:rsidR="009F6892" w:rsidRPr="00EA3FCE" w:rsidRDefault="009F6892" w:rsidP="009F6892">
      <w:pPr>
        <w:pStyle w:val="NormalWeb"/>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Indications for dialysis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include refractory hyperkalemia, severe metabolic acidosis, volume overload, or established severe acute kidney injury with complications.</w:t>
      </w:r>
    </w:p>
    <w:p w14:paraId="1F73B2A3" w14:textId="77777777" w:rsidR="009F6892" w:rsidRPr="00EA3FCE" w:rsidRDefault="009F6892" w:rsidP="009F6892">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Integrated Exam “Connectors”</w:t>
      </w:r>
      <w:r w:rsidRPr="00EA3FCE">
        <w:rPr>
          <w:rFonts w:ascii="Open Sans" w:hAnsi="Open Sans" w:cs="Open Sans"/>
          <w:color w:val="000000" w:themeColor="text1"/>
          <w:sz w:val="20"/>
          <w:szCs w:val="20"/>
        </w:rPr>
        <w:br/>
        <w:t>Chronic inflammation shifts bone remodeling toward</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osteoclast-mediated resorption</w:t>
      </w:r>
      <w:r w:rsidRPr="00EA3FCE">
        <w:rPr>
          <w:rFonts w:ascii="Open Sans" w:hAnsi="Open Sans" w:cs="Open Sans"/>
          <w:color w:val="000000" w:themeColor="text1"/>
          <w:sz w:val="20"/>
          <w:szCs w:val="20"/>
        </w:rPr>
        <w:t>, explaining why inflammatory diseases and long-term glucocorticoid exposure increase osteoporosis risk.</w:t>
      </w:r>
      <w:r w:rsidRPr="00EA3FCE">
        <w:rPr>
          <w:rFonts w:ascii="Open Sans" w:hAnsi="Open Sans" w:cs="Open Sans"/>
          <w:color w:val="000000" w:themeColor="text1"/>
          <w:sz w:val="20"/>
          <w:szCs w:val="20"/>
        </w:rPr>
        <w:br/>
      </w:r>
      <w:r w:rsidRPr="00EA3FCE">
        <w:rPr>
          <w:rFonts w:ascii="Open Sans" w:hAnsi="Open Sans" w:cs="Open Sans"/>
          <w:color w:val="000000" w:themeColor="text1"/>
          <w:sz w:val="20"/>
          <w:szCs w:val="20"/>
        </w:rPr>
        <w:lastRenderedPageBreak/>
        <w:t>The</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RANK/RANKL pathway</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links multiple conditions: it explains</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RA-associated bone erosions</w:t>
      </w:r>
      <w:r w:rsidRPr="00EA3FCE">
        <w:rPr>
          <w:rStyle w:val="apple-converted-space"/>
          <w:rFonts w:ascii="Open Sans" w:eastAsiaTheme="majorEastAsia" w:hAnsi="Open Sans" w:cs="Open Sans"/>
          <w:color w:val="000000" w:themeColor="text1"/>
          <w:sz w:val="20"/>
          <w:szCs w:val="20"/>
        </w:rPr>
        <w:t> </w:t>
      </w:r>
      <w:r w:rsidRPr="00EA3FCE">
        <w:rPr>
          <w:rFonts w:ascii="Open Sans" w:hAnsi="Open Sans" w:cs="Open Sans"/>
          <w:color w:val="000000" w:themeColor="text1"/>
          <w:sz w:val="20"/>
          <w:szCs w:val="20"/>
        </w:rPr>
        <w:t>and underlies the effectiveness of</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denosumab in osteoporosis</w:t>
      </w:r>
      <w:r w:rsidRPr="00EA3FCE">
        <w:rPr>
          <w:rFonts w:ascii="Open Sans" w:hAnsi="Open Sans" w:cs="Open Sans"/>
          <w:color w:val="000000" w:themeColor="text1"/>
          <w:sz w:val="20"/>
          <w:szCs w:val="20"/>
        </w:rPr>
        <w:t>.</w:t>
      </w:r>
      <w:r w:rsidRPr="00EA3FCE">
        <w:rPr>
          <w:rFonts w:ascii="Open Sans" w:hAnsi="Open Sans" w:cs="Open Sans"/>
          <w:color w:val="000000" w:themeColor="text1"/>
          <w:sz w:val="20"/>
          <w:szCs w:val="20"/>
        </w:rPr>
        <w:br/>
        <w:t>When evaluating muscle weakness, first</w:t>
      </w:r>
      <w:r w:rsidRPr="00EA3FCE">
        <w:rPr>
          <w:rStyle w:val="apple-converted-space"/>
          <w:rFonts w:ascii="Open Sans" w:eastAsiaTheme="majorEastAsia" w:hAnsi="Open Sans" w:cs="Open Sans"/>
          <w:color w:val="000000" w:themeColor="text1"/>
          <w:sz w:val="20"/>
          <w:szCs w:val="20"/>
        </w:rPr>
        <w:t> </w:t>
      </w:r>
      <w:r w:rsidRPr="00EA3FCE">
        <w:rPr>
          <w:rStyle w:val="Strong"/>
          <w:rFonts w:ascii="Open Sans" w:eastAsiaTheme="majorEastAsia" w:hAnsi="Open Sans" w:cs="Open Sans"/>
          <w:b w:val="0"/>
          <w:bCs w:val="0"/>
          <w:color w:val="000000" w:themeColor="text1"/>
          <w:sz w:val="20"/>
          <w:szCs w:val="20"/>
        </w:rPr>
        <w:t>localize the lesion</w:t>
      </w:r>
      <w:r w:rsidRPr="00EA3FCE">
        <w:rPr>
          <w:rFonts w:ascii="Open Sans" w:hAnsi="Open Sans" w:cs="Open Sans"/>
          <w:color w:val="000000" w:themeColor="text1"/>
          <w:sz w:val="20"/>
          <w:szCs w:val="20"/>
        </w:rPr>
        <w:t>:</w:t>
      </w:r>
    </w:p>
    <w:p w14:paraId="3498EC42" w14:textId="77777777" w:rsidR="009F6892" w:rsidRPr="00EA3FCE" w:rsidRDefault="009F6892" w:rsidP="009F6892">
      <w:pPr>
        <w:pStyle w:val="NormalWeb"/>
        <w:numPr>
          <w:ilvl w:val="0"/>
          <w:numId w:val="29"/>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Neuromuscular junction</w:t>
      </w:r>
      <w:r w:rsidRPr="00EA3FCE">
        <w:rPr>
          <w:rFonts w:ascii="Open Sans" w:hAnsi="Open Sans" w:cs="Open Sans"/>
          <w:color w:val="000000" w:themeColor="text1"/>
          <w:sz w:val="20"/>
          <w:szCs w:val="20"/>
        </w:rPr>
        <w:t>: fatigability (MG), autonomic/paraneoplastic features (LEMS), toxin exposure</w:t>
      </w:r>
    </w:p>
    <w:p w14:paraId="69AC8008" w14:textId="77777777" w:rsidR="009F6892" w:rsidRPr="00EA3FCE" w:rsidRDefault="009F6892" w:rsidP="009F6892">
      <w:pPr>
        <w:pStyle w:val="NormalWeb"/>
        <w:numPr>
          <w:ilvl w:val="0"/>
          <w:numId w:val="29"/>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Muscle injury</w:t>
      </w:r>
      <w:r w:rsidRPr="00EA3FCE">
        <w:rPr>
          <w:rFonts w:ascii="Open Sans" w:hAnsi="Open Sans" w:cs="Open Sans"/>
          <w:color w:val="000000" w:themeColor="text1"/>
          <w:sz w:val="20"/>
          <w:szCs w:val="20"/>
        </w:rPr>
        <w:t>: dark urine, markedly elevated CK (rhabdomyolysis)</w:t>
      </w:r>
    </w:p>
    <w:p w14:paraId="19B8ADDE" w14:textId="77777777" w:rsidR="009F6892" w:rsidRPr="00EA3FCE" w:rsidRDefault="009F6892" w:rsidP="009F6892">
      <w:pPr>
        <w:pStyle w:val="NormalWeb"/>
        <w:numPr>
          <w:ilvl w:val="0"/>
          <w:numId w:val="29"/>
        </w:numPr>
        <w:rPr>
          <w:rFonts w:ascii="Open Sans" w:hAnsi="Open Sans" w:cs="Open Sans"/>
          <w:color w:val="000000" w:themeColor="text1"/>
          <w:sz w:val="20"/>
          <w:szCs w:val="20"/>
        </w:rPr>
      </w:pPr>
      <w:r w:rsidRPr="00EA3FCE">
        <w:rPr>
          <w:rStyle w:val="Strong"/>
          <w:rFonts w:ascii="Open Sans" w:eastAsiaTheme="majorEastAsia" w:hAnsi="Open Sans" w:cs="Open Sans"/>
          <w:b w:val="0"/>
          <w:bCs w:val="0"/>
          <w:color w:val="000000" w:themeColor="text1"/>
          <w:sz w:val="20"/>
          <w:szCs w:val="20"/>
        </w:rPr>
        <w:t>Central or peripheral nerve</w:t>
      </w:r>
      <w:r w:rsidRPr="00EA3FCE">
        <w:rPr>
          <w:rFonts w:ascii="Open Sans" w:hAnsi="Open Sans" w:cs="Open Sans"/>
          <w:color w:val="000000" w:themeColor="text1"/>
          <w:sz w:val="20"/>
          <w:szCs w:val="20"/>
        </w:rPr>
        <w:t>: sensory deficits, reflex changes</w:t>
      </w:r>
    </w:p>
    <w:p w14:paraId="602860AD" w14:textId="77777777" w:rsidR="00AC258D" w:rsidRPr="00EA3FCE" w:rsidRDefault="00AC258D" w:rsidP="00AC258D">
      <w:pPr>
        <w:spacing w:after="100" w:afterAutospacing="1"/>
        <w:outlineLvl w:val="1"/>
        <w:rPr>
          <w:rFonts w:ascii="Open Sans" w:hAnsi="Open Sans" w:cs="Open Sans"/>
          <w:color w:val="000000" w:themeColor="text1"/>
          <w:sz w:val="20"/>
          <w:szCs w:val="20"/>
        </w:rPr>
      </w:pPr>
      <w:r w:rsidRPr="00EA3FCE">
        <w:rPr>
          <w:rFonts w:ascii="Open Sans" w:hAnsi="Open Sans" w:cs="Open Sans"/>
          <w:color w:val="000000" w:themeColor="text1"/>
          <w:sz w:val="20"/>
          <w:szCs w:val="20"/>
        </w:rPr>
        <w:t>Osteoarthritis</w:t>
      </w:r>
    </w:p>
    <w:p w14:paraId="0811A5CB"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Osteoarthritis (OA) is the most common form of arthritis, and it is a debilitating, progressive disease that primarily affects the elderly. It can affect any joint (most common are knees, hips, distal interphalangeal joints of the hands, and cervical and lumbosacral spine) and is a degenerative disease with gradual loss of articular cartilage, osteophyte formation, subchondral bone sclerosis, joint space narrowing, and increased bone stiffness (gelling). The World Health Organization (WHO) estimates that 10% of the world’s people over the age of 60 suffer from OA. Of that group, 80% have limitation of movement and 25% cannot perform their major daily activities. Reflecting WHO’s estimates, 10% of Canada’s elderly population is affected by OA.</w:t>
      </w:r>
    </w:p>
    <w:p w14:paraId="2812012A" w14:textId="77777777" w:rsidR="00AC258D" w:rsidRPr="00EA3FCE" w:rsidRDefault="00AC258D" w:rsidP="00AC258D">
      <w:pPr>
        <w:numPr>
          <w:ilvl w:val="0"/>
          <w:numId w:val="3"/>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OA is higher in Canadian males over 45 years of age than women of that age.</w:t>
      </w:r>
    </w:p>
    <w:p w14:paraId="55C3665F" w14:textId="77777777" w:rsidR="00AC258D" w:rsidRPr="00EA3FCE" w:rsidRDefault="00AC258D" w:rsidP="00AC258D">
      <w:pPr>
        <w:numPr>
          <w:ilvl w:val="0"/>
          <w:numId w:val="3"/>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OA is higher in Canadian females under 55 years of age than in men of that age.</w:t>
      </w:r>
    </w:p>
    <w:p w14:paraId="443B3A9B" w14:textId="77777777" w:rsidR="00AC258D" w:rsidRPr="00EA3FCE" w:rsidRDefault="00AC258D" w:rsidP="00AC258D">
      <w:pPr>
        <w:numPr>
          <w:ilvl w:val="0"/>
          <w:numId w:val="3"/>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OA is present in most people by the time they reach 70, and both males and females are equally affected by it when all ages are considered.</w:t>
      </w:r>
    </w:p>
    <w:p w14:paraId="2F441BF5" w14:textId="77777777" w:rsidR="00AC258D" w:rsidRPr="00EA3FCE" w:rsidRDefault="00AC258D" w:rsidP="00AC258D">
      <w:pPr>
        <w:numPr>
          <w:ilvl w:val="0"/>
          <w:numId w:val="3"/>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Radiological evidence of OA is found in 70% of Canadians over 65.</w:t>
      </w:r>
    </w:p>
    <w:p w14:paraId="62F16310" w14:textId="77777777" w:rsidR="00AC258D" w:rsidRPr="00EA3FCE" w:rsidRDefault="00AC258D" w:rsidP="00AC258D">
      <w:pPr>
        <w:numPr>
          <w:ilvl w:val="0"/>
          <w:numId w:val="3"/>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prevalence of OA in all joints increases with age. More than a third of people over 45-years-old report joint symptoms that vary from a sensation of occasional joint stiffness to intermittent aching associated with activity.</w:t>
      </w:r>
    </w:p>
    <w:p w14:paraId="61724D94" w14:textId="77777777" w:rsidR="00AC258D" w:rsidRPr="00EA3FCE" w:rsidRDefault="00AC258D" w:rsidP="00AC258D">
      <w:pPr>
        <w:numPr>
          <w:ilvl w:val="0"/>
          <w:numId w:val="3"/>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After age 40 the incidence of OA in all joints increases rapidly with each passing decade, and in most joints the incidence is greater in women than in men.</w:t>
      </w:r>
    </w:p>
    <w:p w14:paraId="79170EC3"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There are primarily two types of OA:</w:t>
      </w:r>
    </w:p>
    <w:p w14:paraId="049E538B" w14:textId="77777777" w:rsidR="00AC258D" w:rsidRPr="00EA3FCE" w:rsidRDefault="00AC258D" w:rsidP="00AC258D">
      <w:pPr>
        <w:numPr>
          <w:ilvl w:val="0"/>
          <w:numId w:val="4"/>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primary or idiopathic (i.e., of unknown etiology) OA</w:t>
      </w:r>
    </w:p>
    <w:p w14:paraId="48F7A2FC" w14:textId="77777777" w:rsidR="00AC258D" w:rsidRPr="00EA3FCE" w:rsidRDefault="00AC258D" w:rsidP="00AC258D">
      <w:pPr>
        <w:numPr>
          <w:ilvl w:val="0"/>
          <w:numId w:val="4"/>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secondary OA that has a known cause, such as injury, disease, or congenital pathology.</w:t>
      </w:r>
    </w:p>
    <w:p w14:paraId="5F346CD2"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Although OA, like most other forms of arthritis, involves degeneration of articular cartilage, what distinguishes OA is the formation of new bone (osteophytes). Articular cartilage, which is primarily hyaline cartilage, is normally rich in collagen, proteoglycans, and water. In OA, there is a reduction of proteoglycans, which reduces the ability of the cartilage to withstand mechanical stress. Traditionally, OA has been labelled a </w:t>
      </w:r>
      <w:r w:rsidRPr="00EA3FCE">
        <w:rPr>
          <w:rFonts w:ascii="Open Sans" w:hAnsi="Open Sans" w:cs="Open Sans"/>
          <w:i/>
          <w:iCs/>
          <w:color w:val="000000" w:themeColor="text1"/>
          <w:sz w:val="20"/>
          <w:szCs w:val="20"/>
        </w:rPr>
        <w:t>noninflammatory</w:t>
      </w:r>
      <w:r w:rsidRPr="00EA3FCE">
        <w:rPr>
          <w:rFonts w:ascii="Open Sans" w:hAnsi="Open Sans" w:cs="Open Sans"/>
          <w:color w:val="000000" w:themeColor="text1"/>
          <w:sz w:val="20"/>
          <w:szCs w:val="20"/>
        </w:rPr>
        <w:t> disease and is seen as a disease of “wear and tear”. However, there is mounting evidence of the involvement of inflammatory cytokines and metalloproteinases in degrading the articular cartilage matrix. For example, interleukin-17 (IL-17), a proinflammatory cytokine, increases in the synovium of joints that are either osteoarthritic or rheumatoid.</w:t>
      </w:r>
    </w:p>
    <w:p w14:paraId="793F94DE"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There are no effective pharmacological treatments for reversing OA, so pain management and anti-inflammatories are the mainstay of treatment, the goal of which is to reduce pain and improve or maintain functional status.</w:t>
      </w:r>
    </w:p>
    <w:p w14:paraId="173F0E06"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Tylenol is a first-line analgesic that, unlike the NSAIDS covered previously, has very few anti-inflammatory properties, although it doesinhibit cyclooxygenases in the central nervous system, which produces its analgesic effect. NSAIDS are also mainstays of treatment of OA. In certain cases, intra-articular steroids can be used to produce symptom relief. Analgesics such as Tramadol, which is an opioid in the same class as morphine and a serotonin/norepinephrine selective reuptake inhibitor, and codeine can be used when NSAIDS do not provide sufficient relief or are contraindicated.</w:t>
      </w:r>
    </w:p>
    <w:p w14:paraId="6909BBF1" w14:textId="77777777" w:rsidR="00AC258D" w:rsidRPr="00EA3FCE" w:rsidRDefault="00AC258D" w:rsidP="00AC258D">
      <w:pPr>
        <w:spacing w:after="100" w:afterAutospacing="1"/>
        <w:outlineLvl w:val="1"/>
        <w:rPr>
          <w:rFonts w:ascii="Open Sans" w:hAnsi="Open Sans" w:cs="Open Sans"/>
          <w:color w:val="000000" w:themeColor="text1"/>
          <w:sz w:val="20"/>
          <w:szCs w:val="20"/>
        </w:rPr>
      </w:pPr>
      <w:r w:rsidRPr="00EA3FCE">
        <w:rPr>
          <w:rFonts w:ascii="Open Sans" w:hAnsi="Open Sans" w:cs="Open Sans"/>
          <w:color w:val="000000" w:themeColor="text1"/>
          <w:sz w:val="20"/>
          <w:szCs w:val="20"/>
        </w:rPr>
        <w:t>Rheumatoid Arthritis</w:t>
      </w:r>
    </w:p>
    <w:p w14:paraId="357BFC7F"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Rheumatoid arthritis (RA) is a systemic autoimmune disorder with an unknown etiology, although genetic and environmental factors are certainly involved. Genetic factors account for approximately 50% of the risk of RA. Environmental triggers are thought to include infectious triggers such as mycoplasma, streptococcus infections, and even periodontal bacteria. Hormonal changes may also trigger RA episodes. Early events in the pathogenesis of RA include synovial cell hyperplasia and endothelial cell activation. Additionally, T-cells (particularly CD4 cells), and B-cells together generate an inflammatory response mediated by inflammatory cytokines, including tumor necrosis factor alpha (TNF-a), IL-1, IL-6, IL-8, transforming growth factor beta (TGF-ß), fibroblast growth factor (FGF), and platelet-derived growth factor (PDGF]). These cytokines drive the generation of reactive oxygen and nitrogen species, and cause cartilage cells (chondrocytes) to undergo catabolism. Other cell types recruited into this process include phagocytes, fibroblasts, osteoclasts, and fibroblasts. Juvenile rheumatoid arthritis (JRA), which is characterized by the onset of arthritis before the age of 16, is a genetically diverse disease that differs markedly from RA.</w:t>
      </w:r>
    </w:p>
    <w:p w14:paraId="709255D9"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synovial cavity normally contains 1–2 ml of viscous fluid, comprised of hyaluronic acid and a few cells. In the early phases of RA, the synovium becomes more vascularized, paving the way for cellular hypertrophy and hyperplasia. Synovial fluid becomes less viscous, and large collections of fluid (</w:t>
      </w:r>
      <w:r w:rsidRPr="00EA3FCE">
        <w:rPr>
          <w:rFonts w:ascii="Open Sans" w:hAnsi="Open Sans" w:cs="Open Sans"/>
          <w:i/>
          <w:iCs/>
          <w:color w:val="000000" w:themeColor="text1"/>
          <w:sz w:val="20"/>
          <w:szCs w:val="20"/>
        </w:rPr>
        <w:t>effusions</w:t>
      </w:r>
      <w:r w:rsidRPr="00EA3FCE">
        <w:rPr>
          <w:rFonts w:ascii="Open Sans" w:hAnsi="Open Sans" w:cs="Open Sans"/>
          <w:color w:val="000000" w:themeColor="text1"/>
          <w:sz w:val="20"/>
          <w:szCs w:val="20"/>
        </w:rPr>
        <w:t>) occur because of the influx of filtrates from plasma, which is rich in protein content, including antibodies and inflammatory mediators. Additionally, lymphocytes and macrophages invade this normally “private” space. Joint destruction and loss of articular cartilage ensues, including the intrusion of </w:t>
      </w:r>
      <w:r w:rsidRPr="00EA3FCE">
        <w:rPr>
          <w:rFonts w:ascii="Open Sans" w:hAnsi="Open Sans" w:cs="Open Sans"/>
          <w:i/>
          <w:iCs/>
          <w:color w:val="000000" w:themeColor="text1"/>
          <w:sz w:val="20"/>
          <w:szCs w:val="20"/>
        </w:rPr>
        <w:t>pannus</w:t>
      </w:r>
      <w:r w:rsidRPr="00EA3FCE">
        <w:rPr>
          <w:rFonts w:ascii="Open Sans" w:hAnsi="Open Sans" w:cs="Open Sans"/>
          <w:color w:val="000000" w:themeColor="text1"/>
          <w:sz w:val="20"/>
          <w:szCs w:val="20"/>
        </w:rPr>
        <w:t>tissue, which is a layer of roughened granulation tissue. Physical manifestations can include Boutonniere and Swan Neck deformities, and ulnar and other joint deformities.</w:t>
      </w:r>
    </w:p>
    <w:p w14:paraId="38F44B23"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u w:val="single"/>
        </w:rPr>
        <w:t>Classifications:</w:t>
      </w:r>
    </w:p>
    <w:p w14:paraId="0EF3475F" w14:textId="77777777" w:rsidR="00AC258D" w:rsidRPr="00EA3FCE" w:rsidRDefault="00AC258D" w:rsidP="00AC258D">
      <w:pPr>
        <w:numPr>
          <w:ilvl w:val="0"/>
          <w:numId w:val="5"/>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Early rheumatoid arthritis (ERA) refers to patients exhibiting symptoms of less than 3 months duration</w:t>
      </w:r>
    </w:p>
    <w:p w14:paraId="2605D032" w14:textId="77777777" w:rsidR="00AC258D" w:rsidRPr="00EA3FCE" w:rsidRDefault="00AC258D" w:rsidP="00AC258D">
      <w:pPr>
        <w:numPr>
          <w:ilvl w:val="0"/>
          <w:numId w:val="5"/>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Patients diagnosed with RA exhibiting symptoms associated with inflammation and/or joint damage</w:t>
      </w:r>
    </w:p>
    <w:p w14:paraId="4810C8FC"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most affected joints typically include fingers, feet, wrist, elbows, ankles, and knees; RA also frequently affects shoulders, hips &amp; the cervical spine; and occasionally affects lungs, heart, kidneys and skin. RA is associated with decreased life expectancy, with risk of death related to cardiovascular incident or disease, which occurrences are roughly doubled in the presence of diagnosable RA), and limitations on the client’s physical ability and quality of life</w:t>
      </w:r>
    </w:p>
    <w:p w14:paraId="46FB3593" w14:textId="77777777" w:rsidR="00AC258D" w:rsidRPr="00EA3FCE" w:rsidRDefault="00AC258D" w:rsidP="00AC258D">
      <w:pPr>
        <w:spacing w:after="100" w:afterAutospacing="1"/>
        <w:outlineLvl w:val="2"/>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of rheumatoid arthritis</w:t>
      </w:r>
    </w:p>
    <w:p w14:paraId="2E4333ED"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Treatment for RA is both symptomatic and aimed at prevention of further joint degeneration. Owing to the more overtly inflammatory nature of RA, NSAIDS are typically prescribed early on, at the beginning of disease-modifying antirheumatic drugs (DMARDs). In this way, the anti-inflammatory properties of the NSAIDS help to “bridge” by providing symptom relief until the DMARDS reach therapeutic levels. Low dose steroids (e.g., 10 mg Prednisone is also provide a bridge until DMARDS become effective.</w:t>
      </w:r>
    </w:p>
    <w:p w14:paraId="632BD7AC"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DMARDS can stop or slow RA although, as mentioned above, they can take months to become effective. The most prescribed DMARD is methotrexate, which is a folic acid antagonist and antimitotic. Its principle mechanism of action is suppression of inflammatory leukocyte activity. Patients on methotrexate should also be prescribed folic acid and should periodically have liver function tests (LFTs) and creatinine levels tests ordered. Other DMARDS include sulfasalazine (e.g., Azulfidine), antimalarials such as hydroxychloroquine (e.g., Plaquenil), and leflunomide (e.g., Arava).</w:t>
      </w:r>
    </w:p>
    <w:p w14:paraId="23FDD3C1"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newest class of anti-RA medications include </w:t>
      </w:r>
      <w:r w:rsidRPr="00EA3FCE">
        <w:rPr>
          <w:rFonts w:ascii="Open Sans" w:hAnsi="Open Sans" w:cs="Open Sans"/>
          <w:i/>
          <w:iCs/>
          <w:color w:val="000000" w:themeColor="text1"/>
          <w:sz w:val="20"/>
          <w:szCs w:val="20"/>
        </w:rPr>
        <w:t>biologics</w:t>
      </w:r>
      <w:r w:rsidRPr="00EA3FCE">
        <w:rPr>
          <w:rFonts w:ascii="Open Sans" w:hAnsi="Open Sans" w:cs="Open Sans"/>
          <w:color w:val="000000" w:themeColor="text1"/>
          <w:sz w:val="20"/>
          <w:szCs w:val="20"/>
        </w:rPr>
        <w:t>, which are developed through recombinant DNA techniques. It is also not uncommon for the rheumatologist to prescribe DMARDS and biologics together. Biologics target specific cytokine or cellular targets that are part of the inflammatory process. For example, etanercept (e.g., Enbrel), infliximab (e.g., Remicade) and adalimumab (e.g., Humira) are examples of biologics that target the proinflammatory cytokine tumor necrosis factor alpha (TNFα) that was previously discussed in Unit 3. Other biologics and their targets are listed in the table below.</w:t>
      </w:r>
    </w:p>
    <w:tbl>
      <w:tblPr>
        <w:tblW w:w="8125" w:type="dxa"/>
        <w:tblCellSpacing w:w="15" w:type="dxa"/>
        <w:tblCellMar>
          <w:top w:w="15" w:type="dxa"/>
          <w:left w:w="15" w:type="dxa"/>
          <w:bottom w:w="15" w:type="dxa"/>
          <w:right w:w="15" w:type="dxa"/>
        </w:tblCellMar>
        <w:tblLook w:val="04A0" w:firstRow="1" w:lastRow="0" w:firstColumn="1" w:lastColumn="0" w:noHBand="0" w:noVBand="1"/>
      </w:tblPr>
      <w:tblGrid>
        <w:gridCol w:w="2220"/>
        <w:gridCol w:w="2000"/>
        <w:gridCol w:w="3905"/>
      </w:tblGrid>
      <w:tr w:rsidR="00EA3FCE" w:rsidRPr="00EA3FCE" w14:paraId="3AF0C066" w14:textId="77777777">
        <w:trPr>
          <w:tblHeader/>
          <w:tblCellSpacing w:w="15" w:type="dxa"/>
        </w:trPr>
        <w:tc>
          <w:tcPr>
            <w:tcW w:w="0" w:type="auto"/>
            <w:gridSpan w:val="3"/>
            <w:tcBorders>
              <w:top w:val="nil"/>
              <w:left w:val="nil"/>
              <w:bottom w:val="nil"/>
              <w:right w:val="nil"/>
            </w:tcBorders>
            <w:vAlign w:val="center"/>
            <w:hideMark/>
          </w:tcPr>
          <w:p w14:paraId="5BB146AA" w14:textId="77777777" w:rsidR="00AC258D" w:rsidRPr="00EA3FCE" w:rsidRDefault="00AC258D" w:rsidP="00AC258D">
            <w:pPr>
              <w:pBdr>
                <w:top w:val="single" w:sz="6" w:space="0" w:color="auto"/>
                <w:left w:val="single" w:sz="6" w:space="0" w:color="auto"/>
                <w:right w:val="single" w:sz="6" w:space="0" w:color="auto"/>
              </w:pBdr>
              <w:jc w:val="center"/>
              <w:textAlignment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Biologics and Their Targets</w:t>
            </w:r>
          </w:p>
        </w:tc>
      </w:tr>
      <w:tr w:rsidR="00EA3FCE" w:rsidRPr="00EA3FCE" w14:paraId="0A5975B5" w14:textId="77777777">
        <w:trPr>
          <w:tblHeader/>
          <w:tblCellSpacing w:w="15" w:type="dxa"/>
        </w:trPr>
        <w:tc>
          <w:tcPr>
            <w:tcW w:w="0" w:type="auto"/>
            <w:tcBorders>
              <w:top w:val="single" w:sz="6" w:space="0" w:color="auto"/>
              <w:left w:val="single" w:sz="6" w:space="0" w:color="auto"/>
              <w:bottom w:val="nil"/>
              <w:right w:val="nil"/>
            </w:tcBorders>
            <w:shd w:val="clear" w:color="auto" w:fill="1B365D"/>
            <w:vAlign w:val="bottom"/>
            <w:hideMark/>
          </w:tcPr>
          <w:p w14:paraId="4111DE53" w14:textId="77777777" w:rsidR="00AC258D" w:rsidRPr="00EA3FCE" w:rsidRDefault="00AC258D" w:rsidP="00AC258D">
            <w:pPr>
              <w:jc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Generic Name</w:t>
            </w:r>
          </w:p>
        </w:tc>
        <w:tc>
          <w:tcPr>
            <w:tcW w:w="0" w:type="auto"/>
            <w:tcBorders>
              <w:top w:val="single" w:sz="6" w:space="0" w:color="auto"/>
              <w:left w:val="single" w:sz="6" w:space="0" w:color="auto"/>
              <w:bottom w:val="nil"/>
              <w:right w:val="nil"/>
            </w:tcBorders>
            <w:shd w:val="clear" w:color="auto" w:fill="1B365D"/>
            <w:vAlign w:val="bottom"/>
            <w:hideMark/>
          </w:tcPr>
          <w:p w14:paraId="658AE4C0" w14:textId="77777777" w:rsidR="00AC258D" w:rsidRPr="00EA3FCE" w:rsidRDefault="00AC258D" w:rsidP="00AC258D">
            <w:pPr>
              <w:jc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Brand Name</w:t>
            </w:r>
          </w:p>
        </w:tc>
        <w:tc>
          <w:tcPr>
            <w:tcW w:w="0" w:type="auto"/>
            <w:tcBorders>
              <w:top w:val="single" w:sz="6" w:space="0" w:color="auto"/>
              <w:left w:val="single" w:sz="6" w:space="0" w:color="auto"/>
              <w:bottom w:val="nil"/>
              <w:right w:val="single" w:sz="6" w:space="0" w:color="auto"/>
            </w:tcBorders>
            <w:shd w:val="clear" w:color="auto" w:fill="1B365D"/>
            <w:vAlign w:val="bottom"/>
            <w:hideMark/>
          </w:tcPr>
          <w:p w14:paraId="1C768859" w14:textId="77777777" w:rsidR="00AC258D" w:rsidRPr="00EA3FCE" w:rsidRDefault="00AC258D" w:rsidP="00AC258D">
            <w:pPr>
              <w:jc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Target</w:t>
            </w:r>
          </w:p>
        </w:tc>
      </w:tr>
      <w:tr w:rsidR="00EA3FCE" w:rsidRPr="00EA3FCE" w14:paraId="723040E1" w14:textId="77777777">
        <w:trPr>
          <w:tblCellSpacing w:w="15" w:type="dxa"/>
        </w:trPr>
        <w:tc>
          <w:tcPr>
            <w:tcW w:w="2175" w:type="dxa"/>
            <w:tcBorders>
              <w:top w:val="single" w:sz="6" w:space="0" w:color="auto"/>
              <w:left w:val="single" w:sz="6" w:space="0" w:color="auto"/>
              <w:bottom w:val="single" w:sz="6" w:space="0" w:color="auto"/>
              <w:right w:val="nil"/>
            </w:tcBorders>
            <w:shd w:val="clear" w:color="auto" w:fill="1B365D"/>
            <w:hideMark/>
          </w:tcPr>
          <w:p w14:paraId="25055D26" w14:textId="77777777" w:rsidR="00AC258D" w:rsidRPr="00EA3FCE" w:rsidRDefault="00AC258D" w:rsidP="00AC258D">
            <w:pPr>
              <w:jc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Anakinra</w:t>
            </w:r>
          </w:p>
        </w:tc>
        <w:tc>
          <w:tcPr>
            <w:tcW w:w="0" w:type="auto"/>
            <w:tcBorders>
              <w:top w:val="single" w:sz="6" w:space="0" w:color="auto"/>
              <w:left w:val="single" w:sz="6" w:space="0" w:color="auto"/>
              <w:bottom w:val="single" w:sz="6" w:space="0" w:color="auto"/>
              <w:right w:val="nil"/>
            </w:tcBorders>
            <w:hideMark/>
          </w:tcPr>
          <w:p w14:paraId="59D33DB7" w14:textId="77777777"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t>Kineret</w:t>
            </w:r>
          </w:p>
        </w:tc>
        <w:tc>
          <w:tcPr>
            <w:tcW w:w="0" w:type="auto"/>
            <w:tcBorders>
              <w:top w:val="single" w:sz="6" w:space="0" w:color="9EA5A9"/>
              <w:left w:val="single" w:sz="6" w:space="0" w:color="9EA5A9"/>
              <w:bottom w:val="single" w:sz="6" w:space="0" w:color="9EA5A9"/>
              <w:right w:val="single" w:sz="6" w:space="0" w:color="9EA5A9"/>
            </w:tcBorders>
            <w:hideMark/>
          </w:tcPr>
          <w:p w14:paraId="17F37731" w14:textId="77777777"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t>IL-1 Receptor Antagonist</w:t>
            </w:r>
          </w:p>
        </w:tc>
      </w:tr>
      <w:tr w:rsidR="00EA3FCE" w:rsidRPr="00EA3FCE" w14:paraId="7D27AD17" w14:textId="77777777">
        <w:trPr>
          <w:tblCellSpacing w:w="15" w:type="dxa"/>
        </w:trPr>
        <w:tc>
          <w:tcPr>
            <w:tcW w:w="2175" w:type="dxa"/>
            <w:tcBorders>
              <w:top w:val="nil"/>
              <w:left w:val="single" w:sz="6" w:space="0" w:color="auto"/>
              <w:bottom w:val="single" w:sz="6" w:space="0" w:color="auto"/>
              <w:right w:val="nil"/>
            </w:tcBorders>
            <w:shd w:val="clear" w:color="auto" w:fill="1B365D"/>
            <w:hideMark/>
          </w:tcPr>
          <w:p w14:paraId="4035ECC7" w14:textId="77777777" w:rsidR="00AC258D" w:rsidRPr="00EA3FCE" w:rsidRDefault="00AC258D" w:rsidP="00AC258D">
            <w:pPr>
              <w:jc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Abatacept</w:t>
            </w:r>
          </w:p>
        </w:tc>
        <w:tc>
          <w:tcPr>
            <w:tcW w:w="0" w:type="auto"/>
            <w:tcBorders>
              <w:top w:val="nil"/>
              <w:left w:val="single" w:sz="6" w:space="0" w:color="auto"/>
              <w:bottom w:val="single" w:sz="6" w:space="0" w:color="auto"/>
              <w:right w:val="nil"/>
            </w:tcBorders>
            <w:hideMark/>
          </w:tcPr>
          <w:p w14:paraId="6FC95D7D" w14:textId="77777777"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t>Orencia</w:t>
            </w:r>
          </w:p>
        </w:tc>
        <w:tc>
          <w:tcPr>
            <w:tcW w:w="0" w:type="auto"/>
            <w:tcBorders>
              <w:top w:val="nil"/>
              <w:left w:val="single" w:sz="6" w:space="0" w:color="auto"/>
              <w:bottom w:val="single" w:sz="6" w:space="0" w:color="auto"/>
              <w:right w:val="single" w:sz="6" w:space="0" w:color="auto"/>
            </w:tcBorders>
            <w:hideMark/>
          </w:tcPr>
          <w:p w14:paraId="1B148464" w14:textId="77777777"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t>Antigen-Presenting Cells</w:t>
            </w:r>
          </w:p>
        </w:tc>
      </w:tr>
      <w:tr w:rsidR="00EA3FCE" w:rsidRPr="00EA3FCE" w14:paraId="27441D81" w14:textId="77777777">
        <w:trPr>
          <w:tblCellSpacing w:w="15" w:type="dxa"/>
        </w:trPr>
        <w:tc>
          <w:tcPr>
            <w:tcW w:w="2175" w:type="dxa"/>
            <w:tcBorders>
              <w:top w:val="nil"/>
              <w:left w:val="single" w:sz="6" w:space="0" w:color="auto"/>
              <w:bottom w:val="single" w:sz="6" w:space="0" w:color="auto"/>
              <w:right w:val="nil"/>
            </w:tcBorders>
            <w:shd w:val="clear" w:color="auto" w:fill="1B365D"/>
            <w:hideMark/>
          </w:tcPr>
          <w:p w14:paraId="76285778" w14:textId="77777777" w:rsidR="00AC258D" w:rsidRPr="00EA3FCE" w:rsidRDefault="00AC258D" w:rsidP="00AC258D">
            <w:pPr>
              <w:jc w:val="center"/>
              <w:rPr>
                <w:rFonts w:ascii="Open Sans" w:hAnsi="Open Sans" w:cs="Open Sans"/>
                <w:color w:val="000000" w:themeColor="text1"/>
                <w:sz w:val="20"/>
                <w:szCs w:val="20"/>
              </w:rPr>
            </w:pPr>
            <w:r w:rsidRPr="00EA3FCE">
              <w:rPr>
                <w:rFonts w:ascii="Open Sans" w:hAnsi="Open Sans" w:cs="Open Sans"/>
                <w:color w:val="000000" w:themeColor="text1"/>
                <w:sz w:val="20"/>
                <w:szCs w:val="20"/>
              </w:rPr>
              <w:t>Tocilizumab</w:t>
            </w:r>
          </w:p>
        </w:tc>
        <w:tc>
          <w:tcPr>
            <w:tcW w:w="0" w:type="auto"/>
            <w:tcBorders>
              <w:top w:val="nil"/>
              <w:left w:val="single" w:sz="6" w:space="0" w:color="auto"/>
              <w:bottom w:val="single" w:sz="6" w:space="0" w:color="auto"/>
              <w:right w:val="nil"/>
            </w:tcBorders>
            <w:hideMark/>
          </w:tcPr>
          <w:p w14:paraId="04B08A10" w14:textId="77777777"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t>Actemra</w:t>
            </w:r>
          </w:p>
        </w:tc>
        <w:tc>
          <w:tcPr>
            <w:tcW w:w="0" w:type="auto"/>
            <w:tcBorders>
              <w:top w:val="nil"/>
              <w:left w:val="single" w:sz="6" w:space="0" w:color="auto"/>
              <w:bottom w:val="single" w:sz="6" w:space="0" w:color="auto"/>
              <w:right w:val="single" w:sz="6" w:space="0" w:color="auto"/>
            </w:tcBorders>
            <w:hideMark/>
          </w:tcPr>
          <w:p w14:paraId="03AD37D8" w14:textId="77777777"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t>Targets the IL-6 receptor </w:t>
            </w:r>
          </w:p>
        </w:tc>
      </w:tr>
    </w:tbl>
    <w:p w14:paraId="7B2CB500"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To provide optimal relief, methotrexate is often combined with biologics, depending on the course of the disease and patient response.</w:t>
      </w:r>
    </w:p>
    <w:p w14:paraId="7D28CAB7" w14:textId="77777777" w:rsidR="00AC258D" w:rsidRPr="00EA3FCE" w:rsidRDefault="00AC258D" w:rsidP="00AC258D">
      <w:pPr>
        <w:spacing w:after="100" w:afterAutospacing="1"/>
        <w:outlineLvl w:val="1"/>
        <w:rPr>
          <w:rFonts w:ascii="Open Sans" w:hAnsi="Open Sans" w:cs="Open Sans"/>
          <w:color w:val="000000" w:themeColor="text1"/>
          <w:sz w:val="20"/>
          <w:szCs w:val="20"/>
        </w:rPr>
      </w:pPr>
      <w:r w:rsidRPr="00EA3FCE">
        <w:rPr>
          <w:rFonts w:ascii="Open Sans" w:hAnsi="Open Sans" w:cs="Open Sans"/>
          <w:color w:val="000000" w:themeColor="text1"/>
          <w:sz w:val="20"/>
          <w:szCs w:val="20"/>
        </w:rPr>
        <w:t>Gout</w:t>
      </w:r>
    </w:p>
    <w:p w14:paraId="20F5C924"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From a rheumatologist's perspective, gout is perhaps the most treatable forms of arthritis. This disorder is essentially one of deranged metabolism in which uric acid or urate accumulates in blood and tissues, either due to excess production or decreased excretion. Chronic kidney disease and some thiazide diuretics may decrease excretion of urates, and thiazide diuretics; whereas cyclosporins and salicylates can increase urate levels. In contrast, calcium channel blockers and some angiotensin receptor blockers can decrease serum urate levels. As body fluids become saturated, uric acid crystals precipitate in larger, dependent joint capsules such as the great toe or elbow. Apolipoprotein E normally limits immune recognition of uric acid crystal by antigen-presenting cells; however, when in excess, urate crystals are exposed and may be considered as be considered as “danger signals,” activating the innate immune system. The urate crystals then inflict physical damage on joint capsules, and provoke an immune-based inflammatory response. Although gout is associated with hyperuricemia, </w:t>
      </w:r>
      <w:r w:rsidRPr="00EA3FCE">
        <w:rPr>
          <w:rFonts w:ascii="Open Sans" w:hAnsi="Open Sans" w:cs="Open Sans"/>
          <w:i/>
          <w:iCs/>
          <w:color w:val="000000" w:themeColor="text1"/>
          <w:sz w:val="20"/>
          <w:szCs w:val="20"/>
        </w:rPr>
        <w:t>acute gout attacks</w:t>
      </w:r>
      <w:r w:rsidRPr="00EA3FCE">
        <w:rPr>
          <w:rFonts w:ascii="Open Sans" w:hAnsi="Open Sans" w:cs="Open Sans"/>
          <w:color w:val="000000" w:themeColor="text1"/>
          <w:sz w:val="20"/>
          <w:szCs w:val="20"/>
        </w:rPr>
        <w:t xml:space="preserve"> are typically caused by acute changes in the level of uric acid. All individuals with gout have hyperuricemia; however, </w:t>
      </w:r>
      <w:r w:rsidRPr="00EA3FCE">
        <w:rPr>
          <w:rFonts w:ascii="Open Sans" w:hAnsi="Open Sans" w:cs="Open Sans"/>
          <w:color w:val="000000" w:themeColor="text1"/>
          <w:sz w:val="20"/>
          <w:szCs w:val="20"/>
        </w:rPr>
        <w:lastRenderedPageBreak/>
        <w:t>hyperuricemia is also found in patients taking diuretics, and in those taking niacin or low doses of aspirin. One of the most important “rule out” differential diagnoses is septic arthritis, which can mimic gout.</w:t>
      </w:r>
    </w:p>
    <w:p w14:paraId="10322AE5" w14:textId="77777777" w:rsidR="00AC258D" w:rsidRPr="00EA3FCE" w:rsidRDefault="00AC258D" w:rsidP="00AC258D">
      <w:pPr>
        <w:spacing w:after="100" w:afterAutospacing="1"/>
        <w:outlineLvl w:val="2"/>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of gout</w:t>
      </w:r>
    </w:p>
    <w:p w14:paraId="6FA44B3C"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For acute episodes of gout, NSAIDS are the drugs of choice, with Indomethacin being one of the best clinical choices. Low-dose aspirin is not recommended, because it can alter uric acid levels and exacerbate the attack. Colchicine is a second-line choice for acute attacks, followed by oral corticosteroids. Once the initial acute episode is controlled, urate-lowering drugs such as probenecid or allopurinol are given.</w:t>
      </w:r>
    </w:p>
    <w:p w14:paraId="0CE737E8" w14:textId="77777777" w:rsidR="00AC258D" w:rsidRPr="00EA3FCE" w:rsidRDefault="00AC258D" w:rsidP="00AC258D">
      <w:pPr>
        <w:spacing w:after="100" w:afterAutospacing="1"/>
        <w:outlineLvl w:val="1"/>
        <w:rPr>
          <w:rFonts w:ascii="Open Sans" w:hAnsi="Open Sans" w:cs="Open Sans"/>
          <w:color w:val="000000" w:themeColor="text1"/>
          <w:sz w:val="20"/>
          <w:szCs w:val="20"/>
        </w:rPr>
      </w:pPr>
      <w:r w:rsidRPr="00EA3FCE">
        <w:rPr>
          <w:rFonts w:ascii="Open Sans" w:hAnsi="Open Sans" w:cs="Open Sans"/>
          <w:color w:val="000000" w:themeColor="text1"/>
          <w:sz w:val="20"/>
          <w:szCs w:val="20"/>
        </w:rPr>
        <w:t>Osteoporosis</w:t>
      </w:r>
    </w:p>
    <w:p w14:paraId="1D58838B" w14:textId="2A6004D9"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maintenance of healthy bone involves a constant remodelling process in which bone is being resorbed and reformed. Osteoporosis is a common metabolic bone disease that is marked by an imbalance in this process wherein bone mineral loss occurs. To appreciate the disordered physiology that underlies osteoporosis, it is necessary to review the cellular and molecular players involved in bone homeostasis. The three principle cell types in bone are: (a.) osteocytes, which are embedded in the organic/inorganic matrix of bone, (b.) osteoblasts, which form bone matrix, and (c.) osteoclasts, which break down the same matrix (see figure below). The key molecules regulating bone formation include (a.) RANKL, a cytokine that acts as a ligand to stimulate osteoclast destruction; (b.) RANK, the receptor for RANKL that is found on</w:t>
      </w:r>
      <w:r w:rsidR="009F6892" w:rsidRPr="00EA3FCE">
        <w:rPr>
          <w:rFonts w:ascii="Open Sans" w:hAnsi="Open Sans" w:cs="Open Sans"/>
          <w:color w:val="000000" w:themeColor="text1"/>
          <w:sz w:val="20"/>
          <w:szCs w:val="20"/>
        </w:rPr>
        <w:t xml:space="preserve"> </w:t>
      </w:r>
      <w:r w:rsidRPr="00EA3FCE">
        <w:rPr>
          <w:rFonts w:ascii="Open Sans" w:hAnsi="Open Sans" w:cs="Open Sans"/>
          <w:color w:val="000000" w:themeColor="text1"/>
          <w:sz w:val="20"/>
          <w:szCs w:val="20"/>
        </w:rPr>
        <w:t>osteoclasts; and (c.) osteoprogenin (OPG), which functions as a “decoy” protein by binding to RANKL, preventing it from activating RANK (Figure 4). Osteoblasts make both RANKL and OPG. When RANKL production predominates, RANK is activated, and osteoclasts are activated. The net result is bone destruction. When OPG predominates, osteoclast activity is reduced, and osteoblast build more bone than is lost.</w:t>
      </w:r>
    </w:p>
    <w:p w14:paraId="67BB312D"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Figure 4:</w:t>
      </w:r>
    </w:p>
    <w:p w14:paraId="135A88B5" w14:textId="7160275D" w:rsidR="00AC258D" w:rsidRPr="00EA3FCE" w:rsidRDefault="00AC258D" w:rsidP="00AC258D">
      <w:pPr>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fldChar w:fldCharType="begin"/>
      </w:r>
      <w:r w:rsidRPr="00EA3FCE">
        <w:rPr>
          <w:rFonts w:ascii="Open Sans" w:hAnsi="Open Sans" w:cs="Open Sans"/>
          <w:color w:val="000000" w:themeColor="text1"/>
          <w:sz w:val="20"/>
          <w:szCs w:val="20"/>
        </w:rPr>
        <w:instrText xml:space="preserve"> INCLUDEPICTURE "/Users/erikagodin/Library/Group Containers/UBF8T346G9.ms/WebArchiveCopyPasteTempFiles/com.microsoft.Word/Unit4_Pic1.jpg?ou=30189" \* MERGEFORMATINET </w:instrText>
      </w:r>
      <w:r w:rsidRPr="00EA3FCE">
        <w:rPr>
          <w:rFonts w:ascii="Open Sans" w:hAnsi="Open Sans" w:cs="Open Sans"/>
          <w:color w:val="000000" w:themeColor="text1"/>
          <w:sz w:val="20"/>
          <w:szCs w:val="20"/>
        </w:rPr>
        <w:fldChar w:fldCharType="separate"/>
      </w:r>
      <w:r w:rsidRPr="00EA3FCE">
        <w:rPr>
          <w:rFonts w:ascii="Open Sans" w:hAnsi="Open Sans" w:cs="Open Sans"/>
          <w:noProof/>
          <w:color w:val="000000" w:themeColor="text1"/>
          <w:sz w:val="20"/>
          <w:szCs w:val="20"/>
        </w:rPr>
        <w:drawing>
          <wp:inline distT="0" distB="0" distL="0" distR="0" wp14:anchorId="0DEA8F7B" wp14:editId="4D23CC44">
            <wp:extent cx="5943600" cy="3776345"/>
            <wp:effectExtent l="0" t="0" r="0" b="0"/>
            <wp:docPr id="1343102642" name="Picture 2" descr="Osteoblasts image representation. (Description in the text of th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teoblasts image representation. (Description in the text of the un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76345"/>
                    </a:xfrm>
                    <a:prstGeom prst="rect">
                      <a:avLst/>
                    </a:prstGeom>
                    <a:noFill/>
                    <a:ln>
                      <a:noFill/>
                    </a:ln>
                  </pic:spPr>
                </pic:pic>
              </a:graphicData>
            </a:graphic>
          </wp:inline>
        </w:drawing>
      </w:r>
      <w:r w:rsidRPr="00EA3FCE">
        <w:rPr>
          <w:rFonts w:ascii="Open Sans" w:hAnsi="Open Sans" w:cs="Open Sans"/>
          <w:color w:val="000000" w:themeColor="text1"/>
          <w:sz w:val="20"/>
          <w:szCs w:val="20"/>
        </w:rPr>
        <w:fldChar w:fldCharType="end"/>
      </w:r>
      <w:r w:rsidRPr="00EA3FCE">
        <w:rPr>
          <w:rFonts w:ascii="Open Sans" w:hAnsi="Open Sans" w:cs="Open Sans"/>
          <w:color w:val="000000" w:themeColor="text1"/>
          <w:sz w:val="20"/>
          <w:szCs w:val="20"/>
        </w:rPr>
        <w:fldChar w:fldCharType="begin"/>
      </w:r>
      <w:r w:rsidRPr="00EA3FCE">
        <w:rPr>
          <w:rFonts w:ascii="Open Sans" w:hAnsi="Open Sans" w:cs="Open Sans"/>
          <w:color w:val="000000" w:themeColor="text1"/>
          <w:sz w:val="20"/>
          <w:szCs w:val="20"/>
        </w:rPr>
        <w:instrText xml:space="preserve"> INCLUDEPICTURE "/Users/erikagodin/Library/Group Containers/UBF8T346G9.ms/WebArchiveCopyPasteTempFiles/com.microsoft.Word/Unit4_Pic2.jpg?ou=30189" \* MERGEFORMATINET </w:instrText>
      </w:r>
      <w:r w:rsidRPr="00EA3FCE">
        <w:rPr>
          <w:rFonts w:ascii="Open Sans" w:hAnsi="Open Sans" w:cs="Open Sans"/>
          <w:color w:val="000000" w:themeColor="text1"/>
          <w:sz w:val="20"/>
          <w:szCs w:val="20"/>
        </w:rPr>
        <w:fldChar w:fldCharType="separate"/>
      </w:r>
      <w:r w:rsidRPr="00EA3FCE">
        <w:rPr>
          <w:rFonts w:ascii="Open Sans" w:hAnsi="Open Sans" w:cs="Open Sans"/>
          <w:noProof/>
          <w:color w:val="000000" w:themeColor="text1"/>
          <w:sz w:val="20"/>
          <w:szCs w:val="20"/>
        </w:rPr>
        <w:drawing>
          <wp:inline distT="0" distB="0" distL="0" distR="0" wp14:anchorId="7A8F226B" wp14:editId="3E36C74A">
            <wp:extent cx="5943600" cy="2310130"/>
            <wp:effectExtent l="0" t="0" r="0" b="1270"/>
            <wp:docPr id="1616293697" name="Picture 1" descr="Modulators of bone growth and destruction. (Description in the text of th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ulators of bone growth and destruction. (Description in the text of the uni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10130"/>
                    </a:xfrm>
                    <a:prstGeom prst="rect">
                      <a:avLst/>
                    </a:prstGeom>
                    <a:noFill/>
                    <a:ln>
                      <a:noFill/>
                    </a:ln>
                  </pic:spPr>
                </pic:pic>
              </a:graphicData>
            </a:graphic>
          </wp:inline>
        </w:drawing>
      </w:r>
      <w:r w:rsidRPr="00EA3FCE">
        <w:rPr>
          <w:rFonts w:ascii="Open Sans" w:hAnsi="Open Sans" w:cs="Open Sans"/>
          <w:color w:val="000000" w:themeColor="text1"/>
          <w:sz w:val="20"/>
          <w:szCs w:val="20"/>
        </w:rPr>
        <w:fldChar w:fldCharType="end"/>
      </w:r>
      <w:r w:rsidRPr="00EA3FCE">
        <w:rPr>
          <w:rFonts w:ascii="Open Sans" w:hAnsi="Open Sans" w:cs="Open Sans"/>
          <w:color w:val="000000" w:themeColor="text1"/>
          <w:sz w:val="20"/>
          <w:szCs w:val="20"/>
        </w:rPr>
        <w:t>Modulators of bone growth and destruction (© W. Diehl-Jones)</w:t>
      </w:r>
    </w:p>
    <w:p w14:paraId="133B36D0"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Add to this repertoire of molecules two hormones: (a.) </w:t>
      </w:r>
      <w:r w:rsidRPr="00EA3FCE">
        <w:rPr>
          <w:rFonts w:ascii="Open Sans" w:hAnsi="Open Sans" w:cs="Open Sans"/>
          <w:i/>
          <w:iCs/>
          <w:color w:val="000000" w:themeColor="text1"/>
          <w:sz w:val="20"/>
          <w:szCs w:val="20"/>
        </w:rPr>
        <w:t>calcitonin</w:t>
      </w:r>
      <w:r w:rsidRPr="00EA3FCE">
        <w:rPr>
          <w:rFonts w:ascii="Open Sans" w:hAnsi="Open Sans" w:cs="Open Sans"/>
          <w:color w:val="000000" w:themeColor="text1"/>
          <w:sz w:val="20"/>
          <w:szCs w:val="20"/>
        </w:rPr>
        <w:t>, which decreases plasma calcium in part by decreasing osteoclast activity; and (b.) </w:t>
      </w:r>
      <w:r w:rsidRPr="00EA3FCE">
        <w:rPr>
          <w:rFonts w:ascii="Open Sans" w:hAnsi="Open Sans" w:cs="Open Sans"/>
          <w:i/>
          <w:iCs/>
          <w:color w:val="000000" w:themeColor="text1"/>
          <w:sz w:val="20"/>
          <w:szCs w:val="20"/>
        </w:rPr>
        <w:t>parathyroid hormone</w:t>
      </w:r>
      <w:r w:rsidRPr="00EA3FCE">
        <w:rPr>
          <w:rFonts w:ascii="Open Sans" w:hAnsi="Open Sans" w:cs="Open Sans"/>
          <w:color w:val="000000" w:themeColor="text1"/>
          <w:sz w:val="20"/>
          <w:szCs w:val="20"/>
        </w:rPr>
        <w:t> (PTH), which increases plasma calcium by increasing osteoclast activity. Another hormone that regulates the activity of all three cell types is estrogen, which we cover in the unit on Women’s Health.</w:t>
      </w:r>
    </w:p>
    <w:p w14:paraId="61B27FBC"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 xml:space="preserve">By the third decade of life, bone mineral density peaks, after which it slowly declines. Osteoporosis, which involves a pathological reduction in skeletal mass, can be the result of either a failure to achieve peak bone mineral density, or an accelerated bone loss later in life. Several factors may contribute to bone mass loss. Calcium, one of the main inorganic constituents of bone, can be deficient due to either dietary insufficiency or inadequate vitamin D. Conversely, elevated PTH due </w:t>
      </w:r>
      <w:r w:rsidRPr="00EA3FCE">
        <w:rPr>
          <w:rFonts w:ascii="Open Sans" w:hAnsi="Open Sans" w:cs="Open Sans"/>
          <w:color w:val="000000" w:themeColor="text1"/>
          <w:sz w:val="20"/>
          <w:szCs w:val="20"/>
        </w:rPr>
        <w:lastRenderedPageBreak/>
        <w:t>to hyperparathyroidism can increase calcium resorption. Estrogen deficiency sensitizes bone cells to PTH, and as estrogen levels in women decline, bone minerals are increasingly lost.</w:t>
      </w:r>
    </w:p>
    <w:p w14:paraId="17DB35A7" w14:textId="77777777" w:rsidR="00AC258D" w:rsidRPr="00EA3FCE" w:rsidRDefault="00AC258D" w:rsidP="00AC258D">
      <w:pPr>
        <w:spacing w:after="100" w:afterAutospacing="1"/>
        <w:outlineLvl w:val="2"/>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Treatments for Osteoporosis</w:t>
      </w:r>
    </w:p>
    <w:p w14:paraId="4FA5FFCA"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Because osteoporosis is the subject of a case study in Unit 5, here we only summarize pharmacotherapeutic agents used to treat osteoporosis, which include the following:</w:t>
      </w:r>
    </w:p>
    <w:p w14:paraId="2E52C419" w14:textId="77777777" w:rsidR="00AC258D" w:rsidRPr="00EA3FCE" w:rsidRDefault="00AC258D" w:rsidP="00AC258D">
      <w:pPr>
        <w:numPr>
          <w:ilvl w:val="0"/>
          <w:numId w:val="6"/>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calcium supplements,</w:t>
      </w:r>
    </w:p>
    <w:p w14:paraId="3839B326" w14:textId="77777777" w:rsidR="00AC258D" w:rsidRPr="00EA3FCE" w:rsidRDefault="00AC258D" w:rsidP="00AC258D">
      <w:pPr>
        <w:numPr>
          <w:ilvl w:val="0"/>
          <w:numId w:val="6"/>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bisphosphonates,</w:t>
      </w:r>
    </w:p>
    <w:p w14:paraId="189A77E6" w14:textId="77777777" w:rsidR="00AC258D" w:rsidRPr="00EA3FCE" w:rsidRDefault="00AC258D" w:rsidP="00AC258D">
      <w:pPr>
        <w:numPr>
          <w:ilvl w:val="0"/>
          <w:numId w:val="6"/>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selective estrogen receptor modulators (SERMS), and</w:t>
      </w:r>
    </w:p>
    <w:p w14:paraId="78F663C8" w14:textId="77777777" w:rsidR="00AC258D" w:rsidRPr="00EA3FCE" w:rsidRDefault="00AC258D" w:rsidP="00AC258D">
      <w:pPr>
        <w:numPr>
          <w:ilvl w:val="0"/>
          <w:numId w:val="6"/>
        </w:numPr>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hormone modifiers.</w:t>
      </w:r>
    </w:p>
    <w:p w14:paraId="1F5ED676" w14:textId="77777777" w:rsidR="00AC258D" w:rsidRPr="00EA3FCE" w:rsidRDefault="00AC258D" w:rsidP="00AC258D">
      <w:pPr>
        <w:spacing w:after="100" w:afterAutospacing="1"/>
        <w:outlineLvl w:val="1"/>
        <w:rPr>
          <w:rFonts w:ascii="Open Sans" w:hAnsi="Open Sans" w:cs="Open Sans"/>
          <w:color w:val="000000" w:themeColor="text1"/>
          <w:sz w:val="20"/>
          <w:szCs w:val="20"/>
        </w:rPr>
      </w:pPr>
      <w:r w:rsidRPr="00EA3FCE">
        <w:rPr>
          <w:rFonts w:ascii="Open Sans" w:hAnsi="Open Sans" w:cs="Open Sans"/>
          <w:color w:val="000000" w:themeColor="text1"/>
          <w:sz w:val="20"/>
          <w:szCs w:val="20"/>
        </w:rPr>
        <w:t>Fibromyalgia</w:t>
      </w:r>
    </w:p>
    <w:p w14:paraId="14562870"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Fibromyalgia is a chronic disorder characterized by widespread pain, diffuse tenderness, and a heightened pain response to pressure. Although fibromyalgia is not associated with joint destruction or other classic characteristics of arthritis, it is included in this category because it does involve musculoskeletal pain. The pathophysiology of this condition is poorly understood, and its diagnosis is one of exclusion; however, it is currently believed to be a disorder of pain processing by the central nervous system. Supporting this idea is the detection of , alterations in the following neurochemical and neurological parameters, including:</w:t>
      </w:r>
    </w:p>
    <w:p w14:paraId="485A13AC" w14:textId="77777777" w:rsidR="00AC258D" w:rsidRPr="00EA3FCE" w:rsidRDefault="00AC258D" w:rsidP="00AC258D">
      <w:pPr>
        <w:numPr>
          <w:ilvl w:val="0"/>
          <w:numId w:val="7"/>
        </w:num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increased levels of excitatory neurotransmitters, including substance P and glutamate;</w:t>
      </w:r>
    </w:p>
    <w:p w14:paraId="42B19629" w14:textId="77777777" w:rsidR="00AC258D" w:rsidRPr="00EA3FCE" w:rsidRDefault="00AC258D" w:rsidP="00AC258D">
      <w:pPr>
        <w:numPr>
          <w:ilvl w:val="0"/>
          <w:numId w:val="7"/>
        </w:num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lower levels of serotonin and norepinephrine in antinociceptive pathways;</w:t>
      </w:r>
    </w:p>
    <w:p w14:paraId="31DA7338" w14:textId="77777777" w:rsidR="00AC258D" w:rsidRPr="00EA3FCE" w:rsidRDefault="00AC258D" w:rsidP="00AC258D">
      <w:pPr>
        <w:numPr>
          <w:ilvl w:val="0"/>
          <w:numId w:val="7"/>
        </w:num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dysregulation of dopamine; and</w:t>
      </w:r>
    </w:p>
    <w:p w14:paraId="2482FA65" w14:textId="77777777" w:rsidR="00AC258D" w:rsidRPr="00EA3FCE" w:rsidRDefault="00AC258D" w:rsidP="00AC258D">
      <w:pPr>
        <w:numPr>
          <w:ilvl w:val="0"/>
          <w:numId w:val="7"/>
        </w:num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altered endorphin levels.</w:t>
      </w:r>
    </w:p>
    <w:p w14:paraId="4FCCC05E"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etiology of fibromyalgia is also not clearly defined, although psychological and sociocultural variables, as well as physiological parameters are believed to be involved.</w:t>
      </w:r>
    </w:p>
    <w:p w14:paraId="7CFCC184" w14:textId="77777777" w:rsidR="00AC258D" w:rsidRPr="00EA3FCE" w:rsidRDefault="00AC258D" w:rsidP="00AC258D">
      <w:pPr>
        <w:spacing w:after="100" w:afterAutospacing="1"/>
        <w:outlineLvl w:val="2"/>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of Fibromyalgia</w:t>
      </w:r>
    </w:p>
    <w:p w14:paraId="0798F053"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The management of fibromyalgia involves a multimodal approach, including education, lifestyle changes, cognitive therapy, physical activity, and pharmacological choices. The latter is discussed in clinical courses, including NURS 526, so here we focus on the pharmacotherapeutic approach.</w:t>
      </w:r>
    </w:p>
    <w:p w14:paraId="11484DF0"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Given that depression is one of the constellation of symptoms faced by fibromyalgia patients, tricyclic antidepressants such as amitriptyline (e.g., Elavil), selective serotonin reuptake inhibitors such as fluoxetine (e.g.., Prozac) and dual reuptake inhibitors (e.g.., duloxetine or Cymbalta) are often initial choices. Skeletal muscle relaxants such as cyclobenzaprine (i.e., Flexeril) and NSAIDS have also been used to good effect. Narcotic analgesics are used as a last resort, and only for short periods.</w:t>
      </w:r>
    </w:p>
    <w:p w14:paraId="1DE2A2FE" w14:textId="77777777" w:rsidR="00AC258D" w:rsidRPr="00EA3FCE" w:rsidRDefault="00AC258D" w:rsidP="00AC258D">
      <w:pPr>
        <w:spacing w:after="100" w:after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Please utilize the learning resources listed above to complete the following PBL activities and Guiding Questions, before testing your knowledge via the Self-Test Questions at the end of this unit.</w:t>
      </w:r>
    </w:p>
    <w:p w14:paraId="309A3266"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Describe the Key Features of Rhabdomyolysis, Osteomyelitis, and Septic Arthritis</w:t>
      </w:r>
    </w:p>
    <w:p w14:paraId="268C34C5"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Rhabdomyolysis</w:t>
      </w:r>
      <w:r w:rsidRPr="00EA3FCE">
        <w:rPr>
          <w:rFonts w:ascii="Open Sans" w:hAnsi="Open Sans" w:cs="Open Sans"/>
          <w:color w:val="000000" w:themeColor="text1"/>
          <w:sz w:val="20"/>
          <w:szCs w:val="20"/>
        </w:rPr>
        <w:br/>
        <w:t>Rhabdomyolysis is an acute skeletal muscle injury characterized by disruption of the sarcolemma and leakage of intracellular muscle contents into the bloodstream. Common triggers include trauma, prolonged immobilization, excessive exertion, ischemia, toxins (e.g., statins, alcohol), infections, and metabolic disturbances.</w:t>
      </w:r>
    </w:p>
    <w:p w14:paraId="6BD12881"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Pathophysiology involves muscle cell membrane damage leading to release of creatine kinase (CK), myoglobin, potassium, phosphate, and lactate dehydrogenase. Myoglobin precipitates in renal tubules, causing direct tubular toxicity, obstruction, and renal vasoconstriction, which can lead to acute kidney injury.</w:t>
      </w:r>
    </w:p>
    <w:p w14:paraId="520BCCE1"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Clinical features may include muscle pain, weakness, swelling, and dark “tea-colored” urine, though the classic triad is often absent.</w:t>
      </w:r>
    </w:p>
    <w:p w14:paraId="29BFC2DC"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prioritizes aggressive isotonic IV fluid resuscitation to maintain renal perfusion and promote myoglobin clearance. Electrolytes must be closely monitored, especially potassium. Dialysis is indicated for refractory hyperkalemia, severe acidosis, or established renal failure.</w:t>
      </w:r>
    </w:p>
    <w:p w14:paraId="3CA333B6"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Osteomyelitis</w:t>
      </w:r>
      <w:r w:rsidRPr="00EA3FCE">
        <w:rPr>
          <w:rFonts w:ascii="Open Sans" w:hAnsi="Open Sans" w:cs="Open Sans"/>
          <w:color w:val="000000" w:themeColor="text1"/>
          <w:sz w:val="20"/>
          <w:szCs w:val="20"/>
        </w:rPr>
        <w:br/>
        <w:t>Osteomyelitis is an infection of bone, most commonly caused by Staphylococcus aureus. Infection may occur via hematogenous spread, contiguous spread from adjacent tissue, or direct inoculation from trauma or surgery.</w:t>
      </w:r>
    </w:p>
    <w:p w14:paraId="5C039306"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Pathophysiology involves bacterial proliferation within bone marrow, leading to inflammation, increased intraosseous pressure, vascular compromise, bone necrosis, and sequestrum formation. Chronic infection may develop if necrotic bone persists.</w:t>
      </w:r>
    </w:p>
    <w:p w14:paraId="102C3914"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Clinical features include localized bone pain, tenderness, fever, and reduced limb function. Laboratory findings often show elevated ESR and CRP.</w:t>
      </w:r>
    </w:p>
    <w:p w14:paraId="0B967D53"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requires prolonged antibiotics (often IV initially), guided by cultures. Surgical debridement may be necessary in chronic or refractory cases.</w:t>
      </w:r>
    </w:p>
    <w:p w14:paraId="27529074"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Septic Arthritis</w:t>
      </w:r>
      <w:r w:rsidRPr="00EA3FCE">
        <w:rPr>
          <w:rFonts w:ascii="Open Sans" w:hAnsi="Open Sans" w:cs="Open Sans"/>
          <w:color w:val="000000" w:themeColor="text1"/>
          <w:sz w:val="20"/>
          <w:szCs w:val="20"/>
        </w:rPr>
        <w:br/>
        <w:t>Septic arthritis is a medical emergency involving infection of the joint space. It is commonly caused by Staphylococcus aureus or Neisseria gonorrhoeae.</w:t>
      </w:r>
    </w:p>
    <w:p w14:paraId="257C6791"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Pathophysiology involves bacterial invasion of synovial fluid, leading to intense inflammatory response, rapid cartilage destruction, and irreversible joint damage if untreated.</w:t>
      </w:r>
    </w:p>
    <w:p w14:paraId="309DECB6"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Clinical presentation includes acute monoarticular joint pain, swelling, warmth, erythema, fever, and limited range of motion.</w:t>
      </w:r>
    </w:p>
    <w:p w14:paraId="358EBD16"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includes urgent joint drainage (needle aspiration or surgery) and empiric IV antibiotics, followed by targeted therapy based on cultures.</w:t>
      </w:r>
    </w:p>
    <w:p w14:paraId="3FF8CCF5" w14:textId="77777777" w:rsidR="00EA3FCE" w:rsidRPr="00EA3FCE" w:rsidRDefault="00D67914" w:rsidP="00EA3FCE">
      <w:pPr>
        <w:rPr>
          <w:rFonts w:ascii="Open Sans" w:hAnsi="Open Sans" w:cs="Open Sans"/>
          <w:color w:val="000000" w:themeColor="text1"/>
          <w:sz w:val="20"/>
          <w:szCs w:val="20"/>
        </w:rPr>
      </w:pPr>
      <w:r w:rsidRPr="00D67914">
        <w:rPr>
          <w:rFonts w:ascii="Open Sans" w:hAnsi="Open Sans" w:cs="Open Sans"/>
          <w:noProof/>
          <w:color w:val="000000" w:themeColor="text1"/>
          <w:sz w:val="20"/>
          <w:szCs w:val="20"/>
          <w14:ligatures w14:val="standardContextual"/>
        </w:rPr>
        <w:pict w14:anchorId="241CD2A9">
          <v:rect id="_x0000_i1027" alt="" style="width:0;height:1.5pt;mso-width-percent:0;mso-height-percent:0;mso-width-percent:0;mso-height-percent:0" o:hralign="center" o:hrstd="t" o:hr="t" fillcolor="#a0a0a0" stroked="f"/>
        </w:pict>
      </w:r>
    </w:p>
    <w:p w14:paraId="46DBB649"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Discuss the Pathophysiology and Treatment of Inflammatory Diseases</w:t>
      </w:r>
    </w:p>
    <w:p w14:paraId="75ECDBD8"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Osteoarthritis</w:t>
      </w:r>
      <w:r w:rsidRPr="00EA3FCE">
        <w:rPr>
          <w:rFonts w:ascii="Open Sans" w:hAnsi="Open Sans" w:cs="Open Sans"/>
          <w:color w:val="000000" w:themeColor="text1"/>
          <w:sz w:val="20"/>
          <w:szCs w:val="20"/>
        </w:rPr>
        <w:br/>
        <w:t>Osteoarthritis is a degenerative joint disease characterized by progressive loss of articular cartilage, subchondral bone sclerosis, osteophyte formation, and joint space narrowing. Reduced proteoglycan content impairs cartilage shock absorption. Although traditionally viewed as non-inflammatory, cytokines and metalloproteinases contribute to cartilage degradation.</w:t>
      </w:r>
    </w:p>
    <w:p w14:paraId="1ABAD8B2"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focuses on symptom control and function preservation. First-line therapy includes acetaminophen and NSAIDs. Topical NSAIDs are effective for localized disease. Intra-articular corticosteroids may provide short-term relief. Joint replacement is considered in advanced disease.</w:t>
      </w:r>
    </w:p>
    <w:p w14:paraId="0D17D572"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Rheumatoid Arthritis</w:t>
      </w:r>
      <w:r w:rsidRPr="00EA3FCE">
        <w:rPr>
          <w:rFonts w:ascii="Open Sans" w:hAnsi="Open Sans" w:cs="Open Sans"/>
          <w:color w:val="000000" w:themeColor="text1"/>
          <w:sz w:val="20"/>
          <w:szCs w:val="20"/>
        </w:rPr>
        <w:br/>
        <w:t>Rheumatoid arthritis is a systemic autoimmune disease characterized by chronic synovial inflammation, pannus formation, cartilage destruction, and bone erosion. Autoantibodies (RF, ACPAs) and activated T cells, B cells, macrophages, and cytokines (TNF-α, IL-1, IL-6, IL-17) perpetuate inflammation and osteoclast activation.</w:t>
      </w:r>
    </w:p>
    <w:p w14:paraId="66643367"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emphasizes early initiation of DMARDs, with methotrexate as the anchor drug. Combination DMARD therapy is standard. Biologic agents target specific inflammatory mediators in moderate to severe disease. NSAIDs and corticosteroids provide symptomatic relief but do not alter disease progression.</w:t>
      </w:r>
    </w:p>
    <w:p w14:paraId="2D14F114"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Juvenile Idiopathic Arthritis</w:t>
      </w:r>
      <w:r w:rsidRPr="00EA3FCE">
        <w:rPr>
          <w:rFonts w:ascii="Open Sans" w:hAnsi="Open Sans" w:cs="Open Sans"/>
          <w:color w:val="000000" w:themeColor="text1"/>
          <w:sz w:val="20"/>
          <w:szCs w:val="20"/>
        </w:rPr>
        <w:br/>
        <w:t>Juvenile idiopathic arthritis is a chronic inflammatory arthritis presenting before age 16. Pathophysiology involves immune dysregulation with persistent synovitis, leading to joint damage and growth disturbances.</w:t>
      </w:r>
    </w:p>
    <w:p w14:paraId="17714D02"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includes NSAIDs, intra-articular steroids, DMARDs (methotrexate), and biologics depending on severity. Early treatment is critical to prevent long-term disability.</w:t>
      </w:r>
    </w:p>
    <w:p w14:paraId="70A3F6CD"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Ankylosing Spondylitis</w:t>
      </w:r>
      <w:r w:rsidRPr="00EA3FCE">
        <w:rPr>
          <w:rFonts w:ascii="Open Sans" w:hAnsi="Open Sans" w:cs="Open Sans"/>
          <w:color w:val="000000" w:themeColor="text1"/>
          <w:sz w:val="20"/>
          <w:szCs w:val="20"/>
        </w:rPr>
        <w:br/>
        <w:t>Ankylosing spondylitis is a seronegative spondyloarthropathy strongly associated with HLA-B27. Inflammation primarily affects the axial skeleton and sacroiliac joints, leading to enthesitis, fibrosis, and eventual spinal fusion.</w:t>
      </w:r>
    </w:p>
    <w:p w14:paraId="5D4015B3"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includes NSAIDs as first line. TNF-α inhibitors and IL-17 inhibitors are used in patients with persistent disease. Physical therapy is essential to maintain posture and mobility.</w:t>
      </w:r>
    </w:p>
    <w:p w14:paraId="7E8D5E32"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Gout</w:t>
      </w:r>
      <w:r w:rsidRPr="00EA3FCE">
        <w:rPr>
          <w:rFonts w:ascii="Open Sans" w:hAnsi="Open Sans" w:cs="Open Sans"/>
          <w:color w:val="000000" w:themeColor="text1"/>
          <w:sz w:val="20"/>
          <w:szCs w:val="20"/>
        </w:rPr>
        <w:br/>
        <w:t>Gout is an inflammatory arthritis caused by deposition of monosodium urate crystals due to hyperuricemia. Crystal deposition activates the innate immune system, leading to intense neutrophil-mediated inflammation.</w:t>
      </w:r>
    </w:p>
    <w:p w14:paraId="1063B321"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Acute gout is treated with NSAIDs, colchicine, or corticosteroids. Long-term management focuses on urate-lowering therapy such as allopurinol or febuxostat. Lifestyle modification reduces recurrence risk.</w:t>
      </w:r>
    </w:p>
    <w:p w14:paraId="5BDBC257" w14:textId="77777777" w:rsidR="00EA3FCE" w:rsidRPr="00EA3FCE" w:rsidRDefault="00D67914" w:rsidP="00EA3FCE">
      <w:pPr>
        <w:rPr>
          <w:rFonts w:ascii="Open Sans" w:hAnsi="Open Sans" w:cs="Open Sans"/>
          <w:color w:val="000000" w:themeColor="text1"/>
          <w:sz w:val="20"/>
          <w:szCs w:val="20"/>
        </w:rPr>
      </w:pPr>
      <w:r w:rsidRPr="00D67914">
        <w:rPr>
          <w:rFonts w:ascii="Open Sans" w:hAnsi="Open Sans" w:cs="Open Sans"/>
          <w:noProof/>
          <w:color w:val="000000" w:themeColor="text1"/>
          <w:sz w:val="20"/>
          <w:szCs w:val="20"/>
          <w14:ligatures w14:val="standardContextual"/>
        </w:rPr>
        <w:lastRenderedPageBreak/>
        <w:pict w14:anchorId="00CA6315">
          <v:rect id="_x0000_i1026" alt="" style="width:468pt;height:.05pt;mso-width-percent:0;mso-height-percent:0;mso-width-percent:0;mso-height-percent:0" o:hralign="center" o:hrstd="t" o:hr="t" fillcolor="#a0a0a0" stroked="f"/>
        </w:pict>
      </w:r>
    </w:p>
    <w:p w14:paraId="18BB7D24"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Discuss the Pathophysiology and Treatment of Osteoporosis and Fibromyalgia</w:t>
      </w:r>
    </w:p>
    <w:p w14:paraId="6BBC9961"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Osteoporosis</w:t>
      </w:r>
      <w:r w:rsidRPr="00EA3FCE">
        <w:rPr>
          <w:rFonts w:ascii="Open Sans" w:hAnsi="Open Sans" w:cs="Open Sans"/>
          <w:color w:val="000000" w:themeColor="text1"/>
          <w:sz w:val="20"/>
          <w:szCs w:val="20"/>
        </w:rPr>
        <w:br/>
        <w:t>Osteoporosis is a systemic skeletal disorder characterized by reduced bone strength and increased fracture risk. Pathophysiology involves an imbalance between bone resorption and formation, favoring osteoclast activity. Loss begins in trabecular bone and progresses to cortical thinning.</w:t>
      </w:r>
    </w:p>
    <w:p w14:paraId="3D550D22"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includes lifestyle measures (exercise, calcium, vitamin D) and pharmacologic therapy. Bisphosphonates are first-line. Denosumab inhibits RANKL-mediated osteoclast activation. Raloxifene is used selectively in postmenopausal women.</w:t>
      </w:r>
    </w:p>
    <w:p w14:paraId="02E5A49A"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Fibromyalgia</w:t>
      </w:r>
      <w:r w:rsidRPr="00EA3FCE">
        <w:rPr>
          <w:rFonts w:ascii="Open Sans" w:hAnsi="Open Sans" w:cs="Open Sans"/>
          <w:color w:val="000000" w:themeColor="text1"/>
          <w:sz w:val="20"/>
          <w:szCs w:val="20"/>
        </w:rPr>
        <w:br/>
        <w:t>Fibromyalgia is a chronic pain disorder characterized by widespread musculoskeletal pain, fatigue, sleep disturbance, and cognitive symptoms. Pathophysiology involves central sensitization with altered pain processing, increased excitatory neurotransmitters, and reduced inhibitory modulation. There is no structural tissue damage.</w:t>
      </w:r>
    </w:p>
    <w:p w14:paraId="3EE853DB"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emphasizes non-pharmacologic strategies including exercise, sleep optimization, and cognitive-behavioral therapy. Medications such as SNRIs, TCAs, and gabapentinoids may reduce symptom burden. NSAIDs and opioids are generally ineffective.</w:t>
      </w:r>
    </w:p>
    <w:p w14:paraId="71E5BCF8" w14:textId="77777777" w:rsidR="00EA3FCE" w:rsidRPr="00EA3FCE" w:rsidRDefault="00D67914" w:rsidP="00EA3FCE">
      <w:pPr>
        <w:rPr>
          <w:rFonts w:ascii="Open Sans" w:hAnsi="Open Sans" w:cs="Open Sans"/>
          <w:color w:val="000000" w:themeColor="text1"/>
          <w:sz w:val="20"/>
          <w:szCs w:val="20"/>
        </w:rPr>
      </w:pPr>
      <w:r w:rsidRPr="00D67914">
        <w:rPr>
          <w:rFonts w:ascii="Open Sans" w:hAnsi="Open Sans" w:cs="Open Sans"/>
          <w:noProof/>
          <w:color w:val="000000" w:themeColor="text1"/>
          <w:sz w:val="20"/>
          <w:szCs w:val="20"/>
          <w14:ligatures w14:val="standardContextual"/>
        </w:rPr>
        <w:pict w14:anchorId="6F47CD41">
          <v:rect id="_x0000_i1025" alt="" style="width:468pt;height:.05pt;mso-width-percent:0;mso-height-percent:0;mso-width-percent:0;mso-height-percent:0" o:hralign="center" o:hrstd="t" o:hr="t" fillcolor="#a0a0a0" stroked="f"/>
        </w:pict>
      </w:r>
    </w:p>
    <w:p w14:paraId="158F60B8"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Describe the Basic Features of Sprains and Bone Healing</w:t>
      </w:r>
    </w:p>
    <w:p w14:paraId="387E389A"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Sprains</w:t>
      </w:r>
      <w:r w:rsidRPr="00EA3FCE">
        <w:rPr>
          <w:rFonts w:ascii="Open Sans" w:hAnsi="Open Sans" w:cs="Open Sans"/>
          <w:color w:val="000000" w:themeColor="text1"/>
          <w:sz w:val="20"/>
          <w:szCs w:val="20"/>
        </w:rPr>
        <w:br/>
        <w:t>First-degree sprain involves mild ligament stretching with minimal pain and no instability.</w:t>
      </w:r>
      <w:r w:rsidRPr="00EA3FCE">
        <w:rPr>
          <w:rFonts w:ascii="Open Sans" w:hAnsi="Open Sans" w:cs="Open Sans"/>
          <w:color w:val="000000" w:themeColor="text1"/>
          <w:sz w:val="20"/>
          <w:szCs w:val="20"/>
        </w:rPr>
        <w:br/>
        <w:t>Second-degree sprain involves partial ligament tear with pain, swelling, and mild to moderate instability.</w:t>
      </w:r>
      <w:r w:rsidRPr="00EA3FCE">
        <w:rPr>
          <w:rFonts w:ascii="Open Sans" w:hAnsi="Open Sans" w:cs="Open Sans"/>
          <w:color w:val="000000" w:themeColor="text1"/>
          <w:sz w:val="20"/>
          <w:szCs w:val="20"/>
        </w:rPr>
        <w:br/>
        <w:t>Third-degree sprain involves complete ligament rupture with severe swelling, pain, and joint instability.</w:t>
      </w:r>
    </w:p>
    <w:p w14:paraId="5D4E49E7"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Treatment ranges from rest and immobilization to surgical repair depending on severity.</w:t>
      </w:r>
    </w:p>
    <w:p w14:paraId="1F761A95"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Bone Healing</w:t>
      </w:r>
      <w:r w:rsidRPr="00EA3FCE">
        <w:rPr>
          <w:rFonts w:ascii="Open Sans" w:hAnsi="Open Sans" w:cs="Open Sans"/>
          <w:color w:val="000000" w:themeColor="text1"/>
          <w:sz w:val="20"/>
          <w:szCs w:val="20"/>
        </w:rPr>
        <w:br/>
        <w:t>Bone healing occurs in three overlapping phases.</w:t>
      </w:r>
      <w:r w:rsidRPr="00EA3FCE">
        <w:rPr>
          <w:rFonts w:ascii="Open Sans" w:hAnsi="Open Sans" w:cs="Open Sans"/>
          <w:color w:val="000000" w:themeColor="text1"/>
          <w:sz w:val="20"/>
          <w:szCs w:val="20"/>
        </w:rPr>
        <w:br/>
        <w:t>Inflammatory phase: hematoma formation and inflammatory cell infiltration.</w:t>
      </w:r>
      <w:r w:rsidRPr="00EA3FCE">
        <w:rPr>
          <w:rFonts w:ascii="Open Sans" w:hAnsi="Open Sans" w:cs="Open Sans"/>
          <w:color w:val="000000" w:themeColor="text1"/>
          <w:sz w:val="20"/>
          <w:szCs w:val="20"/>
        </w:rPr>
        <w:br/>
        <w:t>Reparative phase: soft callus formation followed by hard callus as osteoblasts lay down new bone.</w:t>
      </w:r>
      <w:r w:rsidRPr="00EA3FCE">
        <w:rPr>
          <w:rFonts w:ascii="Open Sans" w:hAnsi="Open Sans" w:cs="Open Sans"/>
          <w:color w:val="000000" w:themeColor="text1"/>
          <w:sz w:val="20"/>
          <w:szCs w:val="20"/>
        </w:rPr>
        <w:br/>
        <w:t>Remodeling phase: gradual replacement of woven bone with lamellar bone, restoring strength and structure.</w:t>
      </w:r>
    </w:p>
    <w:p w14:paraId="10E67CAE" w14:textId="77777777" w:rsidR="00EA3FCE" w:rsidRPr="00EA3FCE" w:rsidRDefault="00EA3FCE" w:rsidP="00EA3FCE">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Adequate blood supply, mechanical stability, nutrition, and absence of infection are critical for proper healing.</w:t>
      </w:r>
    </w:p>
    <w:p w14:paraId="2A05B6E2" w14:textId="77777777" w:rsidR="00EA3FCE" w:rsidRPr="00EA3FCE" w:rsidRDefault="00EA3FCE" w:rsidP="00AC258D">
      <w:pPr>
        <w:spacing w:after="100" w:afterAutospacing="1"/>
        <w:rPr>
          <w:rFonts w:ascii="Open Sans" w:hAnsi="Open Sans" w:cs="Open Sans"/>
          <w:color w:val="000000" w:themeColor="text1"/>
          <w:sz w:val="20"/>
          <w:szCs w:val="20"/>
        </w:rPr>
      </w:pPr>
    </w:p>
    <w:p w14:paraId="1A93A399" w14:textId="77777777" w:rsidR="00AC258D" w:rsidRPr="00EA3FCE" w:rsidRDefault="00AC258D" w:rsidP="00AC258D">
      <w:pPr>
        <w:shd w:val="clear" w:color="auto" w:fill="EDEFF5"/>
        <w:spacing w:after="100" w:afterAutospacing="1"/>
        <w:outlineLvl w:val="3"/>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Problem-Based Learning Activities</w:t>
      </w:r>
    </w:p>
    <w:p w14:paraId="2CF7D656"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some of the patient parameters that you need to monitor if you have an elderly patient on long-term NSAID therapy?</w:t>
      </w:r>
    </w:p>
    <w:p w14:paraId="3AE66C19"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What is the mechanism of action of Celecoxib (Celebrex)? When is its use for OA patients indicated?</w:t>
      </w:r>
    </w:p>
    <w:p w14:paraId="34CDC02B"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Are any topical NSAIDS effective in providing OA relief?</w:t>
      </w:r>
    </w:p>
    <w:p w14:paraId="5451F73B"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Would you consider prescribing chondroitin sulfate and hyaluronic acid (cartilage matrix components) as OTC medications for an OA patient? Why or why not?</w:t>
      </w:r>
    </w:p>
    <w:p w14:paraId="67866274"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Why is it important to measure LFTs and Cr levels in patients on methotrexate? Which other labs are useful to order?</w:t>
      </w:r>
    </w:p>
    <w:p w14:paraId="297BFC0B"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Which complementary and alternative therapies have been used to treat RA to good effect?</w:t>
      </w:r>
    </w:p>
    <w:p w14:paraId="14810E29"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Which biological DMARDS are currently available for treating RA?</w:t>
      </w:r>
    </w:p>
    <w:p w14:paraId="3608FE68"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Are there any special considerations for patients on biologics for RA?</w:t>
      </w:r>
    </w:p>
    <w:p w14:paraId="1214A883"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the possible etiologies of gout? What is pseudogout?</w:t>
      </w:r>
    </w:p>
    <w:p w14:paraId="3D915D11"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Which diet and lifestyle alterations can have some efficacy in treating acute gout?</w:t>
      </w:r>
    </w:p>
    <w:p w14:paraId="0CAC26DA"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the mechanisms of action of probenecid and allopurinol?</w:t>
      </w:r>
    </w:p>
    <w:p w14:paraId="435B2C39" w14:textId="77777777" w:rsidR="00AC258D" w:rsidRPr="00EA3FCE" w:rsidRDefault="00AC258D" w:rsidP="00AC258D">
      <w:pPr>
        <w:numPr>
          <w:ilvl w:val="0"/>
          <w:numId w:val="8"/>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Which combination therapies have been shown to be effective if your patient does not receive relief from gout with monotherapy?</w:t>
      </w:r>
    </w:p>
    <w:p w14:paraId="1BBC54EF" w14:textId="77777777" w:rsidR="00AC258D" w:rsidRPr="00EA3FCE" w:rsidRDefault="00AC258D" w:rsidP="00AC258D">
      <w:pPr>
        <w:shd w:val="clear" w:color="auto" w:fill="EDEFF5"/>
        <w:spacing w:after="100" w:afterAutospacing="1"/>
        <w:outlineLvl w:val="3"/>
        <w:rPr>
          <w:rFonts w:ascii="Open Sans" w:hAnsi="Open Sans" w:cs="Open Sans"/>
          <w:color w:val="000000" w:themeColor="text1"/>
          <w:sz w:val="20"/>
          <w:szCs w:val="20"/>
        </w:rPr>
      </w:pPr>
      <w:r w:rsidRPr="00EA3FCE">
        <w:rPr>
          <w:rFonts w:ascii="Open Sans" w:hAnsi="Open Sans" w:cs="Open Sans"/>
          <w:color w:val="000000" w:themeColor="text1"/>
          <w:sz w:val="20"/>
          <w:szCs w:val="20"/>
        </w:rPr>
        <w:t>Guiding Questions</w:t>
      </w:r>
    </w:p>
    <w:p w14:paraId="23132094" w14:textId="77777777" w:rsidR="00AC258D" w:rsidRPr="00EA3FCE" w:rsidRDefault="00AC258D" w:rsidP="00AC258D">
      <w:pPr>
        <w:numPr>
          <w:ilvl w:val="0"/>
          <w:numId w:val="9"/>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the differences in presentation and pathophysiology of rheumatoid arthritis and osteoarthritis? How are these entities treated?</w:t>
      </w:r>
    </w:p>
    <w:p w14:paraId="2FD599BF" w14:textId="77777777" w:rsidR="00AC258D" w:rsidRPr="00EA3FCE" w:rsidRDefault="00AC258D" w:rsidP="00AC258D">
      <w:pPr>
        <w:numPr>
          <w:ilvl w:val="0"/>
          <w:numId w:val="9"/>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Which elements of homeostasis are perturbed in patients suffering from osteoporosis?</w:t>
      </w:r>
    </w:p>
    <w:p w14:paraId="3077EEE8" w14:textId="77777777" w:rsidR="00AC258D" w:rsidRPr="00EA3FCE" w:rsidRDefault="00AC258D" w:rsidP="00AC258D">
      <w:pPr>
        <w:numPr>
          <w:ilvl w:val="0"/>
          <w:numId w:val="9"/>
        </w:numPr>
        <w:shd w:val="clear" w:color="auto" w:fill="EDEFF5"/>
        <w:spacing w:before="100" w:beforeAutospacing="1"/>
        <w:rPr>
          <w:rFonts w:ascii="Open Sans" w:hAnsi="Open Sans" w:cs="Open Sans"/>
          <w:color w:val="000000" w:themeColor="text1"/>
          <w:sz w:val="20"/>
          <w:szCs w:val="20"/>
        </w:rPr>
      </w:pPr>
      <w:r w:rsidRPr="00EA3FCE">
        <w:rPr>
          <w:rFonts w:ascii="Open Sans" w:hAnsi="Open Sans" w:cs="Open Sans"/>
          <w:color w:val="000000" w:themeColor="text1"/>
          <w:sz w:val="20"/>
          <w:szCs w:val="20"/>
        </w:rPr>
        <w:t>How is the inflammatory process triggered in gout? How can gout be treated?</w:t>
      </w:r>
    </w:p>
    <w:p w14:paraId="28080DF7" w14:textId="77777777" w:rsidR="009B1E47" w:rsidRPr="00EA3FCE" w:rsidRDefault="009B1E47">
      <w:pPr>
        <w:rPr>
          <w:rFonts w:ascii="Open Sans" w:hAnsi="Open Sans" w:cs="Open Sans"/>
          <w:color w:val="000000" w:themeColor="text1"/>
          <w:sz w:val="20"/>
          <w:szCs w:val="20"/>
        </w:rPr>
      </w:pPr>
    </w:p>
    <w:p w14:paraId="25AF04BA"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some of the patient parameters that you need to monitor if you have an elderly patient on long-term NSAID therapy?</w:t>
      </w:r>
      <w:r w:rsidRPr="00EA3FCE">
        <w:rPr>
          <w:rFonts w:ascii="Open Sans" w:hAnsi="Open Sans" w:cs="Open Sans"/>
          <w:color w:val="000000" w:themeColor="text1"/>
          <w:sz w:val="20"/>
          <w:szCs w:val="20"/>
        </w:rPr>
        <w:br/>
        <w:t>In elderly patients, long-term NSAID therapy requires careful monitoring due to increased risk of adverse effects. Renal function should be monitored regularly using serum creatinine and estimated GFR, as NSAIDs reduce renal prostaglandin synthesis and can precipitate acute kidney injury, particularly in patients with dehydration, heart failure, or concomitant ACE inhibitor/ARB and diuretic use. Blood pressure and signs of fluid retention should be monitored because NSAIDs can cause sodium and water retention, worsening hypertension and heart failure. Gastrointestinal risk must be assessed, including symptoms of dyspepsia, melena, anemia, or GI bleeding; CBC may be monitored if bleeding risk is high. Cardiovascular risk should be reviewed, as NSAIDs increase the risk of myocardial infarction and stroke. Medication reconciliation is essential to identify interactions with anticoagulants, antiplatelets, corticosteroids, SSRIs, or alcohol, which increase bleeding risk.</w:t>
      </w:r>
    </w:p>
    <w:p w14:paraId="46551AAD"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What is the mechanism of action of celecoxib (Celebrex)? When is its use for OA patients indicated?</w:t>
      </w:r>
      <w:r w:rsidRPr="00EA3FCE">
        <w:rPr>
          <w:rFonts w:ascii="Open Sans" w:hAnsi="Open Sans" w:cs="Open Sans"/>
          <w:color w:val="000000" w:themeColor="text1"/>
          <w:sz w:val="20"/>
          <w:szCs w:val="20"/>
        </w:rPr>
        <w:br/>
        <w:t>Celecoxib is a selective cyclooxygenase-2 (COX-2) inhibitor that reduces prostaglandin synthesis responsible for pain and inflammation while sparing COX-1, which helps protect gastric mucosa and platelet function. In osteoarthritis, celecoxib is indicated for patients requiring NSAID-level analgesia and anti-inflammatory effects, particularly those at increased risk of gastrointestinal complications from nonselective NSAIDs. Cardiovascular and renal risks must still be considered, and it should be used at the lowest effective dose.</w:t>
      </w:r>
    </w:p>
    <w:p w14:paraId="49ED4726"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lastRenderedPageBreak/>
        <w:t>Are any topical NSAIDs effective in providing OA relief?</w:t>
      </w:r>
      <w:r w:rsidRPr="00EA3FCE">
        <w:rPr>
          <w:rFonts w:ascii="Open Sans" w:hAnsi="Open Sans" w:cs="Open Sans"/>
          <w:color w:val="000000" w:themeColor="text1"/>
          <w:sz w:val="20"/>
          <w:szCs w:val="20"/>
        </w:rPr>
        <w:br/>
        <w:t>Yes. Topical NSAIDs, particularly topical diclofenac, are effective for pain relief and functional improvement in knee and hand osteoarthritis. They are especially useful in older adults or those with increased risk of systemic NSAID adverse effects, as they provide localized anti-inflammatory action with lower systemic absorption.</w:t>
      </w:r>
    </w:p>
    <w:p w14:paraId="2ECF50A7"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Would you consider prescribing chondroitin sulfate and hyaluronic acid as OTC medications for an OA patient? Why or why not?</w:t>
      </w:r>
      <w:r w:rsidRPr="00EA3FCE">
        <w:rPr>
          <w:rFonts w:ascii="Open Sans" w:hAnsi="Open Sans" w:cs="Open Sans"/>
          <w:color w:val="000000" w:themeColor="text1"/>
          <w:sz w:val="20"/>
          <w:szCs w:val="20"/>
        </w:rPr>
        <w:br/>
        <w:t>Chondroitin sulfate, with or without glucosamine, has inconsistent and modest evidence for osteoarthritis symptom relief. A short trial may be reasonable if patients understand the limited evidence and cost considerations, but it should not replace first-line therapies such as exercise, weight management, and NSAIDs. Oral hyaluronic acid supplements lack strong evidence. Intra-articular hyaluronic acid injections show limited benefit, and major guidelines generally do not recommend routine use due to minimal clinical improvement.</w:t>
      </w:r>
    </w:p>
    <w:p w14:paraId="6255D3F5"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Why is it important to measure LFTs and creatinine levels in patients on methotrexate? Which other labs are useful to order?</w:t>
      </w:r>
      <w:r w:rsidRPr="00EA3FCE">
        <w:rPr>
          <w:rFonts w:ascii="Open Sans" w:hAnsi="Open Sans" w:cs="Open Sans"/>
          <w:color w:val="000000" w:themeColor="text1"/>
          <w:sz w:val="20"/>
          <w:szCs w:val="20"/>
        </w:rPr>
        <w:br/>
        <w:t>Methotrexate can cause hepatotoxicity and is renally cleared; impaired renal function increases the risk of drug accumulation and toxicity. Monitoring liver function tests and serum creatinine or estimated GFR is therefore essential. Additional useful labs include CBC to monitor for cytopenias, inflammatory markers such as CRP and ESR to assess disease activity, and baseline hepatitis B and C screening when clinically indicated. Pregnancy testing is required in individuals of childbearing potential due to methotrexate’s teratogenicity.</w:t>
      </w:r>
    </w:p>
    <w:p w14:paraId="11B14E2D"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Which complementary and alternative therapies have been used to treat RA to good effect?</w:t>
      </w:r>
      <w:r w:rsidRPr="00EA3FCE">
        <w:rPr>
          <w:rFonts w:ascii="Open Sans" w:hAnsi="Open Sans" w:cs="Open Sans"/>
          <w:color w:val="000000" w:themeColor="text1"/>
          <w:sz w:val="20"/>
          <w:szCs w:val="20"/>
        </w:rPr>
        <w:br/>
        <w:t>Complementary therapies that may provide adjunctive benefit in rheumatoid arthritis include structured exercise and physical therapy, omega-3 fatty acid supplementation which may reduce inflammatory activity and NSAID requirements, mindfulness-based stress reduction for pain coping, and curcumin or turmeric, which has modest anti-inflammatory effects. These therapies should be used alongside, not instead of, disease-modifying treatment.</w:t>
      </w:r>
    </w:p>
    <w:p w14:paraId="5A10C49A"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Which biological DMARDs are currently available for treating RA?</w:t>
      </w:r>
      <w:r w:rsidRPr="00EA3FCE">
        <w:rPr>
          <w:rFonts w:ascii="Open Sans" w:hAnsi="Open Sans" w:cs="Open Sans"/>
          <w:color w:val="000000" w:themeColor="text1"/>
          <w:sz w:val="20"/>
          <w:szCs w:val="20"/>
        </w:rPr>
        <w:br/>
        <w:t>Biologic DMARDs include TNF-alpha inhibitors such as adalimumab, etanercept, infliximab, golimumab, and certolizumab; IL-6 receptor antagonists such as tocilizumab and sarilumab; T-cell costimulation modulators such as abatacept; B-cell–depleting agents such as rituximab; and IL-1 receptor antagonists such as anakinra. Selection depends on disease severity, comorbidities, prior response, and specialist guidance.</w:t>
      </w:r>
    </w:p>
    <w:p w14:paraId="505320E2"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Are there any special considerations for patients on biologics for RA?</w:t>
      </w:r>
      <w:r w:rsidRPr="00EA3FCE">
        <w:rPr>
          <w:rFonts w:ascii="Open Sans" w:hAnsi="Open Sans" w:cs="Open Sans"/>
          <w:color w:val="000000" w:themeColor="text1"/>
          <w:sz w:val="20"/>
          <w:szCs w:val="20"/>
        </w:rPr>
        <w:br/>
        <w:t>Patients on biologics have an increased risk of infection and must be screened for latent tuberculosis and hepatitis B prior to initiation. Live vaccines are contraindicated during therapy. Patients should be instructed to report signs of infection promptly. Biologic therapy is typically held during serious infections or before major surgery. Cost, insurance coverage, and rheumatology oversight are important considerations.</w:t>
      </w:r>
    </w:p>
    <w:p w14:paraId="20216F3F"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the possible etiologies of gout? What is pseudogout?</w:t>
      </w:r>
      <w:r w:rsidRPr="00EA3FCE">
        <w:rPr>
          <w:rFonts w:ascii="Open Sans" w:hAnsi="Open Sans" w:cs="Open Sans"/>
          <w:color w:val="000000" w:themeColor="text1"/>
          <w:sz w:val="20"/>
          <w:szCs w:val="20"/>
        </w:rPr>
        <w:br/>
        <w:t xml:space="preserve">Gout results from hyperuricemia leading to monosodium urate crystal deposition in joints. </w:t>
      </w:r>
      <w:r w:rsidRPr="00EA3FCE">
        <w:rPr>
          <w:rFonts w:ascii="Open Sans" w:hAnsi="Open Sans" w:cs="Open Sans"/>
          <w:color w:val="000000" w:themeColor="text1"/>
          <w:sz w:val="20"/>
          <w:szCs w:val="20"/>
        </w:rPr>
        <w:lastRenderedPageBreak/>
        <w:t>Etiologies include decreased renal uric acid excretion, increased uric acid production, genetic predisposition, chronic kidney disease, diuretic use, alcohol consumption, high-purine diets, obesity, and metabolic syndrome. Pseudogout, or calcium pyrophosphate deposition disease, is caused by deposition of calcium pyrophosphate crystals and can clinically mimic gout but involves different crystal pathology and management.</w:t>
      </w:r>
    </w:p>
    <w:p w14:paraId="3DB58201"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Which diet and lifestyle alterations can have some efficacy in treating acute gout?</w:t>
      </w:r>
      <w:r w:rsidRPr="00EA3FCE">
        <w:rPr>
          <w:rFonts w:ascii="Open Sans" w:hAnsi="Open Sans" w:cs="Open Sans"/>
          <w:color w:val="000000" w:themeColor="text1"/>
          <w:sz w:val="20"/>
          <w:szCs w:val="20"/>
        </w:rPr>
        <w:br/>
        <w:t>Dietary and lifestyle measures include maintaining adequate hydration, avoiding alcohol especially beer and spirits, reducing intake of high-purine foods such as red meat, organ meats, and shellfish, and avoiding high-fructose corn syrup. Weight loss and management of metabolic syndrome improve long-term gout control but are not acute treatments.</w:t>
      </w:r>
    </w:p>
    <w:p w14:paraId="77492A17"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What are the mechanisms of action of probenecid and allopurinol?</w:t>
      </w:r>
      <w:r w:rsidRPr="00EA3FCE">
        <w:rPr>
          <w:rFonts w:ascii="Open Sans" w:hAnsi="Open Sans" w:cs="Open Sans"/>
          <w:color w:val="000000" w:themeColor="text1"/>
          <w:sz w:val="20"/>
          <w:szCs w:val="20"/>
        </w:rPr>
        <w:br/>
        <w:t>Probenecid is a uricosuric agent that increases renal excretion of uric acid by inhibiting its reabsorption in the proximal tubule. Allopurinol inhibits xanthine oxidase, reducing the production of uric acid from purine metabolism.</w:t>
      </w:r>
    </w:p>
    <w:p w14:paraId="4CE0AA5E"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Which combination therapies have been shown to be effective if gout does not respond to monotherapy?</w:t>
      </w:r>
      <w:r w:rsidRPr="00EA3FCE">
        <w:rPr>
          <w:rFonts w:ascii="Open Sans" w:hAnsi="Open Sans" w:cs="Open Sans"/>
          <w:color w:val="000000" w:themeColor="text1"/>
          <w:sz w:val="20"/>
          <w:szCs w:val="20"/>
        </w:rPr>
        <w:br/>
        <w:t>If monotherapy is insufficient, combination therapy may include a xanthine oxidase inhibitor such as allopurinol or febuxostat combined with a uricosuric agent such as probenecid. During initiation of urate-lowering therapy, prophylaxis with low-dose colchicine or NSAIDs is commonly used to prevent acute gout flares.</w:t>
      </w:r>
    </w:p>
    <w:p w14:paraId="61F4B548"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Guiding question: What are the differences in presentation and pathophysiology of rheumatoid arthritis and osteoarthritis? How are these entities treated?</w:t>
      </w:r>
      <w:r w:rsidRPr="00EA3FCE">
        <w:rPr>
          <w:rFonts w:ascii="Open Sans" w:hAnsi="Open Sans" w:cs="Open Sans"/>
          <w:color w:val="000000" w:themeColor="text1"/>
          <w:sz w:val="20"/>
          <w:szCs w:val="20"/>
        </w:rPr>
        <w:br/>
        <w:t>Rheumatoid arthritis is a systemic autoimmune inflammatory disease characterized by symmetric joint involvement, prolonged morning stiffness, synovial inflammation, and extra-articular manifestations. Treatment focuses on early and aggressive disease-modifying therapy using DMARDs and biologics to prevent joint destruction. Osteoarthritis is a degenerative joint disease characterized by cartilage breakdown, subchondral bone changes, and pain that worsens with activity and improves with rest. Treatment is primarily symptomatic and includes exercise, weight management, topical or oral NSAIDs, and selected intra-articular therapies.</w:t>
      </w:r>
    </w:p>
    <w:p w14:paraId="03DB82E5"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Guiding question: Which elements of homeostasis are perturbed in patients suffering from osteoporosis?</w:t>
      </w:r>
      <w:r w:rsidRPr="00EA3FCE">
        <w:rPr>
          <w:rFonts w:ascii="Open Sans" w:hAnsi="Open Sans" w:cs="Open Sans"/>
          <w:color w:val="000000" w:themeColor="text1"/>
          <w:sz w:val="20"/>
          <w:szCs w:val="20"/>
        </w:rPr>
        <w:br/>
        <w:t>Osteoporosis disrupts skeletal homeostasis, particularly the balance between bone formation and resorption. Calcium and phosphate homeostasis, hormonal regulation involving estrogen, parathyroid hormone, and vitamin D, and mechanotransduction signaling are impaired, leading to reduced bone strength and increased fracture risk.</w:t>
      </w:r>
    </w:p>
    <w:p w14:paraId="173948B6" w14:textId="77777777" w:rsidR="00AC258D" w:rsidRPr="00EA3FCE" w:rsidRDefault="00AC258D" w:rsidP="00AC258D">
      <w:pPr>
        <w:pStyle w:val="NormalWeb"/>
        <w:rPr>
          <w:rFonts w:ascii="Open Sans" w:hAnsi="Open Sans" w:cs="Open Sans"/>
          <w:color w:val="000000" w:themeColor="text1"/>
          <w:sz w:val="20"/>
          <w:szCs w:val="20"/>
        </w:rPr>
      </w:pPr>
      <w:r w:rsidRPr="00EA3FCE">
        <w:rPr>
          <w:rFonts w:ascii="Open Sans" w:hAnsi="Open Sans" w:cs="Open Sans"/>
          <w:color w:val="000000" w:themeColor="text1"/>
          <w:sz w:val="20"/>
          <w:szCs w:val="20"/>
        </w:rPr>
        <w:t>Guiding question: How is the inflammatory process triggered in gout? How can gout be treated?</w:t>
      </w:r>
      <w:r w:rsidRPr="00EA3FCE">
        <w:rPr>
          <w:rFonts w:ascii="Open Sans" w:hAnsi="Open Sans" w:cs="Open Sans"/>
          <w:color w:val="000000" w:themeColor="text1"/>
          <w:sz w:val="20"/>
          <w:szCs w:val="20"/>
        </w:rPr>
        <w:br/>
        <w:t xml:space="preserve">Gout inflammation is triggered when monosodium urate crystals deposit in joints and are phagocytosed by immune cells, activating the inflammasome and promoting release of pro-inflammatory cytokines such as interleukin-1. Acute treatment focuses on suppressing inflammation with NSAIDs, colchicine, or corticosteroids. Long-term management aims to reduce serum urate </w:t>
      </w:r>
      <w:r w:rsidRPr="00EA3FCE">
        <w:rPr>
          <w:rFonts w:ascii="Open Sans" w:hAnsi="Open Sans" w:cs="Open Sans"/>
          <w:color w:val="000000" w:themeColor="text1"/>
          <w:sz w:val="20"/>
          <w:szCs w:val="20"/>
        </w:rPr>
        <w:lastRenderedPageBreak/>
        <w:t>levels using xanthine oxidase inhibitors or uricosuric agents and addressing modifiable lifestyle factors.</w:t>
      </w:r>
    </w:p>
    <w:p w14:paraId="3A864086" w14:textId="77777777" w:rsidR="00AC258D" w:rsidRPr="00EA3FCE" w:rsidRDefault="00AC258D">
      <w:pPr>
        <w:rPr>
          <w:rFonts w:ascii="Open Sans" w:hAnsi="Open Sans" w:cs="Open Sans"/>
          <w:color w:val="000000" w:themeColor="text1"/>
          <w:sz w:val="20"/>
          <w:szCs w:val="20"/>
        </w:rPr>
      </w:pPr>
    </w:p>
    <w:sectPr w:rsidR="00AC258D" w:rsidRPr="00EA3F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5F73"/>
    <w:multiLevelType w:val="multilevel"/>
    <w:tmpl w:val="339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26F73"/>
    <w:multiLevelType w:val="multilevel"/>
    <w:tmpl w:val="DD02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F56"/>
    <w:multiLevelType w:val="multilevel"/>
    <w:tmpl w:val="A0E4D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4628C"/>
    <w:multiLevelType w:val="multilevel"/>
    <w:tmpl w:val="E63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14916"/>
    <w:multiLevelType w:val="multilevel"/>
    <w:tmpl w:val="081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00C30"/>
    <w:multiLevelType w:val="multilevel"/>
    <w:tmpl w:val="7582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24612"/>
    <w:multiLevelType w:val="multilevel"/>
    <w:tmpl w:val="CD44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D3975"/>
    <w:multiLevelType w:val="multilevel"/>
    <w:tmpl w:val="E04A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818D9"/>
    <w:multiLevelType w:val="multilevel"/>
    <w:tmpl w:val="F36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A41CB"/>
    <w:multiLevelType w:val="multilevel"/>
    <w:tmpl w:val="9BFA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0D07"/>
    <w:multiLevelType w:val="multilevel"/>
    <w:tmpl w:val="E09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1017E"/>
    <w:multiLevelType w:val="multilevel"/>
    <w:tmpl w:val="B728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A60D0"/>
    <w:multiLevelType w:val="multilevel"/>
    <w:tmpl w:val="B1E4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72C81"/>
    <w:multiLevelType w:val="multilevel"/>
    <w:tmpl w:val="3C90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592500"/>
    <w:multiLevelType w:val="multilevel"/>
    <w:tmpl w:val="6DF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C101A"/>
    <w:multiLevelType w:val="multilevel"/>
    <w:tmpl w:val="ACE0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83BAB"/>
    <w:multiLevelType w:val="multilevel"/>
    <w:tmpl w:val="8B6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25E8B"/>
    <w:multiLevelType w:val="multilevel"/>
    <w:tmpl w:val="AB1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05D1E"/>
    <w:multiLevelType w:val="multilevel"/>
    <w:tmpl w:val="0F5CB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261B11"/>
    <w:multiLevelType w:val="multilevel"/>
    <w:tmpl w:val="368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AD3D76"/>
    <w:multiLevelType w:val="multilevel"/>
    <w:tmpl w:val="310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361074"/>
    <w:multiLevelType w:val="multilevel"/>
    <w:tmpl w:val="CD50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1F3065"/>
    <w:multiLevelType w:val="hybridMultilevel"/>
    <w:tmpl w:val="48B23200"/>
    <w:lvl w:ilvl="0" w:tplc="F1BC6326">
      <w:start w:val="4"/>
      <w:numFmt w:val="bullet"/>
      <w:lvlText w:val="-"/>
      <w:lvlJc w:val="left"/>
      <w:pPr>
        <w:ind w:left="720" w:hanging="360"/>
      </w:pPr>
      <w:rPr>
        <w:rFonts w:ascii="Open Sans" w:eastAsia="Times New Roman" w:hAnsi="Open Sans" w:cs="Open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3B6065"/>
    <w:multiLevelType w:val="multilevel"/>
    <w:tmpl w:val="AFF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0E134A"/>
    <w:multiLevelType w:val="multilevel"/>
    <w:tmpl w:val="7D4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F3262"/>
    <w:multiLevelType w:val="multilevel"/>
    <w:tmpl w:val="486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2694B"/>
    <w:multiLevelType w:val="multilevel"/>
    <w:tmpl w:val="43D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2626D"/>
    <w:multiLevelType w:val="multilevel"/>
    <w:tmpl w:val="9328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F61CBA"/>
    <w:multiLevelType w:val="multilevel"/>
    <w:tmpl w:val="71A2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348931">
    <w:abstractNumId w:val="15"/>
  </w:num>
  <w:num w:numId="2" w16cid:durableId="1399398264">
    <w:abstractNumId w:val="2"/>
  </w:num>
  <w:num w:numId="3" w16cid:durableId="1415737415">
    <w:abstractNumId w:val="16"/>
  </w:num>
  <w:num w:numId="4" w16cid:durableId="1332444814">
    <w:abstractNumId w:val="12"/>
  </w:num>
  <w:num w:numId="5" w16cid:durableId="1962032980">
    <w:abstractNumId w:val="24"/>
  </w:num>
  <w:num w:numId="6" w16cid:durableId="838152087">
    <w:abstractNumId w:val="1"/>
  </w:num>
  <w:num w:numId="7" w16cid:durableId="584151419">
    <w:abstractNumId w:val="23"/>
  </w:num>
  <w:num w:numId="8" w16cid:durableId="463351783">
    <w:abstractNumId w:val="18"/>
  </w:num>
  <w:num w:numId="9" w16cid:durableId="728117630">
    <w:abstractNumId w:val="27"/>
  </w:num>
  <w:num w:numId="10" w16cid:durableId="40643022">
    <w:abstractNumId w:val="22"/>
  </w:num>
  <w:num w:numId="11" w16cid:durableId="307706374">
    <w:abstractNumId w:val="3"/>
  </w:num>
  <w:num w:numId="12" w16cid:durableId="1616449921">
    <w:abstractNumId w:val="8"/>
  </w:num>
  <w:num w:numId="13" w16cid:durableId="646545346">
    <w:abstractNumId w:val="10"/>
  </w:num>
  <w:num w:numId="14" w16cid:durableId="1020618120">
    <w:abstractNumId w:val="0"/>
  </w:num>
  <w:num w:numId="15" w16cid:durableId="646512675">
    <w:abstractNumId w:val="25"/>
  </w:num>
  <w:num w:numId="16" w16cid:durableId="520123971">
    <w:abstractNumId w:val="19"/>
  </w:num>
  <w:num w:numId="17" w16cid:durableId="1429039371">
    <w:abstractNumId w:val="21"/>
  </w:num>
  <w:num w:numId="18" w16cid:durableId="289750255">
    <w:abstractNumId w:val="20"/>
  </w:num>
  <w:num w:numId="19" w16cid:durableId="1484807642">
    <w:abstractNumId w:val="7"/>
  </w:num>
  <w:num w:numId="20" w16cid:durableId="2142266197">
    <w:abstractNumId w:val="13"/>
  </w:num>
  <w:num w:numId="21" w16cid:durableId="1122043638">
    <w:abstractNumId w:val="28"/>
  </w:num>
  <w:num w:numId="22" w16cid:durableId="2019117453">
    <w:abstractNumId w:val="11"/>
  </w:num>
  <w:num w:numId="23" w16cid:durableId="1938714518">
    <w:abstractNumId w:val="26"/>
  </w:num>
  <w:num w:numId="24" w16cid:durableId="1590889544">
    <w:abstractNumId w:val="5"/>
  </w:num>
  <w:num w:numId="25" w16cid:durableId="63070148">
    <w:abstractNumId w:val="17"/>
  </w:num>
  <w:num w:numId="26" w16cid:durableId="2140830524">
    <w:abstractNumId w:val="9"/>
  </w:num>
  <w:num w:numId="27" w16cid:durableId="245573007">
    <w:abstractNumId w:val="14"/>
  </w:num>
  <w:num w:numId="28" w16cid:durableId="202444777">
    <w:abstractNumId w:val="4"/>
  </w:num>
  <w:num w:numId="29" w16cid:durableId="1410812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E47"/>
    <w:rsid w:val="000E2F73"/>
    <w:rsid w:val="001A6FCD"/>
    <w:rsid w:val="00221F67"/>
    <w:rsid w:val="0031779C"/>
    <w:rsid w:val="003258E0"/>
    <w:rsid w:val="00447FA1"/>
    <w:rsid w:val="004830CA"/>
    <w:rsid w:val="00765AC4"/>
    <w:rsid w:val="007E2FD2"/>
    <w:rsid w:val="009B1E47"/>
    <w:rsid w:val="009F6892"/>
    <w:rsid w:val="00A736F8"/>
    <w:rsid w:val="00A830A1"/>
    <w:rsid w:val="00AC258D"/>
    <w:rsid w:val="00D67914"/>
    <w:rsid w:val="00EA3FCE"/>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DB0A"/>
  <w15:chartTrackingRefBased/>
  <w15:docId w15:val="{1FBFEFA7-0F4A-A845-9AC8-680E32A1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FC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B1E4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B1E4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9B1E4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9B1E47"/>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B1E47"/>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B1E47"/>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B1E47"/>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B1E47"/>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B1E47"/>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1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1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B1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E47"/>
    <w:rPr>
      <w:rFonts w:eastAsiaTheme="majorEastAsia" w:cstheme="majorBidi"/>
      <w:color w:val="272727" w:themeColor="text1" w:themeTint="D8"/>
    </w:rPr>
  </w:style>
  <w:style w:type="paragraph" w:styleId="Title">
    <w:name w:val="Title"/>
    <w:basedOn w:val="Normal"/>
    <w:next w:val="Normal"/>
    <w:link w:val="TitleChar"/>
    <w:uiPriority w:val="10"/>
    <w:qFormat/>
    <w:rsid w:val="009B1E4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B1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E4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B1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E47"/>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B1E47"/>
    <w:rPr>
      <w:i/>
      <w:iCs/>
      <w:color w:val="404040" w:themeColor="text1" w:themeTint="BF"/>
    </w:rPr>
  </w:style>
  <w:style w:type="paragraph" w:styleId="ListParagraph">
    <w:name w:val="List Paragraph"/>
    <w:basedOn w:val="Normal"/>
    <w:uiPriority w:val="34"/>
    <w:qFormat/>
    <w:rsid w:val="009B1E47"/>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9B1E47"/>
    <w:rPr>
      <w:i/>
      <w:iCs/>
      <w:color w:val="0F4761" w:themeColor="accent1" w:themeShade="BF"/>
    </w:rPr>
  </w:style>
  <w:style w:type="paragraph" w:styleId="IntenseQuote">
    <w:name w:val="Intense Quote"/>
    <w:basedOn w:val="Normal"/>
    <w:next w:val="Normal"/>
    <w:link w:val="IntenseQuoteChar"/>
    <w:uiPriority w:val="30"/>
    <w:qFormat/>
    <w:rsid w:val="009B1E4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B1E47"/>
    <w:rPr>
      <w:i/>
      <w:iCs/>
      <w:color w:val="0F4761" w:themeColor="accent1" w:themeShade="BF"/>
    </w:rPr>
  </w:style>
  <w:style w:type="character" w:styleId="IntenseReference">
    <w:name w:val="Intense Reference"/>
    <w:basedOn w:val="DefaultParagraphFont"/>
    <w:uiPriority w:val="32"/>
    <w:qFormat/>
    <w:rsid w:val="009B1E47"/>
    <w:rPr>
      <w:b/>
      <w:bCs/>
      <w:smallCaps/>
      <w:color w:val="0F4761" w:themeColor="accent1" w:themeShade="BF"/>
      <w:spacing w:val="5"/>
    </w:rPr>
  </w:style>
  <w:style w:type="paragraph" w:styleId="NormalWeb">
    <w:name w:val="Normal (Web)"/>
    <w:basedOn w:val="Normal"/>
    <w:uiPriority w:val="99"/>
    <w:unhideWhenUsed/>
    <w:rsid w:val="009B1E47"/>
    <w:pPr>
      <w:spacing w:before="100" w:beforeAutospacing="1" w:after="100" w:afterAutospacing="1"/>
    </w:pPr>
  </w:style>
  <w:style w:type="character" w:styleId="Strong">
    <w:name w:val="Strong"/>
    <w:basedOn w:val="DefaultParagraphFont"/>
    <w:uiPriority w:val="22"/>
    <w:qFormat/>
    <w:rsid w:val="009B1E47"/>
    <w:rPr>
      <w:b/>
      <w:bCs/>
    </w:rPr>
  </w:style>
  <w:style w:type="character" w:customStyle="1" w:styleId="apple-converted-space">
    <w:name w:val="apple-converted-space"/>
    <w:basedOn w:val="DefaultParagraphFont"/>
    <w:rsid w:val="00AC258D"/>
  </w:style>
  <w:style w:type="character" w:styleId="Emphasis">
    <w:name w:val="Emphasis"/>
    <w:basedOn w:val="DefaultParagraphFont"/>
    <w:uiPriority w:val="20"/>
    <w:qFormat/>
    <w:rsid w:val="00AC25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26</Pages>
  <Words>10459</Words>
  <Characters>59617</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3</cp:revision>
  <cp:lastPrinted>2026-01-21T00:45:00Z</cp:lastPrinted>
  <dcterms:created xsi:type="dcterms:W3CDTF">2026-01-20T22:43:00Z</dcterms:created>
  <dcterms:modified xsi:type="dcterms:W3CDTF">2026-01-21T00:45:00Z</dcterms:modified>
</cp:coreProperties>
</file>