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1124"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 xml:space="preserve">Unit 2: Endocrine </w:t>
      </w:r>
    </w:p>
    <w:p w14:paraId="485DE498" w14:textId="77777777" w:rsidR="003D28B2" w:rsidRPr="003D28B2" w:rsidRDefault="003D28B2" w:rsidP="003D28B2">
      <w:pPr>
        <w:spacing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b/>
          <w:bCs/>
          <w:color w:val="000000" w:themeColor="text1"/>
          <w:kern w:val="0"/>
          <w:sz w:val="20"/>
          <w:szCs w:val="20"/>
          <w14:ligatures w14:val="none"/>
        </w:rPr>
        <w:t>Completion of Unit 2 enables you to:</w:t>
      </w:r>
    </w:p>
    <w:p w14:paraId="551776B5" w14:textId="77777777" w:rsidR="003D28B2" w:rsidRPr="003D28B2" w:rsidRDefault="003D28B2" w:rsidP="003D28B2">
      <w:pPr>
        <w:numPr>
          <w:ilvl w:val="0"/>
          <w:numId w:val="8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Describe the prevalence, pathological changes, risks and diagnostics associated with diabetes mellitus (Types 1 and 2).</w:t>
      </w:r>
    </w:p>
    <w:p w14:paraId="0031CF48" w14:textId="77777777" w:rsidR="003D28B2" w:rsidRPr="003D28B2" w:rsidRDefault="003D28B2" w:rsidP="003D28B2">
      <w:pPr>
        <w:numPr>
          <w:ilvl w:val="0"/>
          <w:numId w:val="8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Discuss the mechanisms of action of insulin and oral hypoglycaemic agents, including the biguanides, thiazolidinediones, and alpha-glucosidase inhibitors.</w:t>
      </w:r>
    </w:p>
    <w:p w14:paraId="11E9A240" w14:textId="77777777" w:rsidR="003D28B2" w:rsidRPr="003D28B2" w:rsidRDefault="003D28B2" w:rsidP="003D28B2">
      <w:pPr>
        <w:numPr>
          <w:ilvl w:val="0"/>
          <w:numId w:val="8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Describe the pathophysiology and treatment of thyroid dysfunction.</w:t>
      </w:r>
    </w:p>
    <w:p w14:paraId="4B02215B" w14:textId="77777777" w:rsidR="003D28B2" w:rsidRPr="003D28B2" w:rsidRDefault="003D28B2" w:rsidP="003D28B2">
      <w:pPr>
        <w:numPr>
          <w:ilvl w:val="0"/>
          <w:numId w:val="8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Identify pathological changes that result in changes to regulation of the renin-angiotensin-aldosterone axis.</w:t>
      </w:r>
    </w:p>
    <w:p w14:paraId="3D3DC08F" w14:textId="45CCAE94" w:rsidR="003D28B2" w:rsidRPr="003D28B2" w:rsidRDefault="003D28B2" w:rsidP="003D28B2">
      <w:pPr>
        <w:numPr>
          <w:ilvl w:val="0"/>
          <w:numId w:val="8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Recognize the effects of over- and under-availability of adrenal hormones.</w:t>
      </w:r>
    </w:p>
    <w:p w14:paraId="3D0F49A5" w14:textId="09D14B2D"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Core Principles of Hormone Secretion</w:t>
      </w:r>
      <w:r w:rsidRPr="003D28B2">
        <w:rPr>
          <w:rFonts w:ascii="Open Sans" w:hAnsi="Open Sans" w:cs="Open Sans"/>
          <w:color w:val="000000" w:themeColor="text1"/>
          <w:sz w:val="20"/>
          <w:szCs w:val="20"/>
        </w:rPr>
        <w:br/>
        <w:t>All hormones exhibit specific rates and rhythms of secretion, including diurnal rhythms (e.g., cortisol), pulsatile and cyclic secretion (e.g., GnRH), and substrate-dependent secretion (e.g., glucose regulating insulin, calcium regulating PTH). Hormones operate primarily through negative feedback systems and affect only target cells that express specific receptors. Steroid hormones are metabolized by the liver into water-soluble forms and excreted by the kidneys.</w:t>
      </w:r>
    </w:p>
    <w:p w14:paraId="0E891C88"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Hormone release is regulated by chemical factors such as blood glucose or calcium levels, endocrine signals, and neural control. Feedback systems provide precise regulation of the internal environment. Negative feedback is most common and occurs when hormone effects suppress further secretion. Positive feedback is rare and amplifies hormone secretion, as seen with oxytocin during labour.</w:t>
      </w:r>
    </w:p>
    <w:p w14:paraId="3D183BDD"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Hormone Transport and Receptor Signaling</w:t>
      </w:r>
      <w:r w:rsidRPr="003D28B2">
        <w:rPr>
          <w:rFonts w:ascii="Open Sans" w:hAnsi="Open Sans" w:cs="Open Sans"/>
          <w:color w:val="000000" w:themeColor="text1"/>
          <w:sz w:val="20"/>
          <w:szCs w:val="20"/>
        </w:rPr>
        <w:br/>
        <w:t>Water-soluble (lipophobic) hormones circulate freely, have short half-lives, bind cell surface receptors, and act through second messenger systems such as cAMP, cGMP, calcium, IP</w:t>
      </w:r>
      <w:r w:rsidRPr="003D28B2">
        <w:rPr>
          <w:rFonts w:ascii="Cambria Math" w:hAnsi="Cambria Math" w:cs="Cambria Math"/>
          <w:color w:val="000000" w:themeColor="text1"/>
          <w:sz w:val="20"/>
          <w:szCs w:val="20"/>
        </w:rPr>
        <w:t>₃</w:t>
      </w:r>
      <w:r w:rsidRPr="003D28B2">
        <w:rPr>
          <w:rFonts w:ascii="Open Sans" w:hAnsi="Open Sans" w:cs="Open Sans"/>
          <w:color w:val="000000" w:themeColor="text1"/>
          <w:sz w:val="20"/>
          <w:szCs w:val="20"/>
        </w:rPr>
        <w:t>/DAG, and tyrosine kinase pathways. They have rapid onset and short duration of action.</w:t>
      </w:r>
      <w:r w:rsidRPr="003D28B2">
        <w:rPr>
          <w:rFonts w:ascii="Open Sans" w:hAnsi="Open Sans" w:cs="Open Sans"/>
          <w:color w:val="000000" w:themeColor="text1"/>
          <w:sz w:val="20"/>
          <w:szCs w:val="20"/>
        </w:rPr>
        <w:br/>
        <w:t>Lipid-soluble (lipophilic) hormones circulate bound to carrier proteins, have longer half-lives, and only the free hormone is biologically active. They bind intracellular receptors, alter gene transcription, and have slower but longer-lasting effects.</w:t>
      </w:r>
    </w:p>
    <w:p w14:paraId="65BD5870"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Hormone Classification</w:t>
      </w:r>
      <w:r w:rsidRPr="003D28B2">
        <w:rPr>
          <w:rFonts w:ascii="Open Sans" w:hAnsi="Open Sans" w:cs="Open Sans"/>
          <w:color w:val="000000" w:themeColor="text1"/>
          <w:sz w:val="20"/>
          <w:szCs w:val="20"/>
        </w:rPr>
        <w:br/>
        <w:t>Peptide and protein hormones are chains of amino acids (e.g., insulin, growth hormone), are hydrophilic, bind cell surface receptors, use second messenger signaling, and act rapidly.</w:t>
      </w:r>
      <w:r w:rsidRPr="003D28B2">
        <w:rPr>
          <w:rFonts w:ascii="Open Sans" w:hAnsi="Open Sans" w:cs="Open Sans"/>
          <w:color w:val="000000" w:themeColor="text1"/>
          <w:sz w:val="20"/>
          <w:szCs w:val="20"/>
        </w:rPr>
        <w:br/>
        <w:t>Steroid hormones are derived from cholesterol (e.g., cortisol, aldosterone, testosterone), are lipophilic, bind intracellular receptors, act as transcription factors, and have slower onset with prolonged effects.</w:t>
      </w:r>
      <w:r w:rsidRPr="003D28B2">
        <w:rPr>
          <w:rFonts w:ascii="Open Sans" w:hAnsi="Open Sans" w:cs="Open Sans"/>
          <w:color w:val="000000" w:themeColor="text1"/>
          <w:sz w:val="20"/>
          <w:szCs w:val="20"/>
        </w:rPr>
        <w:br/>
        <w:t>Tyrosine-derived hormones include catecholamines (epinephrine, norepinephrine), which are lipophobic and act via GPCRs, and thyroid hormones (T3, T4), which are lipophilic and act in a steroid-like manner.</w:t>
      </w:r>
    </w:p>
    <w:p w14:paraId="2BF6A1A5"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Endocrine Organs</w:t>
      </w:r>
      <w:r w:rsidRPr="003D28B2">
        <w:rPr>
          <w:rFonts w:ascii="Open Sans" w:hAnsi="Open Sans" w:cs="Open Sans"/>
          <w:color w:val="000000" w:themeColor="text1"/>
          <w:sz w:val="20"/>
          <w:szCs w:val="20"/>
        </w:rPr>
        <w:br/>
        <w:t>Dedicated endocrine organs include the pituitary, thyroid, parathyroid, and adrenal glands.</w:t>
      </w:r>
      <w:r w:rsidRPr="003D28B2">
        <w:rPr>
          <w:rFonts w:ascii="Open Sans" w:hAnsi="Open Sans" w:cs="Open Sans"/>
          <w:color w:val="000000" w:themeColor="text1"/>
          <w:sz w:val="20"/>
          <w:szCs w:val="20"/>
        </w:rPr>
        <w:br/>
      </w:r>
      <w:r w:rsidRPr="003D28B2">
        <w:rPr>
          <w:rFonts w:ascii="Open Sans" w:hAnsi="Open Sans" w:cs="Open Sans"/>
          <w:color w:val="000000" w:themeColor="text1"/>
          <w:sz w:val="20"/>
          <w:szCs w:val="20"/>
        </w:rPr>
        <w:lastRenderedPageBreak/>
        <w:t>Mixed endocrine/exocrine organs include the pancreas, ovaries, and testes.</w:t>
      </w:r>
      <w:r w:rsidRPr="003D28B2">
        <w:rPr>
          <w:rFonts w:ascii="Open Sans" w:hAnsi="Open Sans" w:cs="Open Sans"/>
          <w:color w:val="000000" w:themeColor="text1"/>
          <w:sz w:val="20"/>
          <w:szCs w:val="20"/>
        </w:rPr>
        <w:br/>
        <w:t>Scattered endocrine cells are found in the GI tract and bronchial mucosa.</w:t>
      </w:r>
    </w:p>
    <w:p w14:paraId="2FA4126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Hypothalamic–Pituitary System</w:t>
      </w:r>
      <w:r w:rsidRPr="003D28B2">
        <w:rPr>
          <w:rFonts w:ascii="Open Sans" w:hAnsi="Open Sans" w:cs="Open Sans"/>
          <w:color w:val="000000" w:themeColor="text1"/>
          <w:sz w:val="20"/>
          <w:szCs w:val="20"/>
        </w:rPr>
        <w:br/>
        <w:t>The hypothalamic–pituitary system integrates neurologic and endocrine function.</w:t>
      </w:r>
    </w:p>
    <w:p w14:paraId="4463D77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The hypothalamus produces releasing hormones including CRH, TRH, and GnRH and synthesizes ADH and oxytocin. These hormones reach the anterior pituitary via the hypophyseal portal system.</w:t>
      </w:r>
    </w:p>
    <w:p w14:paraId="454E7B80"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 xml:space="preserve">The pituitary gland is located in the </w:t>
      </w:r>
      <w:proofErr w:type="spellStart"/>
      <w:r w:rsidRPr="003D28B2">
        <w:rPr>
          <w:rFonts w:ascii="Open Sans" w:hAnsi="Open Sans" w:cs="Open Sans"/>
          <w:color w:val="000000" w:themeColor="text1"/>
          <w:sz w:val="20"/>
          <w:szCs w:val="20"/>
        </w:rPr>
        <w:t>sella</w:t>
      </w:r>
      <w:proofErr w:type="spellEnd"/>
      <w:r w:rsidRPr="003D28B2">
        <w:rPr>
          <w:rFonts w:ascii="Open Sans" w:hAnsi="Open Sans" w:cs="Open Sans"/>
          <w:color w:val="000000" w:themeColor="text1"/>
          <w:sz w:val="20"/>
          <w:szCs w:val="20"/>
        </w:rPr>
        <w:t xml:space="preserve"> turcica.</w:t>
      </w:r>
      <w:r w:rsidRPr="003D28B2">
        <w:rPr>
          <w:rFonts w:ascii="Open Sans" w:hAnsi="Open Sans" w:cs="Open Sans"/>
          <w:color w:val="000000" w:themeColor="text1"/>
          <w:sz w:val="20"/>
          <w:szCs w:val="20"/>
        </w:rPr>
        <w:br/>
        <w:t>The anterior pituitary contains chromophils (secretory cells) and releases trophic hormones including ACTH, TSH, GH, LH, FSH, and prolactin.</w:t>
      </w:r>
      <w:r w:rsidRPr="003D28B2">
        <w:rPr>
          <w:rFonts w:ascii="Open Sans" w:hAnsi="Open Sans" w:cs="Open Sans"/>
          <w:color w:val="000000" w:themeColor="text1"/>
          <w:sz w:val="20"/>
          <w:szCs w:val="20"/>
        </w:rPr>
        <w:br/>
        <w:t>The posterior pituitary does not synthesize hormones; it stores and releases ADH and oxytocin synthesized in the hypothalamus.</w:t>
      </w:r>
    </w:p>
    <w:p w14:paraId="6EE4B3F7"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Antidiuretic Hormone (ADH)</w:t>
      </w:r>
      <w:r w:rsidRPr="003D28B2">
        <w:rPr>
          <w:rFonts w:ascii="Open Sans" w:hAnsi="Open Sans" w:cs="Open Sans"/>
          <w:color w:val="000000" w:themeColor="text1"/>
          <w:sz w:val="20"/>
          <w:szCs w:val="20"/>
        </w:rPr>
        <w:br/>
        <w:t>ADH regulates plasma osmolality by increasing water reabsorption in the collecting ducts. It is stimulated by increased osmolality, decreased intravascular volume (7–25% loss), stress, pain, nausea, and exercise. It is inhibited by alcohol, prostaglandins, and hypokalemia.</w:t>
      </w:r>
    </w:p>
    <w:p w14:paraId="56D8FC1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Oxytocin</w:t>
      </w:r>
      <w:r w:rsidRPr="003D28B2">
        <w:rPr>
          <w:rFonts w:ascii="Open Sans" w:hAnsi="Open Sans" w:cs="Open Sans"/>
          <w:color w:val="000000" w:themeColor="text1"/>
          <w:sz w:val="20"/>
          <w:szCs w:val="20"/>
        </w:rPr>
        <w:br/>
      </w:r>
      <w:proofErr w:type="spellStart"/>
      <w:r w:rsidRPr="003D28B2">
        <w:rPr>
          <w:rFonts w:ascii="Open Sans" w:hAnsi="Open Sans" w:cs="Open Sans"/>
          <w:color w:val="000000" w:themeColor="text1"/>
          <w:sz w:val="20"/>
          <w:szCs w:val="20"/>
        </w:rPr>
        <w:t>Oxytocin</w:t>
      </w:r>
      <w:proofErr w:type="spellEnd"/>
      <w:r w:rsidRPr="003D28B2">
        <w:rPr>
          <w:rFonts w:ascii="Open Sans" w:hAnsi="Open Sans" w:cs="Open Sans"/>
          <w:color w:val="000000" w:themeColor="text1"/>
          <w:sz w:val="20"/>
          <w:szCs w:val="20"/>
        </w:rPr>
        <w:t xml:space="preserve"> stimulates uterine contraction and milk ejection and has a weak antidiuretic effect. It operates through positive feedback during labour.</w:t>
      </w:r>
    </w:p>
    <w:p w14:paraId="5D4C1E2D"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Pineal Gland</w:t>
      </w:r>
      <w:r w:rsidRPr="003D28B2">
        <w:rPr>
          <w:rFonts w:ascii="Open Sans" w:hAnsi="Open Sans" w:cs="Open Sans"/>
          <w:color w:val="000000" w:themeColor="text1"/>
          <w:sz w:val="20"/>
          <w:szCs w:val="20"/>
        </w:rPr>
        <w:br/>
        <w:t>The pineal gland secretes melatonin in response to darkness. Melatonin is synthesized from tryptophan via serotonin and regulates circadian rhythms and reproductive timing.</w:t>
      </w:r>
    </w:p>
    <w:p w14:paraId="4C2E8F0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Regulation of Glucose</w:t>
      </w:r>
      <w:r w:rsidRPr="003D28B2">
        <w:rPr>
          <w:rFonts w:ascii="Open Sans" w:hAnsi="Open Sans" w:cs="Open Sans"/>
          <w:color w:val="000000" w:themeColor="text1"/>
          <w:sz w:val="20"/>
          <w:szCs w:val="20"/>
        </w:rPr>
        <w:br/>
        <w:t>Long-term regulation is mediated by cortisol, which increases gluconeogenesis, decreases peripheral glucose uptake, antagonizes insulin, increases protein catabolism and lipolysis, and raises plasma glucose.</w:t>
      </w:r>
    </w:p>
    <w:p w14:paraId="31328C03"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Short-term regulation occurs through pancreatic islets. Alpha cells secrete glucagon in response to low glucose, beta cells secrete insulin in response to high glucose, and delta cells secrete somatostatin with inhibitory effects.</w:t>
      </w:r>
    </w:p>
    <w:p w14:paraId="7B3221F5"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Glucagon Secretion and Effects</w:t>
      </w:r>
      <w:r w:rsidRPr="003D28B2">
        <w:rPr>
          <w:rFonts w:ascii="Open Sans" w:hAnsi="Open Sans" w:cs="Open Sans"/>
          <w:color w:val="000000" w:themeColor="text1"/>
          <w:sz w:val="20"/>
          <w:szCs w:val="20"/>
        </w:rPr>
        <w:br/>
        <w:t>Low glucose decreases ATP in alpha cells, leading to depolarization and calcium influx, which triggers glucagon exocytosis. Calcium is the final common trigger. Epinephrine stimulates glucagon release via β</w:t>
      </w:r>
      <w:r w:rsidRPr="003D28B2">
        <w:rPr>
          <w:rFonts w:ascii="Cambria Math" w:hAnsi="Cambria Math" w:cs="Cambria Math"/>
          <w:color w:val="000000" w:themeColor="text1"/>
          <w:sz w:val="20"/>
          <w:szCs w:val="20"/>
        </w:rPr>
        <w:t>₂</w:t>
      </w:r>
      <w:r w:rsidRPr="003D28B2">
        <w:rPr>
          <w:rFonts w:ascii="Open Sans" w:hAnsi="Open Sans" w:cs="Open Sans"/>
          <w:color w:val="000000" w:themeColor="text1"/>
          <w:sz w:val="20"/>
          <w:szCs w:val="20"/>
        </w:rPr>
        <w:t>-adrenergic GPCR signaling and cAMP. Glucagon increases glycogenolysis, gluconeogenesis, and ketogenesis in the liver and increases lipolysis in adipose tissue.</w:t>
      </w:r>
    </w:p>
    <w:p w14:paraId="4D4DB02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Insulin Secretion</w:t>
      </w:r>
      <w:r w:rsidRPr="003D28B2">
        <w:rPr>
          <w:rFonts w:ascii="Open Sans" w:hAnsi="Open Sans" w:cs="Open Sans"/>
          <w:color w:val="000000" w:themeColor="text1"/>
          <w:sz w:val="20"/>
          <w:szCs w:val="20"/>
        </w:rPr>
        <w:br/>
        <w:t>Glucose enters beta cells via GLUT2, increasing ATP and closing ATP-sensitive potassium channels, causing depolarization and calcium influx, which triggers insulin secretion. Sulfonylureas act at the potassium channel. Insulin secretion is enhanced by GLP-1, GIP, and parasympathetic acetylcholine.</w:t>
      </w:r>
    </w:p>
    <w:p w14:paraId="386BEDF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t>Insulin Mechanism of Action</w:t>
      </w:r>
      <w:r w:rsidRPr="003D28B2">
        <w:rPr>
          <w:rFonts w:ascii="Open Sans" w:hAnsi="Open Sans" w:cs="Open Sans"/>
          <w:color w:val="000000" w:themeColor="text1"/>
          <w:sz w:val="20"/>
          <w:szCs w:val="20"/>
        </w:rPr>
        <w:br/>
        <w:t>Insulin binds its receptor, leading to phosphorylation of insulin receptor substrates (IRS). The PI3K–AKT pathway increases GLUT4 translocation, glycogen synthesis, lipogenesis, and suppresses hepatic gluconeogenesis. Insulin resistance primarily affects this pathway. The MAPK pathway mediates growth and mitogenic effects.</w:t>
      </w:r>
    </w:p>
    <w:p w14:paraId="1F95B544"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Thyroid Hormones</w:t>
      </w:r>
      <w:r w:rsidRPr="003D28B2">
        <w:rPr>
          <w:rFonts w:ascii="Open Sans" w:hAnsi="Open Sans" w:cs="Open Sans"/>
          <w:color w:val="000000" w:themeColor="text1"/>
          <w:sz w:val="20"/>
          <w:szCs w:val="20"/>
        </w:rPr>
        <w:br/>
        <w:t>The thyroid consists of follicles filled with colloid containing thyroglobulin. Follicular cells produce T3 and T4, while parafollicular cells produce calcitonin. Iodide uptake occurs via the sodium-iodide symporter and thyroid peroxidase catalyzes oxidation, iodination, and coupling reactions. TSH stimulates hormone release.</w:t>
      </w:r>
    </w:p>
    <w:p w14:paraId="4D57A793"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T3 is more biologically active, while T4 is more abundant. Thyroid hormones increase basal metabolic rate, oxygen consumption, heart rate, cardiac output, CNS development, and bone growth.</w:t>
      </w:r>
    </w:p>
    <w:p w14:paraId="36C4A33F"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Hypothalamic–Pituitary–Thyroid Axis</w:t>
      </w:r>
      <w:r w:rsidRPr="003D28B2">
        <w:rPr>
          <w:rFonts w:ascii="Open Sans" w:hAnsi="Open Sans" w:cs="Open Sans"/>
          <w:color w:val="000000" w:themeColor="text1"/>
          <w:sz w:val="20"/>
          <w:szCs w:val="20"/>
        </w:rPr>
        <w:br/>
        <w:t>TRH from the hypothalamus stimulates TSH release from the anterior pituitary, which stimulates thyroid hormone synthesis and release. T3 and T4 provide negative feedback to both the pituitary and hypothalamus.</w:t>
      </w:r>
    </w:p>
    <w:p w14:paraId="30B7707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Endocrine Regulation of Electrolytes</w:t>
      </w:r>
      <w:r w:rsidRPr="003D28B2">
        <w:rPr>
          <w:rFonts w:ascii="Open Sans" w:hAnsi="Open Sans" w:cs="Open Sans"/>
          <w:color w:val="000000" w:themeColor="text1"/>
          <w:sz w:val="20"/>
          <w:szCs w:val="20"/>
        </w:rPr>
        <w:br/>
        <w:t>Aldosterone is produced by the zona glomerulosa of the adrenal cortex and increases sodium and water reabsorption while increasing potassium excretion by acting on the distal nephron.</w:t>
      </w:r>
    </w:p>
    <w:p w14:paraId="08636BF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Calcium and Phosphate Regulation</w:t>
      </w:r>
      <w:r w:rsidRPr="003D28B2">
        <w:rPr>
          <w:rFonts w:ascii="Open Sans" w:hAnsi="Open Sans" w:cs="Open Sans"/>
          <w:color w:val="000000" w:themeColor="text1"/>
          <w:sz w:val="20"/>
          <w:szCs w:val="20"/>
        </w:rPr>
        <w:br/>
        <w:t>Calcitonin decreases osteoclast activity and lowers serum calcium but plays a minor role in calcium homeostasis.</w:t>
      </w:r>
      <w:r w:rsidRPr="003D28B2">
        <w:rPr>
          <w:rFonts w:ascii="Open Sans" w:hAnsi="Open Sans" w:cs="Open Sans"/>
          <w:color w:val="000000" w:themeColor="text1"/>
          <w:sz w:val="20"/>
          <w:szCs w:val="20"/>
        </w:rPr>
        <w:br/>
        <w:t>Parathyroid hormone increases bone resorption, renal calcium reabsorption, calcitriol activation, and phosphate excretion.</w:t>
      </w:r>
      <w:r w:rsidRPr="003D28B2">
        <w:rPr>
          <w:rFonts w:ascii="Open Sans" w:hAnsi="Open Sans" w:cs="Open Sans"/>
          <w:color w:val="000000" w:themeColor="text1"/>
          <w:sz w:val="20"/>
          <w:szCs w:val="20"/>
        </w:rPr>
        <w:br/>
        <w:t>Calcitriol increases intestinal absorption of calcium and phosphate and suppresses PTH release.</w:t>
      </w:r>
    </w:p>
    <w:p w14:paraId="6932970F"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Diabetes Mellitus Overview</w:t>
      </w:r>
      <w:r w:rsidRPr="003D28B2">
        <w:rPr>
          <w:rFonts w:ascii="Open Sans" w:hAnsi="Open Sans" w:cs="Open Sans"/>
          <w:color w:val="000000" w:themeColor="text1"/>
          <w:sz w:val="20"/>
          <w:szCs w:val="20"/>
        </w:rPr>
        <w:br/>
        <w:t>The core feature of diabetes mellitus is chronic hyperglycemia, which leads to complications including diabetic ketoacidosis, advanced glycation end products, and microvascular and macrovascular disease.</w:t>
      </w:r>
    </w:p>
    <w:p w14:paraId="54DA059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Type 1 Diabetes Mellitus</w:t>
      </w:r>
      <w:r w:rsidRPr="003D28B2">
        <w:rPr>
          <w:rFonts w:ascii="Open Sans" w:hAnsi="Open Sans" w:cs="Open Sans"/>
          <w:color w:val="000000" w:themeColor="text1"/>
          <w:sz w:val="20"/>
          <w:szCs w:val="20"/>
        </w:rPr>
        <w:br/>
        <w:t>Type 1 diabetes results from autoimmune destruction of pancreatic beta cells, leading to absolute insulin deficiency. Risk factors include HLA class II polymorphisms, family history, and environmental triggers such as viral infections. Immune mechanisms include antigen presentation, helper T-cell activation, autoantibody production (anti-GAD, anti-insulin), complement activation, and cytotoxic T-cell–mediated beta-cell destruction. Insulin therapy is mandatory.</w:t>
      </w:r>
    </w:p>
    <w:p w14:paraId="4B158EA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High-Yield Exam Pearls</w:t>
      </w:r>
      <w:r w:rsidRPr="003D28B2">
        <w:rPr>
          <w:rFonts w:ascii="Open Sans" w:hAnsi="Open Sans" w:cs="Open Sans"/>
          <w:color w:val="000000" w:themeColor="text1"/>
          <w:sz w:val="20"/>
          <w:szCs w:val="20"/>
        </w:rPr>
        <w:br/>
        <w:t>Steroid and thyroid hormones act through gene transcription.</w:t>
      </w:r>
      <w:r w:rsidRPr="003D28B2">
        <w:rPr>
          <w:rFonts w:ascii="Open Sans" w:hAnsi="Open Sans" w:cs="Open Sans"/>
          <w:color w:val="000000" w:themeColor="text1"/>
          <w:sz w:val="20"/>
          <w:szCs w:val="20"/>
        </w:rPr>
        <w:br/>
        <w:t>Cortisol antagonizes insulin and raises blood glucose.</w:t>
      </w:r>
      <w:r w:rsidRPr="003D28B2">
        <w:rPr>
          <w:rFonts w:ascii="Open Sans" w:hAnsi="Open Sans" w:cs="Open Sans"/>
          <w:color w:val="000000" w:themeColor="text1"/>
          <w:sz w:val="20"/>
          <w:szCs w:val="20"/>
        </w:rPr>
        <w:br/>
      </w:r>
      <w:r w:rsidRPr="003D28B2">
        <w:rPr>
          <w:rFonts w:ascii="Open Sans" w:hAnsi="Open Sans" w:cs="Open Sans"/>
          <w:color w:val="000000" w:themeColor="text1"/>
          <w:sz w:val="20"/>
          <w:szCs w:val="20"/>
        </w:rPr>
        <w:lastRenderedPageBreak/>
        <w:t>Insulin lowers glucose via the PI3K–AKT–GLUT4 pathway.</w:t>
      </w:r>
      <w:r w:rsidRPr="003D28B2">
        <w:rPr>
          <w:rFonts w:ascii="Open Sans" w:hAnsi="Open Sans" w:cs="Open Sans"/>
          <w:color w:val="000000" w:themeColor="text1"/>
          <w:sz w:val="20"/>
          <w:szCs w:val="20"/>
        </w:rPr>
        <w:br/>
        <w:t>Parathyroid hormone raises calcium but lowers phosphate.</w:t>
      </w:r>
      <w:r w:rsidRPr="003D28B2">
        <w:rPr>
          <w:rFonts w:ascii="Open Sans" w:hAnsi="Open Sans" w:cs="Open Sans"/>
          <w:color w:val="000000" w:themeColor="text1"/>
          <w:sz w:val="20"/>
          <w:szCs w:val="20"/>
        </w:rPr>
        <w:br/>
        <w:t>Excess thyroid hormone explains hyperthyroid symptoms.</w:t>
      </w:r>
      <w:r w:rsidRPr="003D28B2">
        <w:rPr>
          <w:rFonts w:ascii="Open Sans" w:hAnsi="Open Sans" w:cs="Open Sans"/>
          <w:color w:val="000000" w:themeColor="text1"/>
          <w:sz w:val="20"/>
          <w:szCs w:val="20"/>
        </w:rPr>
        <w:br/>
        <w:t>Type 1 diabetes requires lifelong insulin therapy.</w:t>
      </w:r>
    </w:p>
    <w:p w14:paraId="0F6F6753"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Type 2 Diabetes Mellitus (T2DM)</w:t>
      </w:r>
      <w:r w:rsidRPr="003D28B2">
        <w:rPr>
          <w:rFonts w:ascii="Open Sans" w:hAnsi="Open Sans" w:cs="Open Sans"/>
          <w:color w:val="000000" w:themeColor="text1"/>
          <w:sz w:val="20"/>
          <w:szCs w:val="20"/>
        </w:rPr>
        <w:br/>
        <w:t>Core concept: T2DM is driven by insulin resistance (liver, muscle, adipose) plus progressive β-cell dysfunction, leading to chronic hyperglycemia and cardiometabolic risk.</w:t>
      </w:r>
    </w:p>
    <w:p w14:paraId="3FDB91ED"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Risk Factors</w:t>
      </w:r>
      <w:r w:rsidRPr="003D28B2">
        <w:rPr>
          <w:rFonts w:ascii="Open Sans" w:hAnsi="Open Sans" w:cs="Open Sans"/>
          <w:color w:val="000000" w:themeColor="text1"/>
          <w:sz w:val="20"/>
          <w:szCs w:val="20"/>
        </w:rPr>
        <w:br/>
        <w:t>Non-modifiable</w:t>
      </w:r>
      <w:r w:rsidRPr="003D28B2">
        <w:rPr>
          <w:rFonts w:ascii="Open Sans" w:hAnsi="Open Sans" w:cs="Open Sans"/>
          <w:color w:val="000000" w:themeColor="text1"/>
          <w:sz w:val="20"/>
          <w:szCs w:val="20"/>
        </w:rPr>
        <w:br/>
        <w:t>Age (risk rises with age; screening is commonly emphasized in midlife and older adults in Canadian practice)</w:t>
      </w:r>
      <w:r w:rsidRPr="003D28B2">
        <w:rPr>
          <w:rFonts w:ascii="Open Sans" w:hAnsi="Open Sans" w:cs="Open Sans"/>
          <w:color w:val="000000" w:themeColor="text1"/>
          <w:sz w:val="20"/>
          <w:szCs w:val="20"/>
        </w:rPr>
        <w:br/>
        <w:t>First-degree relative with T2DM</w:t>
      </w:r>
      <w:r w:rsidRPr="003D28B2">
        <w:rPr>
          <w:rFonts w:ascii="Open Sans" w:hAnsi="Open Sans" w:cs="Open Sans"/>
          <w:color w:val="000000" w:themeColor="text1"/>
          <w:sz w:val="20"/>
          <w:szCs w:val="20"/>
        </w:rPr>
        <w:br/>
        <w:t>Higher-risk ethnicity (e.g., Indigenous; many Asian populations; African/Caribbean; Hispanic/Latinx—risk varies by population)</w:t>
      </w:r>
      <w:r w:rsidRPr="003D28B2">
        <w:rPr>
          <w:rFonts w:ascii="Open Sans" w:hAnsi="Open Sans" w:cs="Open Sans"/>
          <w:color w:val="000000" w:themeColor="text1"/>
          <w:sz w:val="20"/>
          <w:szCs w:val="20"/>
        </w:rPr>
        <w:br/>
        <w:t>History of gestational diabetes</w:t>
      </w:r>
    </w:p>
    <w:p w14:paraId="657A0278"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Modifiable</w:t>
      </w:r>
      <w:r w:rsidRPr="003D28B2">
        <w:rPr>
          <w:rFonts w:ascii="Open Sans" w:hAnsi="Open Sans" w:cs="Open Sans"/>
          <w:color w:val="000000" w:themeColor="text1"/>
          <w:sz w:val="20"/>
          <w:szCs w:val="20"/>
        </w:rPr>
        <w:br/>
        <w:t>Central/visceral adiposity</w:t>
      </w:r>
      <w:r w:rsidRPr="003D28B2">
        <w:rPr>
          <w:rFonts w:ascii="Open Sans" w:hAnsi="Open Sans" w:cs="Open Sans"/>
          <w:color w:val="000000" w:themeColor="text1"/>
          <w:sz w:val="20"/>
          <w:szCs w:val="20"/>
        </w:rPr>
        <w:br/>
        <w:t>Physical inactivity</w:t>
      </w:r>
      <w:r w:rsidRPr="003D28B2">
        <w:rPr>
          <w:rFonts w:ascii="Open Sans" w:hAnsi="Open Sans" w:cs="Open Sans"/>
          <w:color w:val="000000" w:themeColor="text1"/>
          <w:sz w:val="20"/>
          <w:szCs w:val="20"/>
        </w:rPr>
        <w:br/>
        <w:t>Hypertension</w:t>
      </w:r>
      <w:r w:rsidRPr="003D28B2">
        <w:rPr>
          <w:rFonts w:ascii="Open Sans" w:hAnsi="Open Sans" w:cs="Open Sans"/>
          <w:color w:val="000000" w:themeColor="text1"/>
          <w:sz w:val="20"/>
          <w:szCs w:val="20"/>
        </w:rPr>
        <w:br/>
        <w:t>Dyslipidemia</w:t>
      </w:r>
      <w:r w:rsidRPr="003D28B2">
        <w:rPr>
          <w:rFonts w:ascii="Open Sans" w:hAnsi="Open Sans" w:cs="Open Sans"/>
          <w:color w:val="000000" w:themeColor="text1"/>
          <w:sz w:val="20"/>
          <w:szCs w:val="20"/>
        </w:rPr>
        <w:br/>
        <w:t>Smoking</w:t>
      </w:r>
      <w:r w:rsidRPr="003D28B2">
        <w:rPr>
          <w:rFonts w:ascii="Open Sans" w:hAnsi="Open Sans" w:cs="Open Sans"/>
          <w:color w:val="000000" w:themeColor="text1"/>
          <w:sz w:val="20"/>
          <w:szCs w:val="20"/>
        </w:rPr>
        <w:br/>
        <w:t>Socioeconomic factors (food insecurity, access barriers, chronic stress)</w:t>
      </w:r>
    </w:p>
    <w:p w14:paraId="14BD997A"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Insulin Resistance in T2DM (High-yield Pathophysiology)</w:t>
      </w:r>
      <w:r w:rsidRPr="003D28B2">
        <w:rPr>
          <w:rFonts w:ascii="Open Sans" w:hAnsi="Open Sans" w:cs="Open Sans"/>
          <w:color w:val="000000" w:themeColor="text1"/>
          <w:sz w:val="20"/>
          <w:szCs w:val="20"/>
        </w:rPr>
        <w:br/>
        <w:t>Target tissues</w:t>
      </w:r>
      <w:r w:rsidRPr="003D28B2">
        <w:rPr>
          <w:rFonts w:ascii="Open Sans" w:hAnsi="Open Sans" w:cs="Open Sans"/>
          <w:color w:val="000000" w:themeColor="text1"/>
          <w:sz w:val="20"/>
          <w:szCs w:val="20"/>
        </w:rPr>
        <w:br/>
        <w:t xml:space="preserve">Liver: insulin fails to suppress gluconeogenesis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fasting hyperglycemia</w:t>
      </w:r>
      <w:r w:rsidRPr="003D28B2">
        <w:rPr>
          <w:rFonts w:ascii="Open Sans" w:hAnsi="Open Sans" w:cs="Open Sans"/>
          <w:color w:val="000000" w:themeColor="text1"/>
          <w:sz w:val="20"/>
          <w:szCs w:val="20"/>
        </w:rPr>
        <w:br/>
        <w:t xml:space="preserve">Skeletal muscle: reduced GLUT4-mediated glucose uptake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post-prandial hyperglycemia</w:t>
      </w:r>
      <w:r w:rsidRPr="003D28B2">
        <w:rPr>
          <w:rFonts w:ascii="Open Sans" w:hAnsi="Open Sans" w:cs="Open Sans"/>
          <w:color w:val="000000" w:themeColor="text1"/>
          <w:sz w:val="20"/>
          <w:szCs w:val="20"/>
        </w:rPr>
        <w:br/>
        <w:t xml:space="preserve">Adipose: increased lipolysis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elevated free fatty acids (FFAs), worsened insulin resistance</w:t>
      </w:r>
    </w:p>
    <w:p w14:paraId="48B595AB"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Mechanisms (what to remember for exams)</w:t>
      </w:r>
      <w:r w:rsidRPr="003D28B2">
        <w:rPr>
          <w:rFonts w:ascii="Open Sans" w:hAnsi="Open Sans" w:cs="Open Sans"/>
          <w:color w:val="000000" w:themeColor="text1"/>
          <w:sz w:val="20"/>
          <w:szCs w:val="20"/>
        </w:rPr>
        <w:br/>
        <w:t xml:space="preserve">FFA excess (lipotoxicity): FFAs promote inhibitory phosphorylation of insulin receptor substrate (IRS), impairing downstream PI3K–AKT signaling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less GLUT4 translocation and less glycogen synthesis</w:t>
      </w:r>
      <w:r w:rsidRPr="003D28B2">
        <w:rPr>
          <w:rFonts w:ascii="Open Sans" w:hAnsi="Open Sans" w:cs="Open Sans"/>
          <w:color w:val="000000" w:themeColor="text1"/>
          <w:sz w:val="20"/>
          <w:szCs w:val="20"/>
        </w:rPr>
        <w:br/>
        <w:t>Chronic low-grade inflammation: adipose macrophage recruitment and cytokines (TNF-α, IL-6, IL-1β) impair insulin signaling and worsen β-cell stress</w:t>
      </w:r>
      <w:r w:rsidRPr="003D28B2">
        <w:rPr>
          <w:rFonts w:ascii="Open Sans" w:hAnsi="Open Sans" w:cs="Open Sans"/>
          <w:color w:val="000000" w:themeColor="text1"/>
          <w:sz w:val="20"/>
          <w:szCs w:val="20"/>
        </w:rPr>
        <w:br/>
        <w:t>Endoplasmic reticulum (ER) stress: impaired protein folding and stress signaling reduces insulin sensitivity and contributes to β-cell dysfunction</w:t>
      </w:r>
      <w:r w:rsidRPr="003D28B2">
        <w:rPr>
          <w:rFonts w:ascii="Open Sans" w:hAnsi="Open Sans" w:cs="Open Sans"/>
          <w:color w:val="000000" w:themeColor="text1"/>
          <w:sz w:val="20"/>
          <w:szCs w:val="20"/>
        </w:rPr>
        <w:br/>
        <w:t>Mitochondrial dysfunction/ROS: oxidative stress interferes with insulin receptor signaling</w:t>
      </w:r>
      <w:r w:rsidRPr="003D28B2">
        <w:rPr>
          <w:rFonts w:ascii="Open Sans" w:hAnsi="Open Sans" w:cs="Open Sans"/>
          <w:color w:val="000000" w:themeColor="text1"/>
          <w:sz w:val="20"/>
          <w:szCs w:val="20"/>
        </w:rPr>
        <w:br/>
        <w:t>Low adiponectin: loss of insulin-sensitizing effect (common in visceral obesity)</w:t>
      </w:r>
      <w:r w:rsidRPr="003D28B2">
        <w:rPr>
          <w:rFonts w:ascii="Open Sans" w:hAnsi="Open Sans" w:cs="Open Sans"/>
          <w:color w:val="000000" w:themeColor="text1"/>
          <w:sz w:val="20"/>
          <w:szCs w:val="20"/>
        </w:rPr>
        <w:br/>
        <w:t>SOCS proteins: can promote degradation/inhibition of IRS signaling components</w:t>
      </w:r>
    </w:p>
    <w:p w14:paraId="793B8B5F"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Net effects</w:t>
      </w:r>
      <w:r w:rsidRPr="003D28B2">
        <w:rPr>
          <w:rFonts w:ascii="Open Sans" w:hAnsi="Open Sans" w:cs="Open Sans"/>
          <w:color w:val="000000" w:themeColor="text1"/>
          <w:sz w:val="20"/>
          <w:szCs w:val="20"/>
        </w:rPr>
        <w:br/>
        <w:t>Hyperglycemia + hyperlipidemia</w:t>
      </w:r>
      <w:r w:rsidRPr="003D28B2">
        <w:rPr>
          <w:rFonts w:ascii="Open Sans" w:hAnsi="Open Sans" w:cs="Open Sans"/>
          <w:color w:val="000000" w:themeColor="text1"/>
          <w:sz w:val="20"/>
          <w:szCs w:val="20"/>
        </w:rPr>
        <w:br/>
        <w:t>Progressive β-cell dysfunction (declining insulin secretion over time)</w:t>
      </w:r>
      <w:r w:rsidRPr="003D28B2">
        <w:rPr>
          <w:rFonts w:ascii="Open Sans" w:hAnsi="Open Sans" w:cs="Open Sans"/>
          <w:color w:val="000000" w:themeColor="text1"/>
          <w:sz w:val="20"/>
          <w:szCs w:val="20"/>
        </w:rPr>
        <w:br/>
        <w:t>Islet amyloid (IAPP) deposition is a common pathologic feature in T2DM (contributes to β-cell failure)</w:t>
      </w:r>
    </w:p>
    <w:p w14:paraId="7C5EBBEF"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t>Diagnosis of Diabetes in Canada (Thresholds)</w:t>
      </w:r>
      <w:r w:rsidRPr="003D28B2">
        <w:rPr>
          <w:rFonts w:ascii="Open Sans" w:hAnsi="Open Sans" w:cs="Open Sans"/>
          <w:color w:val="000000" w:themeColor="text1"/>
          <w:sz w:val="20"/>
          <w:szCs w:val="20"/>
        </w:rPr>
        <w:br/>
        <w:t>Diagnostic tests (any ONE can diagnose diabetes; confirmation is required if asymptomatic)</w:t>
      </w:r>
      <w:r w:rsidRPr="003D28B2">
        <w:rPr>
          <w:rFonts w:ascii="Open Sans" w:hAnsi="Open Sans" w:cs="Open Sans"/>
          <w:color w:val="000000" w:themeColor="text1"/>
          <w:sz w:val="20"/>
          <w:szCs w:val="20"/>
        </w:rPr>
        <w:br/>
        <w:t>Fasting plasma glucose (FPG) ≥ 7.0 mmol/L</w:t>
      </w:r>
      <w:r w:rsidRPr="003D28B2">
        <w:rPr>
          <w:rStyle w:val="apple-converted-space"/>
          <w:rFonts w:ascii="Open Sans" w:eastAsiaTheme="majorEastAsia" w:hAnsi="Open Sans" w:cs="Open Sans"/>
          <w:color w:val="000000" w:themeColor="text1"/>
          <w:sz w:val="20"/>
          <w:szCs w:val="20"/>
        </w:rPr>
        <w:t> </w:t>
      </w:r>
      <w:r w:rsidRPr="003D28B2">
        <w:rPr>
          <w:rFonts w:ascii="Open Sans" w:hAnsi="Open Sans" w:cs="Open Sans"/>
          <w:color w:val="000000" w:themeColor="text1"/>
          <w:sz w:val="20"/>
          <w:szCs w:val="20"/>
        </w:rPr>
        <w:br/>
        <w:t>2-hour plasma glucose on 75 g OGTT ≥ 11.1 mmol/L</w:t>
      </w:r>
      <w:r w:rsidRPr="003D28B2">
        <w:rPr>
          <w:rStyle w:val="apple-converted-space"/>
          <w:rFonts w:ascii="Open Sans" w:eastAsiaTheme="majorEastAsia" w:hAnsi="Open Sans" w:cs="Open Sans"/>
          <w:color w:val="000000" w:themeColor="text1"/>
          <w:sz w:val="20"/>
          <w:szCs w:val="20"/>
        </w:rPr>
        <w:t> </w:t>
      </w:r>
      <w:r w:rsidRPr="003D28B2">
        <w:rPr>
          <w:rFonts w:ascii="Open Sans" w:hAnsi="Open Sans" w:cs="Open Sans"/>
          <w:color w:val="000000" w:themeColor="text1"/>
          <w:sz w:val="20"/>
          <w:szCs w:val="20"/>
        </w:rPr>
        <w:br/>
        <w:t>HbA1c ≥ 6.5% (use standardized assay; confirm if asymptomatic)</w:t>
      </w:r>
      <w:r w:rsidRPr="003D28B2">
        <w:rPr>
          <w:rStyle w:val="apple-converted-space"/>
          <w:rFonts w:ascii="Open Sans" w:eastAsiaTheme="majorEastAsia" w:hAnsi="Open Sans" w:cs="Open Sans"/>
          <w:color w:val="000000" w:themeColor="text1"/>
          <w:sz w:val="20"/>
          <w:szCs w:val="20"/>
        </w:rPr>
        <w:t> </w:t>
      </w:r>
      <w:r w:rsidRPr="003D28B2">
        <w:rPr>
          <w:rFonts w:ascii="Open Sans" w:hAnsi="Open Sans" w:cs="Open Sans"/>
          <w:color w:val="000000" w:themeColor="text1"/>
          <w:sz w:val="20"/>
          <w:szCs w:val="20"/>
        </w:rPr>
        <w:br/>
        <w:t>Random plasma glucose ≥ 11.1 mmol/L with classic symptoms (polyuria, polydipsia, weight loss)</w:t>
      </w:r>
      <w:r w:rsidRPr="003D28B2">
        <w:rPr>
          <w:rStyle w:val="apple-converted-space"/>
          <w:rFonts w:ascii="Open Sans" w:eastAsiaTheme="majorEastAsia" w:hAnsi="Open Sans" w:cs="Open Sans"/>
          <w:color w:val="000000" w:themeColor="text1"/>
          <w:sz w:val="20"/>
          <w:szCs w:val="20"/>
        </w:rPr>
        <w:t> </w:t>
      </w:r>
    </w:p>
    <w:p w14:paraId="595CCCC3"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monitoring (core follow-up markers)</w:t>
      </w:r>
      <w:r w:rsidRPr="003D28B2">
        <w:rPr>
          <w:rFonts w:ascii="Open Sans" w:hAnsi="Open Sans" w:cs="Open Sans"/>
          <w:color w:val="000000" w:themeColor="text1"/>
          <w:sz w:val="20"/>
          <w:szCs w:val="20"/>
        </w:rPr>
        <w:br/>
        <w:t>HbA1c (every ~3 months when adjusting therapy; less often when stable), fasting and/or post-prandial SMBG/CGM patterns, BP, lipids, weight/waist, kidney status (eGFR + urine ACR), complications screening (eyes/feet/neuropathy)</w:t>
      </w:r>
    </w:p>
    <w:p w14:paraId="5828484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Diabetic Ketoacidosis (DKA)</w:t>
      </w:r>
      <w:r w:rsidRPr="003D28B2">
        <w:rPr>
          <w:rFonts w:ascii="Open Sans" w:hAnsi="Open Sans" w:cs="Open Sans"/>
          <w:color w:val="000000" w:themeColor="text1"/>
          <w:sz w:val="20"/>
          <w:szCs w:val="20"/>
        </w:rPr>
        <w:br/>
        <w:t>Key point: DKA is classically associated with T1DM but can occur in T2DM (especially under physiologic stress, insulin deficiency, and with SGLT2 inhibitor–associated euglycemic DKA).</w:t>
      </w:r>
    </w:p>
    <w:p w14:paraId="1C6AAEA8"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Typical biochemical features (Adults)</w:t>
      </w:r>
      <w:r w:rsidRPr="003D28B2">
        <w:rPr>
          <w:rFonts w:ascii="Open Sans" w:hAnsi="Open Sans" w:cs="Open Sans"/>
          <w:color w:val="000000" w:themeColor="text1"/>
          <w:sz w:val="20"/>
          <w:szCs w:val="20"/>
        </w:rPr>
        <w:br/>
        <w:t>There are no single “absolute” criteria, but DKA is typically characterized by metabolic acidosis with arterial pH ≤ 7.3, serum bicarbonate ≤ 15 mmol/L, and anion gap &gt; 12 mmol/L, with ketosis and hyperglycemia often present</w:t>
      </w:r>
      <w:r w:rsidRPr="003D28B2">
        <w:rPr>
          <w:rStyle w:val="apple-converted-space"/>
          <w:rFonts w:ascii="Open Sans" w:eastAsiaTheme="majorEastAsia" w:hAnsi="Open Sans" w:cs="Open Sans"/>
          <w:color w:val="000000" w:themeColor="text1"/>
          <w:sz w:val="20"/>
          <w:szCs w:val="20"/>
        </w:rPr>
        <w:t> </w:t>
      </w:r>
      <w:r w:rsidRPr="003D28B2">
        <w:rPr>
          <w:rFonts w:ascii="Open Sans" w:hAnsi="Open Sans" w:cs="Open Sans"/>
          <w:color w:val="000000" w:themeColor="text1"/>
          <w:sz w:val="20"/>
          <w:szCs w:val="20"/>
        </w:rPr>
        <w:br/>
        <w:t>Important nuance: normal or mildly elevated glucose does not exclude DKA in certain settings (e.g., pregnancy or SGLT2 inhibitor use)</w:t>
      </w:r>
      <w:r w:rsidRPr="003D28B2">
        <w:rPr>
          <w:rStyle w:val="apple-converted-space"/>
          <w:rFonts w:ascii="Open Sans" w:eastAsiaTheme="majorEastAsia" w:hAnsi="Open Sans" w:cs="Open Sans"/>
          <w:color w:val="000000" w:themeColor="text1"/>
          <w:sz w:val="20"/>
          <w:szCs w:val="20"/>
        </w:rPr>
        <w:t> </w:t>
      </w:r>
    </w:p>
    <w:p w14:paraId="43BB201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Pathophysiology (high-yield sequence)</w:t>
      </w:r>
      <w:r w:rsidRPr="003D28B2">
        <w:rPr>
          <w:rFonts w:ascii="Open Sans" w:hAnsi="Open Sans" w:cs="Open Sans"/>
          <w:color w:val="000000" w:themeColor="text1"/>
          <w:sz w:val="20"/>
          <w:szCs w:val="20"/>
        </w:rPr>
        <w:br/>
        <w:t>Severe insulin deficiency + excess counter-regulatory hormones (glucagon, catecholamines, cortisol, GH)</w:t>
      </w:r>
      <w:r w:rsidRPr="003D28B2">
        <w:rPr>
          <w:rFonts w:ascii="Open Sans" w:hAnsi="Open Sans" w:cs="Open Sans"/>
          <w:color w:val="000000" w:themeColor="text1"/>
          <w:sz w:val="20"/>
          <w:szCs w:val="20"/>
        </w:rPr>
        <w:br/>
        <w:t xml:space="preserve">Increased lipolysis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FFAs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hepatic ketogenesis (β-hydroxybutyrate, acetoacetate; acetone)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high anion gap metabolic acidosis</w:t>
      </w:r>
      <w:r w:rsidRPr="003D28B2">
        <w:rPr>
          <w:rFonts w:ascii="Open Sans" w:hAnsi="Open Sans" w:cs="Open Sans"/>
          <w:color w:val="000000" w:themeColor="text1"/>
          <w:sz w:val="20"/>
          <w:szCs w:val="20"/>
        </w:rPr>
        <w:br/>
        <w:t xml:space="preserve">Hyperglycemia + osmotic diuresis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dehydration, electrolyte losses, tachycardia</w:t>
      </w:r>
      <w:r w:rsidRPr="003D28B2">
        <w:rPr>
          <w:rFonts w:ascii="Open Sans" w:hAnsi="Open Sans" w:cs="Open Sans"/>
          <w:color w:val="000000" w:themeColor="text1"/>
          <w:sz w:val="20"/>
          <w:szCs w:val="20"/>
        </w:rPr>
        <w:br/>
        <w:t>Respiratory compensation: Kussmaul respirations (tachypnea)</w:t>
      </w:r>
    </w:p>
    <w:p w14:paraId="7CCB3A57"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Anion gap (AG)</w:t>
      </w:r>
      <w:r w:rsidRPr="003D28B2">
        <w:rPr>
          <w:rFonts w:ascii="Open Sans" w:hAnsi="Open Sans" w:cs="Open Sans"/>
          <w:color w:val="000000" w:themeColor="text1"/>
          <w:sz w:val="20"/>
          <w:szCs w:val="20"/>
        </w:rPr>
        <w:br/>
        <w:t>AG = Na</w:t>
      </w:r>
      <w:r w:rsidRPr="003D28B2">
        <w:rPr>
          <w:rFonts w:ascii="Cambria Math" w:hAnsi="Cambria Math" w:cs="Cambria Math"/>
          <w:color w:val="000000" w:themeColor="text1"/>
          <w:sz w:val="20"/>
          <w:szCs w:val="20"/>
        </w:rPr>
        <w:t>⁺</w:t>
      </w:r>
      <w:r w:rsidRPr="003D28B2">
        <w:rPr>
          <w:rFonts w:ascii="Open Sans" w:hAnsi="Open Sans" w:cs="Open Sans"/>
          <w:color w:val="000000" w:themeColor="text1"/>
          <w:sz w:val="20"/>
          <w:szCs w:val="20"/>
        </w:rPr>
        <w:t xml:space="preserve"> − (Cl</w:t>
      </w:r>
      <w:r w:rsidRPr="003D28B2">
        <w:rPr>
          <w:rFonts w:ascii="Cambria Math" w:hAnsi="Cambria Math" w:cs="Cambria Math"/>
          <w:color w:val="000000" w:themeColor="text1"/>
          <w:sz w:val="20"/>
          <w:szCs w:val="20"/>
        </w:rPr>
        <w:t>⁻</w:t>
      </w:r>
      <w:r w:rsidRPr="003D28B2">
        <w:rPr>
          <w:rFonts w:ascii="Open Sans" w:hAnsi="Open Sans" w:cs="Open Sans"/>
          <w:color w:val="000000" w:themeColor="text1"/>
          <w:sz w:val="20"/>
          <w:szCs w:val="20"/>
        </w:rPr>
        <w:t xml:space="preserve"> + HCO</w:t>
      </w:r>
      <w:r w:rsidRPr="003D28B2">
        <w:rPr>
          <w:rFonts w:ascii="Cambria Math" w:hAnsi="Cambria Math" w:cs="Cambria Math"/>
          <w:color w:val="000000" w:themeColor="text1"/>
          <w:sz w:val="20"/>
          <w:szCs w:val="20"/>
        </w:rPr>
        <w:t>₃⁻</w:t>
      </w:r>
      <w:r w:rsidRPr="003D28B2">
        <w:rPr>
          <w:rFonts w:ascii="Open Sans" w:hAnsi="Open Sans" w:cs="Open Sans"/>
          <w:color w:val="000000" w:themeColor="text1"/>
          <w:sz w:val="20"/>
          <w:szCs w:val="20"/>
        </w:rPr>
        <w:t>)</w:t>
      </w:r>
      <w:r w:rsidRPr="003D28B2">
        <w:rPr>
          <w:rFonts w:ascii="Open Sans" w:hAnsi="Open Sans" w:cs="Open Sans"/>
          <w:color w:val="000000" w:themeColor="text1"/>
          <w:sz w:val="20"/>
          <w:szCs w:val="20"/>
        </w:rPr>
        <w:br/>
        <w:t>In DKA, AG rises due to unmeasured anions from ketoacids (and lactate can contribute, especially with hypoperfusion)</w:t>
      </w:r>
      <w:r w:rsidRPr="003D28B2">
        <w:rPr>
          <w:rStyle w:val="apple-converted-space"/>
          <w:rFonts w:ascii="Open Sans" w:eastAsiaTheme="majorEastAsia" w:hAnsi="Open Sans" w:cs="Open Sans"/>
          <w:color w:val="000000" w:themeColor="text1"/>
          <w:sz w:val="20"/>
          <w:szCs w:val="20"/>
        </w:rPr>
        <w:t> </w:t>
      </w:r>
      <w:r w:rsidRPr="003D28B2">
        <w:rPr>
          <w:rFonts w:ascii="Open Sans" w:hAnsi="Open Sans" w:cs="Open Sans"/>
          <w:color w:val="000000" w:themeColor="text1"/>
          <w:sz w:val="20"/>
          <w:szCs w:val="20"/>
        </w:rPr>
        <w:br/>
        <w:t>Clinical use: helps confirm DKA and monitor closure/recovery (along with ketones and bicarbonate).</w:t>
      </w:r>
    </w:p>
    <w:p w14:paraId="1B8A24F4"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Corrected sodium (exam staple)</w:t>
      </w:r>
      <w:r w:rsidRPr="003D28B2">
        <w:rPr>
          <w:rFonts w:ascii="Open Sans" w:hAnsi="Open Sans" w:cs="Open Sans"/>
          <w:color w:val="000000" w:themeColor="text1"/>
          <w:sz w:val="20"/>
          <w:szCs w:val="20"/>
        </w:rPr>
        <w:br/>
        <w:t>Hyperglycemia raises plasma osmolality, pulling water into the intravascular space and lowering measured Na</w:t>
      </w:r>
      <w:r w:rsidRPr="003D28B2">
        <w:rPr>
          <w:rFonts w:ascii="Cambria Math" w:hAnsi="Cambria Math" w:cs="Cambria Math"/>
          <w:color w:val="000000" w:themeColor="text1"/>
          <w:sz w:val="20"/>
          <w:szCs w:val="20"/>
        </w:rPr>
        <w:t>⁺</w:t>
      </w:r>
      <w:r w:rsidRPr="003D28B2">
        <w:rPr>
          <w:rFonts w:ascii="Open Sans" w:hAnsi="Open Sans" w:cs="Open Sans"/>
          <w:color w:val="000000" w:themeColor="text1"/>
          <w:sz w:val="20"/>
          <w:szCs w:val="20"/>
        </w:rPr>
        <w:t xml:space="preserve"> (dilutional). You correct Na</w:t>
      </w:r>
      <w:r w:rsidRPr="003D28B2">
        <w:rPr>
          <w:rFonts w:ascii="Cambria Math" w:hAnsi="Cambria Math" w:cs="Cambria Math"/>
          <w:color w:val="000000" w:themeColor="text1"/>
          <w:sz w:val="20"/>
          <w:szCs w:val="20"/>
        </w:rPr>
        <w:t>⁺</w:t>
      </w:r>
      <w:r w:rsidRPr="003D28B2">
        <w:rPr>
          <w:rFonts w:ascii="Open Sans" w:hAnsi="Open Sans" w:cs="Open Sans"/>
          <w:color w:val="000000" w:themeColor="text1"/>
          <w:sz w:val="20"/>
          <w:szCs w:val="20"/>
        </w:rPr>
        <w:t xml:space="preserve"> to estimate “true” sodium status for fluid planning. (Different correction factors exist depending on unit conventions; your course may specify one—use the one taught, but the concept is consistent.)</w:t>
      </w:r>
    </w:p>
    <w:p w14:paraId="1DB8562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AGEs and RAGE (Complications Mechanism)</w:t>
      </w:r>
      <w:r w:rsidRPr="003D28B2">
        <w:rPr>
          <w:rFonts w:ascii="Open Sans" w:hAnsi="Open Sans" w:cs="Open Sans"/>
          <w:color w:val="000000" w:themeColor="text1"/>
          <w:sz w:val="20"/>
          <w:szCs w:val="20"/>
        </w:rPr>
        <w:br/>
        <w:t xml:space="preserve">Persistent hyperglycemia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non-enzymatic glycation of proteins/lipids/nucleic acids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advanced glycation end products (AGEs) accumulate in tissues</w:t>
      </w:r>
      <w:r w:rsidRPr="003D28B2">
        <w:rPr>
          <w:rFonts w:ascii="Open Sans" w:hAnsi="Open Sans" w:cs="Open Sans"/>
          <w:color w:val="000000" w:themeColor="text1"/>
          <w:sz w:val="20"/>
          <w:szCs w:val="20"/>
        </w:rPr>
        <w:br/>
      </w:r>
      <w:r w:rsidRPr="003D28B2">
        <w:rPr>
          <w:rFonts w:ascii="Open Sans" w:hAnsi="Open Sans" w:cs="Open Sans"/>
          <w:color w:val="000000" w:themeColor="text1"/>
          <w:sz w:val="20"/>
          <w:szCs w:val="20"/>
        </w:rPr>
        <w:lastRenderedPageBreak/>
        <w:t xml:space="preserve">AGE binding to RAGE triggers oxidative stress and inflammatory signaling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endothelial dysfunction and vascular injury (links to micro- and macrovascular disease)</w:t>
      </w:r>
    </w:p>
    <w:p w14:paraId="43CE8BEF"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Vascular Complications</w:t>
      </w:r>
      <w:r w:rsidRPr="003D28B2">
        <w:rPr>
          <w:rFonts w:ascii="Open Sans" w:hAnsi="Open Sans" w:cs="Open Sans"/>
          <w:color w:val="000000" w:themeColor="text1"/>
          <w:sz w:val="20"/>
          <w:szCs w:val="20"/>
        </w:rPr>
        <w:br/>
        <w:t>Macrovascular</w:t>
      </w:r>
      <w:r w:rsidRPr="003D28B2">
        <w:rPr>
          <w:rFonts w:ascii="Open Sans" w:hAnsi="Open Sans" w:cs="Open Sans"/>
          <w:color w:val="000000" w:themeColor="text1"/>
          <w:sz w:val="20"/>
          <w:szCs w:val="20"/>
        </w:rPr>
        <w:br/>
        <w:t xml:space="preserve">Accelerated atherosclerosis (driven by hyperglycemia, insulin resistance, dyslipidemia, hypertension, inflammation)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MI, stroke, PAD</w:t>
      </w:r>
      <w:r w:rsidRPr="003D28B2">
        <w:rPr>
          <w:rFonts w:ascii="Open Sans" w:hAnsi="Open Sans" w:cs="Open Sans"/>
          <w:color w:val="000000" w:themeColor="text1"/>
          <w:sz w:val="20"/>
          <w:szCs w:val="20"/>
        </w:rPr>
        <w:br/>
        <w:t>Microvascular</w:t>
      </w:r>
      <w:r w:rsidRPr="003D28B2">
        <w:rPr>
          <w:rFonts w:ascii="Open Sans" w:hAnsi="Open Sans" w:cs="Open Sans"/>
          <w:color w:val="000000" w:themeColor="text1"/>
          <w:sz w:val="20"/>
          <w:szCs w:val="20"/>
        </w:rPr>
        <w:br/>
        <w:t>Retinopathy, nephropathy, neuropathy</w:t>
      </w:r>
      <w:r w:rsidRPr="003D28B2">
        <w:rPr>
          <w:rFonts w:ascii="Open Sans" w:hAnsi="Open Sans" w:cs="Open Sans"/>
          <w:color w:val="000000" w:themeColor="text1"/>
          <w:sz w:val="20"/>
          <w:szCs w:val="20"/>
        </w:rPr>
        <w:br/>
        <w:t>Shared drivers: AGEs, oxidative stress, endothelial injury, chronic inflammation</w:t>
      </w:r>
    </w:p>
    <w:p w14:paraId="65DB2145"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Pharmacotherapy Summary (Canada-focused approach)</w:t>
      </w:r>
      <w:r w:rsidRPr="003D28B2">
        <w:rPr>
          <w:rFonts w:ascii="Open Sans" w:hAnsi="Open Sans" w:cs="Open Sans"/>
          <w:color w:val="000000" w:themeColor="text1"/>
          <w:sz w:val="20"/>
          <w:szCs w:val="20"/>
        </w:rPr>
        <w:br/>
        <w:t>First-line foundation</w:t>
      </w:r>
      <w:r w:rsidRPr="003D28B2">
        <w:rPr>
          <w:rFonts w:ascii="Open Sans" w:hAnsi="Open Sans" w:cs="Open Sans"/>
          <w:color w:val="000000" w:themeColor="text1"/>
          <w:sz w:val="20"/>
          <w:szCs w:val="20"/>
        </w:rPr>
        <w:br/>
        <w:t>Lifestyle interventions + metformin unless contraindicated (especially consider renal function for dosing/eligibility). Metformin has longstanding outcomes evidence and remains the standard initial agent in most adults.</w:t>
      </w:r>
      <w:r w:rsidRPr="003D28B2">
        <w:rPr>
          <w:rStyle w:val="apple-converted-space"/>
          <w:rFonts w:ascii="Open Sans" w:eastAsiaTheme="majorEastAsia" w:hAnsi="Open Sans" w:cs="Open Sans"/>
          <w:color w:val="000000" w:themeColor="text1"/>
          <w:sz w:val="20"/>
          <w:szCs w:val="20"/>
        </w:rPr>
        <w:t> </w:t>
      </w:r>
    </w:p>
    <w:p w14:paraId="22983EEB"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Add-on therapy: choose based on comorbidities and risk (not just A1c)</w:t>
      </w:r>
      <w:r w:rsidRPr="003D28B2">
        <w:rPr>
          <w:rFonts w:ascii="Open Sans" w:hAnsi="Open Sans" w:cs="Open Sans"/>
          <w:color w:val="000000" w:themeColor="text1"/>
          <w:sz w:val="20"/>
          <w:szCs w:val="20"/>
        </w:rPr>
        <w:br/>
        <w:t>If established ASCVD, heart failure, and/or CKD: prioritize agents with proven cardiorenal benefit (commonly SGLT2 inhibitors and/or GLP-1 receptor agonists, depending on the dominant comorbidity and patient factors).</w:t>
      </w:r>
      <w:r w:rsidRPr="003D28B2">
        <w:rPr>
          <w:rStyle w:val="apple-converted-space"/>
          <w:rFonts w:ascii="Open Sans" w:eastAsiaTheme="majorEastAsia" w:hAnsi="Open Sans" w:cs="Open Sans"/>
          <w:color w:val="000000" w:themeColor="text1"/>
          <w:sz w:val="20"/>
          <w:szCs w:val="20"/>
        </w:rPr>
        <w:t> </w:t>
      </w:r>
    </w:p>
    <w:p w14:paraId="45B2719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SGLT2 inhibitor safety pearls (high-yield)</w:t>
      </w:r>
      <w:r w:rsidRPr="003D28B2">
        <w:rPr>
          <w:rFonts w:ascii="Open Sans" w:hAnsi="Open Sans" w:cs="Open Sans"/>
          <w:color w:val="000000" w:themeColor="text1"/>
          <w:sz w:val="20"/>
          <w:szCs w:val="20"/>
        </w:rPr>
        <w:br/>
        <w:t>DKA risk exists and may be euglycemic; a normal glucose does not rule it out</w:t>
      </w:r>
      <w:r w:rsidRPr="003D28B2">
        <w:rPr>
          <w:rStyle w:val="apple-converted-space"/>
          <w:rFonts w:ascii="Open Sans" w:eastAsiaTheme="majorEastAsia" w:hAnsi="Open Sans" w:cs="Open Sans"/>
          <w:color w:val="000000" w:themeColor="text1"/>
          <w:sz w:val="20"/>
          <w:szCs w:val="20"/>
        </w:rPr>
        <w:t> </w:t>
      </w:r>
      <w:r w:rsidRPr="003D28B2">
        <w:rPr>
          <w:rFonts w:ascii="Open Sans" w:hAnsi="Open Sans" w:cs="Open Sans"/>
          <w:color w:val="000000" w:themeColor="text1"/>
          <w:sz w:val="20"/>
          <w:szCs w:val="20"/>
        </w:rPr>
        <w:br/>
        <w:t>Peri-procedural safety: Health Canada recommends stopping SGLT2 inhibitors at least 3 days before surgery or invasive procedures requiring prolonged fasting to reduce DKA risk</w:t>
      </w:r>
      <w:r w:rsidRPr="003D28B2">
        <w:rPr>
          <w:rStyle w:val="apple-converted-space"/>
          <w:rFonts w:ascii="Open Sans" w:eastAsiaTheme="majorEastAsia" w:hAnsi="Open Sans" w:cs="Open Sans"/>
          <w:color w:val="000000" w:themeColor="text1"/>
          <w:sz w:val="20"/>
          <w:szCs w:val="20"/>
        </w:rPr>
        <w:t> </w:t>
      </w:r>
    </w:p>
    <w:p w14:paraId="6EB4461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Metformin</w:t>
      </w:r>
      <w:r w:rsidRPr="003D28B2">
        <w:rPr>
          <w:rFonts w:ascii="Open Sans" w:hAnsi="Open Sans" w:cs="Open Sans"/>
          <w:color w:val="000000" w:themeColor="text1"/>
          <w:sz w:val="20"/>
          <w:szCs w:val="20"/>
        </w:rPr>
        <w:br/>
        <w:t>Mechanism of Action</w:t>
      </w:r>
      <w:r w:rsidRPr="003D28B2">
        <w:rPr>
          <w:rFonts w:ascii="Open Sans" w:hAnsi="Open Sans" w:cs="Open Sans"/>
          <w:color w:val="000000" w:themeColor="text1"/>
          <w:sz w:val="20"/>
          <w:szCs w:val="20"/>
        </w:rPr>
        <w:br/>
        <w:t>Activates AMP-activated protein kinase (AMPK)</w:t>
      </w:r>
      <w:r w:rsidRPr="003D28B2">
        <w:rPr>
          <w:rFonts w:ascii="Open Sans" w:hAnsi="Open Sans" w:cs="Open Sans"/>
          <w:color w:val="000000" w:themeColor="text1"/>
          <w:sz w:val="20"/>
          <w:szCs w:val="20"/>
        </w:rPr>
        <w:br/>
        <w:t>Decreases hepatic gluconeogenesis (primary glucose-lowering effect)</w:t>
      </w:r>
      <w:r w:rsidRPr="003D28B2">
        <w:rPr>
          <w:rFonts w:ascii="Open Sans" w:hAnsi="Open Sans" w:cs="Open Sans"/>
          <w:color w:val="000000" w:themeColor="text1"/>
          <w:sz w:val="20"/>
          <w:szCs w:val="20"/>
        </w:rPr>
        <w:br/>
        <w:t>Reduces hepatic steatosis (fatty liver)</w:t>
      </w:r>
      <w:r w:rsidRPr="003D28B2">
        <w:rPr>
          <w:rFonts w:ascii="Open Sans" w:hAnsi="Open Sans" w:cs="Open Sans"/>
          <w:color w:val="000000" w:themeColor="text1"/>
          <w:sz w:val="20"/>
          <w:szCs w:val="20"/>
        </w:rPr>
        <w:br/>
        <w:t>Improves peripheral insulin sensitivity</w:t>
      </w:r>
      <w:r w:rsidRPr="003D28B2">
        <w:rPr>
          <w:rFonts w:ascii="Open Sans" w:hAnsi="Open Sans" w:cs="Open Sans"/>
          <w:color w:val="000000" w:themeColor="text1"/>
          <w:sz w:val="20"/>
          <w:szCs w:val="20"/>
        </w:rPr>
        <w:br/>
        <w:t>Increases GLUT4 translocation in skeletal muscle</w:t>
      </w:r>
      <w:r w:rsidRPr="003D28B2">
        <w:rPr>
          <w:rFonts w:ascii="Open Sans" w:hAnsi="Open Sans" w:cs="Open Sans"/>
          <w:color w:val="000000" w:themeColor="text1"/>
          <w:sz w:val="20"/>
          <w:szCs w:val="20"/>
        </w:rPr>
        <w:br/>
        <w:t>Decreases intestinal glucose absorption, lowering post-prandial glucose excursions</w:t>
      </w:r>
    </w:p>
    <w:p w14:paraId="14F2D281"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Advantages</w:t>
      </w:r>
      <w:r w:rsidRPr="003D28B2">
        <w:rPr>
          <w:rFonts w:ascii="Open Sans" w:hAnsi="Open Sans" w:cs="Open Sans"/>
          <w:color w:val="000000" w:themeColor="text1"/>
          <w:sz w:val="20"/>
          <w:szCs w:val="20"/>
        </w:rPr>
        <w:br/>
        <w:t>Weight neutral or modest weight loss</w:t>
      </w:r>
      <w:r w:rsidRPr="003D28B2">
        <w:rPr>
          <w:rFonts w:ascii="Open Sans" w:hAnsi="Open Sans" w:cs="Open Sans"/>
          <w:color w:val="000000" w:themeColor="text1"/>
          <w:sz w:val="20"/>
          <w:szCs w:val="20"/>
        </w:rPr>
        <w:br/>
        <w:t>Low hypoglycemia risk (does not stimulate insulin secretion)</w:t>
      </w:r>
      <w:r w:rsidRPr="003D28B2">
        <w:rPr>
          <w:rFonts w:ascii="Open Sans" w:hAnsi="Open Sans" w:cs="Open Sans"/>
          <w:color w:val="000000" w:themeColor="text1"/>
          <w:sz w:val="20"/>
          <w:szCs w:val="20"/>
        </w:rPr>
        <w:br/>
        <w:t>Cardiovascular benefit and mortality reduction</w:t>
      </w:r>
      <w:r w:rsidRPr="003D28B2">
        <w:rPr>
          <w:rFonts w:ascii="Open Sans" w:hAnsi="Open Sans" w:cs="Open Sans"/>
          <w:color w:val="000000" w:themeColor="text1"/>
          <w:sz w:val="20"/>
          <w:szCs w:val="20"/>
        </w:rPr>
        <w:br/>
        <w:t>First-line therapy for T2DM</w:t>
      </w:r>
      <w:r w:rsidRPr="003D28B2">
        <w:rPr>
          <w:rFonts w:ascii="Open Sans" w:hAnsi="Open Sans" w:cs="Open Sans"/>
          <w:color w:val="000000" w:themeColor="text1"/>
          <w:sz w:val="20"/>
          <w:szCs w:val="20"/>
        </w:rPr>
        <w:br/>
        <w:t>Common off-label uses include PCOS and prediabetes</w:t>
      </w:r>
    </w:p>
    <w:p w14:paraId="42825E07"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Adverse Effects and Limitations</w:t>
      </w:r>
      <w:r w:rsidRPr="003D28B2">
        <w:rPr>
          <w:rFonts w:ascii="Open Sans" w:hAnsi="Open Sans" w:cs="Open Sans"/>
          <w:color w:val="000000" w:themeColor="text1"/>
          <w:sz w:val="20"/>
          <w:szCs w:val="20"/>
        </w:rPr>
        <w:br/>
        <w:t>Gastrointestinal upset (nausea, vomiting, diarrhea, abdominal discomfort), especially at initiation</w:t>
      </w:r>
      <w:r w:rsidRPr="003D28B2">
        <w:rPr>
          <w:rFonts w:ascii="Open Sans" w:hAnsi="Open Sans" w:cs="Open Sans"/>
          <w:color w:val="000000" w:themeColor="text1"/>
          <w:sz w:val="20"/>
          <w:szCs w:val="20"/>
        </w:rPr>
        <w:br/>
        <w:t xml:space="preserve">Rare risk of lactic acidosis, increased with severe renal impairment, advanced liver disease, or </w:t>
      </w:r>
      <w:r w:rsidRPr="003D28B2">
        <w:rPr>
          <w:rFonts w:ascii="Open Sans" w:hAnsi="Open Sans" w:cs="Open Sans"/>
          <w:color w:val="000000" w:themeColor="text1"/>
          <w:sz w:val="20"/>
          <w:szCs w:val="20"/>
        </w:rPr>
        <w:lastRenderedPageBreak/>
        <w:t>hypoxic states</w:t>
      </w:r>
      <w:r w:rsidRPr="003D28B2">
        <w:rPr>
          <w:rFonts w:ascii="Open Sans" w:hAnsi="Open Sans" w:cs="Open Sans"/>
          <w:color w:val="000000" w:themeColor="text1"/>
          <w:sz w:val="20"/>
          <w:szCs w:val="20"/>
        </w:rPr>
        <w:br/>
        <w:t>Dose adjustment or discontinuation required with declining eGFR</w:t>
      </w:r>
    </w:p>
    <w:p w14:paraId="1E5E111B"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Second-Line and Add-On Therapies</w:t>
      </w:r>
    </w:p>
    <w:p w14:paraId="19C2F521"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SGLT2 Inhibitors (e.g., canagliflozin, dapagliflozin, empagliflozin; “-</w:t>
      </w:r>
      <w:proofErr w:type="spellStart"/>
      <w:r w:rsidRPr="003D28B2">
        <w:rPr>
          <w:rFonts w:ascii="Open Sans" w:hAnsi="Open Sans" w:cs="Open Sans"/>
          <w:color w:val="000000" w:themeColor="text1"/>
          <w:sz w:val="20"/>
          <w:szCs w:val="20"/>
        </w:rPr>
        <w:t>flozin</w:t>
      </w:r>
      <w:proofErr w:type="spellEnd"/>
      <w:r w:rsidRPr="003D28B2">
        <w:rPr>
          <w:rFonts w:ascii="Open Sans" w:hAnsi="Open Sans" w:cs="Open Sans"/>
          <w:color w:val="000000" w:themeColor="text1"/>
          <w:sz w:val="20"/>
          <w:szCs w:val="20"/>
        </w:rPr>
        <w:t>”)</w:t>
      </w:r>
      <w:r w:rsidRPr="003D28B2">
        <w:rPr>
          <w:rFonts w:ascii="Open Sans" w:hAnsi="Open Sans" w:cs="Open Sans"/>
          <w:color w:val="000000" w:themeColor="text1"/>
          <w:sz w:val="20"/>
          <w:szCs w:val="20"/>
        </w:rPr>
        <w:br/>
        <w:t>Mechanism</w:t>
      </w:r>
      <w:r w:rsidRPr="003D28B2">
        <w:rPr>
          <w:rFonts w:ascii="Open Sans" w:hAnsi="Open Sans" w:cs="Open Sans"/>
          <w:color w:val="000000" w:themeColor="text1"/>
          <w:sz w:val="20"/>
          <w:szCs w:val="20"/>
        </w:rPr>
        <w:br/>
        <w:t>Inhibit SGLT2 in the proximal renal tubule</w:t>
      </w:r>
      <w:r w:rsidRPr="003D28B2">
        <w:rPr>
          <w:rFonts w:ascii="Open Sans" w:hAnsi="Open Sans" w:cs="Open Sans"/>
          <w:color w:val="000000" w:themeColor="text1"/>
          <w:sz w:val="20"/>
          <w:szCs w:val="20"/>
        </w:rPr>
        <w:br/>
        <w:t xml:space="preserve">Block glucose reabsorption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glycosuria and osmotic diuresis</w:t>
      </w:r>
      <w:r w:rsidRPr="003D28B2">
        <w:rPr>
          <w:rFonts w:ascii="Open Sans" w:hAnsi="Open Sans" w:cs="Open Sans"/>
          <w:color w:val="000000" w:themeColor="text1"/>
          <w:sz w:val="20"/>
          <w:szCs w:val="20"/>
        </w:rPr>
        <w:br/>
        <w:t>Lower fasting and post-prandial glucose independent of insulin</w:t>
      </w:r>
    </w:p>
    <w:p w14:paraId="6742AEE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Benefits</w:t>
      </w:r>
      <w:r w:rsidRPr="003D28B2">
        <w:rPr>
          <w:rFonts w:ascii="Open Sans" w:hAnsi="Open Sans" w:cs="Open Sans"/>
          <w:color w:val="000000" w:themeColor="text1"/>
          <w:sz w:val="20"/>
          <w:szCs w:val="20"/>
        </w:rPr>
        <w:br/>
        <w:t>Cardiovascular and renal protection</w:t>
      </w:r>
      <w:r w:rsidRPr="003D28B2">
        <w:rPr>
          <w:rFonts w:ascii="Open Sans" w:hAnsi="Open Sans" w:cs="Open Sans"/>
          <w:color w:val="000000" w:themeColor="text1"/>
          <w:sz w:val="20"/>
          <w:szCs w:val="20"/>
        </w:rPr>
        <w:br/>
        <w:t>Heart failure benefit (reduced hospitalization)</w:t>
      </w:r>
      <w:r w:rsidRPr="003D28B2">
        <w:rPr>
          <w:rFonts w:ascii="Open Sans" w:hAnsi="Open Sans" w:cs="Open Sans"/>
          <w:color w:val="000000" w:themeColor="text1"/>
          <w:sz w:val="20"/>
          <w:szCs w:val="20"/>
        </w:rPr>
        <w:br/>
        <w:t>Can be used in chronic kidney disease depending on eGFR</w:t>
      </w:r>
      <w:r w:rsidRPr="003D28B2">
        <w:rPr>
          <w:rFonts w:ascii="Open Sans" w:hAnsi="Open Sans" w:cs="Open Sans"/>
          <w:color w:val="000000" w:themeColor="text1"/>
          <w:sz w:val="20"/>
          <w:szCs w:val="20"/>
        </w:rPr>
        <w:br/>
        <w:t>Modest weight loss and blood pressure reduction</w:t>
      </w:r>
    </w:p>
    <w:p w14:paraId="043DC64B"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Risks</w:t>
      </w:r>
      <w:r w:rsidRPr="003D28B2">
        <w:rPr>
          <w:rFonts w:ascii="Open Sans" w:hAnsi="Open Sans" w:cs="Open Sans"/>
          <w:color w:val="000000" w:themeColor="text1"/>
          <w:sz w:val="20"/>
          <w:szCs w:val="20"/>
        </w:rPr>
        <w:br/>
        <w:t>Genital mycotic infections</w:t>
      </w:r>
      <w:r w:rsidRPr="003D28B2">
        <w:rPr>
          <w:rFonts w:ascii="Open Sans" w:hAnsi="Open Sans" w:cs="Open Sans"/>
          <w:color w:val="000000" w:themeColor="text1"/>
          <w:sz w:val="20"/>
          <w:szCs w:val="20"/>
        </w:rPr>
        <w:br/>
        <w:t>Volume depletion, polyuria, hypotension</w:t>
      </w:r>
      <w:r w:rsidRPr="003D28B2">
        <w:rPr>
          <w:rFonts w:ascii="Open Sans" w:hAnsi="Open Sans" w:cs="Open Sans"/>
          <w:color w:val="000000" w:themeColor="text1"/>
          <w:sz w:val="20"/>
          <w:szCs w:val="20"/>
        </w:rPr>
        <w:br/>
        <w:t>Rare diabetic ketoacidosis (may be euglycemic)</w:t>
      </w:r>
      <w:r w:rsidRPr="003D28B2">
        <w:rPr>
          <w:rFonts w:ascii="Open Sans" w:hAnsi="Open Sans" w:cs="Open Sans"/>
          <w:color w:val="000000" w:themeColor="text1"/>
          <w:sz w:val="20"/>
          <w:szCs w:val="20"/>
        </w:rPr>
        <w:br/>
        <w:t>Monitor renal function before initiation and periodically</w:t>
      </w:r>
    </w:p>
    <w:p w14:paraId="50ECD8F4"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 xml:space="preserve">GLP-1 Receptor Agonists (e.g., </w:t>
      </w:r>
      <w:proofErr w:type="spellStart"/>
      <w:r w:rsidRPr="003D28B2">
        <w:rPr>
          <w:rFonts w:ascii="Open Sans" w:hAnsi="Open Sans" w:cs="Open Sans"/>
          <w:color w:val="000000" w:themeColor="text1"/>
          <w:sz w:val="20"/>
          <w:szCs w:val="20"/>
        </w:rPr>
        <w:t>semaglutide</w:t>
      </w:r>
      <w:proofErr w:type="spellEnd"/>
      <w:r w:rsidRPr="003D28B2">
        <w:rPr>
          <w:rFonts w:ascii="Open Sans" w:hAnsi="Open Sans" w:cs="Open Sans"/>
          <w:color w:val="000000" w:themeColor="text1"/>
          <w:sz w:val="20"/>
          <w:szCs w:val="20"/>
        </w:rPr>
        <w:t xml:space="preserve">, dulaglutide, </w:t>
      </w:r>
      <w:proofErr w:type="spellStart"/>
      <w:r w:rsidRPr="003D28B2">
        <w:rPr>
          <w:rFonts w:ascii="Open Sans" w:hAnsi="Open Sans" w:cs="Open Sans"/>
          <w:color w:val="000000" w:themeColor="text1"/>
          <w:sz w:val="20"/>
          <w:szCs w:val="20"/>
        </w:rPr>
        <w:t>tirzepatide</w:t>
      </w:r>
      <w:proofErr w:type="spellEnd"/>
      <w:r w:rsidRPr="003D28B2">
        <w:rPr>
          <w:rFonts w:ascii="Open Sans" w:hAnsi="Open Sans" w:cs="Open Sans"/>
          <w:color w:val="000000" w:themeColor="text1"/>
          <w:sz w:val="20"/>
          <w:szCs w:val="20"/>
        </w:rPr>
        <w:t>*)</w:t>
      </w:r>
      <w:r w:rsidRPr="003D28B2">
        <w:rPr>
          <w:rFonts w:ascii="Open Sans" w:hAnsi="Open Sans" w:cs="Open Sans"/>
          <w:color w:val="000000" w:themeColor="text1"/>
          <w:sz w:val="20"/>
          <w:szCs w:val="20"/>
        </w:rPr>
        <w:br/>
        <w:t>Physiology</w:t>
      </w:r>
      <w:r w:rsidRPr="003D28B2">
        <w:rPr>
          <w:rFonts w:ascii="Open Sans" w:hAnsi="Open Sans" w:cs="Open Sans"/>
          <w:color w:val="000000" w:themeColor="text1"/>
          <w:sz w:val="20"/>
          <w:szCs w:val="20"/>
        </w:rPr>
        <w:br/>
        <w:t>GLP-1 is an incretin hormone released from enteroendocrine cells and hypothalamic neurons in response to nutrient intake</w:t>
      </w:r>
      <w:r w:rsidRPr="003D28B2">
        <w:rPr>
          <w:rFonts w:ascii="Open Sans" w:hAnsi="Open Sans" w:cs="Open Sans"/>
          <w:color w:val="000000" w:themeColor="text1"/>
          <w:sz w:val="20"/>
          <w:szCs w:val="20"/>
        </w:rPr>
        <w:br/>
        <w:t>Enhances glucose-dependent insulin secretion</w:t>
      </w:r>
    </w:p>
    <w:p w14:paraId="294BDAD7"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Mechanism of Action</w:t>
      </w:r>
      <w:r w:rsidRPr="003D28B2">
        <w:rPr>
          <w:rFonts w:ascii="Open Sans" w:hAnsi="Open Sans" w:cs="Open Sans"/>
          <w:color w:val="000000" w:themeColor="text1"/>
          <w:sz w:val="20"/>
          <w:szCs w:val="20"/>
        </w:rPr>
        <w:br/>
        <w:t>Pancreas: increases insulin secretion only when glucose is elevated and suppresses glucagon</w:t>
      </w:r>
      <w:r w:rsidRPr="003D28B2">
        <w:rPr>
          <w:rFonts w:ascii="Open Sans" w:hAnsi="Open Sans" w:cs="Open Sans"/>
          <w:color w:val="000000" w:themeColor="text1"/>
          <w:sz w:val="20"/>
          <w:szCs w:val="20"/>
        </w:rPr>
        <w:br/>
        <w:t>GI tract: delays gastric emptying</w:t>
      </w:r>
      <w:r w:rsidRPr="003D28B2">
        <w:rPr>
          <w:rFonts w:ascii="Open Sans" w:hAnsi="Open Sans" w:cs="Open Sans"/>
          <w:color w:val="000000" w:themeColor="text1"/>
          <w:sz w:val="20"/>
          <w:szCs w:val="20"/>
        </w:rPr>
        <w:br/>
        <w:t xml:space="preserve">CNS: activates hypothalamic receptors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reduced appetite, increased satiety</w:t>
      </w:r>
      <w:r w:rsidRPr="003D28B2">
        <w:rPr>
          <w:rFonts w:ascii="Open Sans" w:hAnsi="Open Sans" w:cs="Open Sans"/>
          <w:color w:val="000000" w:themeColor="text1"/>
          <w:sz w:val="20"/>
          <w:szCs w:val="20"/>
        </w:rPr>
        <w:br/>
        <w:t>Cardiorenal effects: improved endothelial function, reduced inflammation, decreased albuminuria</w:t>
      </w:r>
    </w:p>
    <w:p w14:paraId="5E17278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Effects</w:t>
      </w:r>
      <w:r w:rsidRPr="003D28B2">
        <w:rPr>
          <w:rFonts w:ascii="Open Sans" w:hAnsi="Open Sans" w:cs="Open Sans"/>
          <w:color w:val="000000" w:themeColor="text1"/>
          <w:sz w:val="20"/>
          <w:szCs w:val="20"/>
        </w:rPr>
        <w:br/>
        <w:t>Significant weight loss</w:t>
      </w:r>
      <w:r w:rsidRPr="003D28B2">
        <w:rPr>
          <w:rFonts w:ascii="Open Sans" w:hAnsi="Open Sans" w:cs="Open Sans"/>
          <w:color w:val="000000" w:themeColor="text1"/>
          <w:sz w:val="20"/>
          <w:szCs w:val="20"/>
        </w:rPr>
        <w:br/>
        <w:t>Low hypoglycemia risk</w:t>
      </w:r>
      <w:r w:rsidRPr="003D28B2">
        <w:rPr>
          <w:rFonts w:ascii="Open Sans" w:hAnsi="Open Sans" w:cs="Open Sans"/>
          <w:color w:val="000000" w:themeColor="text1"/>
          <w:sz w:val="20"/>
          <w:szCs w:val="20"/>
        </w:rPr>
        <w:br/>
        <w:t>Cardiovascular benefit in high-risk patients</w:t>
      </w:r>
    </w:p>
    <w:p w14:paraId="3954FD9A"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Adverse Effects</w:t>
      </w:r>
      <w:r w:rsidRPr="003D28B2">
        <w:rPr>
          <w:rFonts w:ascii="Open Sans" w:hAnsi="Open Sans" w:cs="Open Sans"/>
          <w:color w:val="000000" w:themeColor="text1"/>
          <w:sz w:val="20"/>
          <w:szCs w:val="20"/>
        </w:rPr>
        <w:br/>
        <w:t>GI intolerance (nausea, vomiting, diarrhea, constipation) common, especially during dose escalation</w:t>
      </w:r>
      <w:r w:rsidRPr="003D28B2">
        <w:rPr>
          <w:rFonts w:ascii="Open Sans" w:hAnsi="Open Sans" w:cs="Open Sans"/>
          <w:color w:val="000000" w:themeColor="text1"/>
          <w:sz w:val="20"/>
          <w:szCs w:val="20"/>
        </w:rPr>
        <w:br/>
        <w:t>Rare pancreatitis and gallbladder disease</w:t>
      </w:r>
      <w:r w:rsidRPr="003D28B2">
        <w:rPr>
          <w:rFonts w:ascii="Open Sans" w:hAnsi="Open Sans" w:cs="Open Sans"/>
          <w:color w:val="000000" w:themeColor="text1"/>
          <w:sz w:val="20"/>
          <w:szCs w:val="20"/>
        </w:rPr>
        <w:br/>
        <w:t xml:space="preserve">Loss of lean mass and muscle strength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resistance training and adequate protein intake recommended</w:t>
      </w:r>
      <w:r w:rsidRPr="003D28B2">
        <w:rPr>
          <w:rFonts w:ascii="Open Sans" w:hAnsi="Open Sans" w:cs="Open Sans"/>
          <w:color w:val="000000" w:themeColor="text1"/>
          <w:sz w:val="20"/>
          <w:szCs w:val="20"/>
        </w:rPr>
        <w:br/>
        <w:t>Contraindicated in medullary thyroid carcinoma or MEN2</w:t>
      </w:r>
    </w:p>
    <w:p w14:paraId="0C91CB53"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t>Dual GLP-1 / GIP Agonist (</w:t>
      </w:r>
      <w:proofErr w:type="spellStart"/>
      <w:r w:rsidRPr="003D28B2">
        <w:rPr>
          <w:rFonts w:ascii="Open Sans" w:hAnsi="Open Sans" w:cs="Open Sans"/>
          <w:color w:val="000000" w:themeColor="text1"/>
          <w:sz w:val="20"/>
          <w:szCs w:val="20"/>
        </w:rPr>
        <w:t>Tirzepatide</w:t>
      </w:r>
      <w:proofErr w:type="spellEnd"/>
      <w:r w:rsidRPr="003D28B2">
        <w:rPr>
          <w:rFonts w:ascii="Open Sans" w:hAnsi="Open Sans" w:cs="Open Sans"/>
          <w:color w:val="000000" w:themeColor="text1"/>
          <w:sz w:val="20"/>
          <w:szCs w:val="20"/>
        </w:rPr>
        <w:t>)</w:t>
      </w:r>
      <w:r w:rsidRPr="003D28B2">
        <w:rPr>
          <w:rFonts w:ascii="Open Sans" w:hAnsi="Open Sans" w:cs="Open Sans"/>
          <w:color w:val="000000" w:themeColor="text1"/>
          <w:sz w:val="20"/>
          <w:szCs w:val="20"/>
        </w:rPr>
        <w:br/>
        <w:t>Combines incretin effects of GLP-1 and GIP</w:t>
      </w:r>
      <w:r w:rsidRPr="003D28B2">
        <w:rPr>
          <w:rFonts w:ascii="Open Sans" w:hAnsi="Open Sans" w:cs="Open Sans"/>
          <w:color w:val="000000" w:themeColor="text1"/>
          <w:sz w:val="20"/>
          <w:szCs w:val="20"/>
        </w:rPr>
        <w:br/>
        <w:t>Greater insulinotropic and anorectic effects</w:t>
      </w:r>
      <w:r w:rsidRPr="003D28B2">
        <w:rPr>
          <w:rFonts w:ascii="Open Sans" w:hAnsi="Open Sans" w:cs="Open Sans"/>
          <w:color w:val="000000" w:themeColor="text1"/>
          <w:sz w:val="20"/>
          <w:szCs w:val="20"/>
        </w:rPr>
        <w:br/>
        <w:t>Higher efficacy for glycemic control and weight loss</w:t>
      </w:r>
      <w:r w:rsidRPr="003D28B2">
        <w:rPr>
          <w:rFonts w:ascii="Open Sans" w:hAnsi="Open Sans" w:cs="Open Sans"/>
          <w:color w:val="000000" w:themeColor="text1"/>
          <w:sz w:val="20"/>
          <w:szCs w:val="20"/>
        </w:rPr>
        <w:br/>
        <w:t>Higher GI adverse-effect burden</w:t>
      </w:r>
    </w:p>
    <w:p w14:paraId="5031E27A"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Sulfonylureas (e.g., gliclazide, glimepiride, glyburide)</w:t>
      </w:r>
      <w:r w:rsidRPr="003D28B2">
        <w:rPr>
          <w:rFonts w:ascii="Open Sans" w:hAnsi="Open Sans" w:cs="Open Sans"/>
          <w:color w:val="000000" w:themeColor="text1"/>
          <w:sz w:val="20"/>
          <w:szCs w:val="20"/>
        </w:rPr>
        <w:br/>
        <w:t>Mechanism</w:t>
      </w:r>
      <w:r w:rsidRPr="003D28B2">
        <w:rPr>
          <w:rFonts w:ascii="Open Sans" w:hAnsi="Open Sans" w:cs="Open Sans"/>
          <w:color w:val="000000" w:themeColor="text1"/>
          <w:sz w:val="20"/>
          <w:szCs w:val="20"/>
        </w:rPr>
        <w:br/>
        <w:t>Close ATP-sensitive potassium channels in beta cells</w:t>
      </w:r>
      <w:r w:rsidRPr="003D28B2">
        <w:rPr>
          <w:rFonts w:ascii="Open Sans" w:hAnsi="Open Sans" w:cs="Open Sans"/>
          <w:color w:val="000000" w:themeColor="text1"/>
          <w:sz w:val="20"/>
          <w:szCs w:val="20"/>
        </w:rPr>
        <w:br/>
        <w:t xml:space="preserve">Cause depolarization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calcium influx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insulin release</w:t>
      </w:r>
      <w:r w:rsidRPr="003D28B2">
        <w:rPr>
          <w:rFonts w:ascii="Open Sans" w:hAnsi="Open Sans" w:cs="Open Sans"/>
          <w:color w:val="000000" w:themeColor="text1"/>
          <w:sz w:val="20"/>
          <w:szCs w:val="20"/>
        </w:rPr>
        <w:br/>
        <w:t>Glucose-independent insulin secretion</w:t>
      </w:r>
    </w:p>
    <w:p w14:paraId="24CA4C6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Considerations</w:t>
      </w:r>
      <w:r w:rsidRPr="003D28B2">
        <w:rPr>
          <w:rFonts w:ascii="Open Sans" w:hAnsi="Open Sans" w:cs="Open Sans"/>
          <w:color w:val="000000" w:themeColor="text1"/>
          <w:sz w:val="20"/>
          <w:szCs w:val="20"/>
        </w:rPr>
        <w:br/>
        <w:t>Effective only with residual beta-cell function</w:t>
      </w:r>
      <w:r w:rsidRPr="003D28B2">
        <w:rPr>
          <w:rFonts w:ascii="Open Sans" w:hAnsi="Open Sans" w:cs="Open Sans"/>
          <w:color w:val="000000" w:themeColor="text1"/>
          <w:sz w:val="20"/>
          <w:szCs w:val="20"/>
        </w:rPr>
        <w:br/>
        <w:t>Ineffective in type 1 diabetes or advanced beta-cell failure</w:t>
      </w:r>
    </w:p>
    <w:p w14:paraId="7FE28680"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Risks</w:t>
      </w:r>
      <w:r w:rsidRPr="003D28B2">
        <w:rPr>
          <w:rFonts w:ascii="Open Sans" w:hAnsi="Open Sans" w:cs="Open Sans"/>
          <w:color w:val="000000" w:themeColor="text1"/>
          <w:sz w:val="20"/>
          <w:szCs w:val="20"/>
        </w:rPr>
        <w:br/>
        <w:t>Hypoglycemia (significant exam point)</w:t>
      </w:r>
      <w:r w:rsidRPr="003D28B2">
        <w:rPr>
          <w:rFonts w:ascii="Open Sans" w:hAnsi="Open Sans" w:cs="Open Sans"/>
          <w:color w:val="000000" w:themeColor="text1"/>
          <w:sz w:val="20"/>
          <w:szCs w:val="20"/>
        </w:rPr>
        <w:br/>
        <w:t>Weight gain due to anabolic insulin effects</w:t>
      </w:r>
    </w:p>
    <w:p w14:paraId="304ED057"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Meglitinides (e.g., repaglinide)</w:t>
      </w:r>
      <w:r w:rsidRPr="003D28B2">
        <w:rPr>
          <w:rFonts w:ascii="Open Sans" w:hAnsi="Open Sans" w:cs="Open Sans"/>
          <w:color w:val="000000" w:themeColor="text1"/>
          <w:sz w:val="20"/>
          <w:szCs w:val="20"/>
        </w:rPr>
        <w:br/>
        <w:t>Short-acting insulin secretagogues</w:t>
      </w:r>
      <w:r w:rsidRPr="003D28B2">
        <w:rPr>
          <w:rFonts w:ascii="Open Sans" w:hAnsi="Open Sans" w:cs="Open Sans"/>
          <w:color w:val="000000" w:themeColor="text1"/>
          <w:sz w:val="20"/>
          <w:szCs w:val="20"/>
        </w:rPr>
        <w:br/>
        <w:t>Stimulate insulin release in response to meals</w:t>
      </w:r>
      <w:r w:rsidRPr="003D28B2">
        <w:rPr>
          <w:rFonts w:ascii="Open Sans" w:hAnsi="Open Sans" w:cs="Open Sans"/>
          <w:color w:val="000000" w:themeColor="text1"/>
          <w:sz w:val="20"/>
          <w:szCs w:val="20"/>
        </w:rPr>
        <w:br/>
        <w:t>Lower hypoglycemia risk than sulfonylureas but still glucose-independent</w:t>
      </w:r>
    </w:p>
    <w:p w14:paraId="5A9B6C66"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DPP-4 Inhibitors (e.g., sitagliptin; “-gliptin”)</w:t>
      </w:r>
      <w:r w:rsidRPr="003D28B2">
        <w:rPr>
          <w:rFonts w:ascii="Open Sans" w:hAnsi="Open Sans" w:cs="Open Sans"/>
          <w:color w:val="000000" w:themeColor="text1"/>
          <w:sz w:val="20"/>
          <w:szCs w:val="20"/>
        </w:rPr>
        <w:br/>
        <w:t>Mechanism</w:t>
      </w:r>
      <w:r w:rsidRPr="003D28B2">
        <w:rPr>
          <w:rFonts w:ascii="Open Sans" w:hAnsi="Open Sans" w:cs="Open Sans"/>
          <w:color w:val="000000" w:themeColor="text1"/>
          <w:sz w:val="20"/>
          <w:szCs w:val="20"/>
        </w:rPr>
        <w:br/>
        <w:t>Inhibit dipeptidyl peptidase-4, preventing degradation of GLP-1 and GIP</w:t>
      </w:r>
      <w:r w:rsidRPr="003D28B2">
        <w:rPr>
          <w:rFonts w:ascii="Open Sans" w:hAnsi="Open Sans" w:cs="Open Sans"/>
          <w:color w:val="000000" w:themeColor="text1"/>
          <w:sz w:val="20"/>
          <w:szCs w:val="20"/>
        </w:rPr>
        <w:br/>
        <w:t>Enhance endogenous incretin levels</w:t>
      </w:r>
    </w:p>
    <w:p w14:paraId="179A7A3F"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Profile</w:t>
      </w:r>
      <w:r w:rsidRPr="003D28B2">
        <w:rPr>
          <w:rFonts w:ascii="Open Sans" w:hAnsi="Open Sans" w:cs="Open Sans"/>
          <w:color w:val="000000" w:themeColor="text1"/>
          <w:sz w:val="20"/>
          <w:szCs w:val="20"/>
        </w:rPr>
        <w:br/>
        <w:t>Modest glucose-lowering efficacy</w:t>
      </w:r>
      <w:r w:rsidRPr="003D28B2">
        <w:rPr>
          <w:rFonts w:ascii="Open Sans" w:hAnsi="Open Sans" w:cs="Open Sans"/>
          <w:color w:val="000000" w:themeColor="text1"/>
          <w:sz w:val="20"/>
          <w:szCs w:val="20"/>
        </w:rPr>
        <w:br/>
        <w:t>Weight neutral</w:t>
      </w:r>
      <w:r w:rsidRPr="003D28B2">
        <w:rPr>
          <w:rFonts w:ascii="Open Sans" w:hAnsi="Open Sans" w:cs="Open Sans"/>
          <w:color w:val="000000" w:themeColor="text1"/>
          <w:sz w:val="20"/>
          <w:szCs w:val="20"/>
        </w:rPr>
        <w:br/>
        <w:t>Low hypoglycemia risk</w:t>
      </w:r>
      <w:r w:rsidRPr="003D28B2">
        <w:rPr>
          <w:rFonts w:ascii="Open Sans" w:hAnsi="Open Sans" w:cs="Open Sans"/>
          <w:color w:val="000000" w:themeColor="text1"/>
          <w:sz w:val="20"/>
          <w:szCs w:val="20"/>
        </w:rPr>
        <w:br/>
        <w:t>Option when metformin not tolerated</w:t>
      </w:r>
    </w:p>
    <w:p w14:paraId="1C5079A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Cautions</w:t>
      </w:r>
      <w:r w:rsidRPr="003D28B2">
        <w:rPr>
          <w:rFonts w:ascii="Open Sans" w:hAnsi="Open Sans" w:cs="Open Sans"/>
          <w:color w:val="000000" w:themeColor="text1"/>
          <w:sz w:val="20"/>
          <w:szCs w:val="20"/>
        </w:rPr>
        <w:br/>
        <w:t>Possible heart failure risk with some agents</w:t>
      </w:r>
      <w:r w:rsidRPr="003D28B2">
        <w:rPr>
          <w:rFonts w:ascii="Open Sans" w:hAnsi="Open Sans" w:cs="Open Sans"/>
          <w:color w:val="000000" w:themeColor="text1"/>
          <w:sz w:val="20"/>
          <w:szCs w:val="20"/>
        </w:rPr>
        <w:br/>
        <w:t>No weight-loss benefit</w:t>
      </w:r>
    </w:p>
    <w:p w14:paraId="565819C4"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Thiazolidinediones (TZDs: pioglitazone, rosiglitazone)</w:t>
      </w:r>
      <w:r w:rsidRPr="003D28B2">
        <w:rPr>
          <w:rFonts w:ascii="Open Sans" w:hAnsi="Open Sans" w:cs="Open Sans"/>
          <w:color w:val="000000" w:themeColor="text1"/>
          <w:sz w:val="20"/>
          <w:szCs w:val="20"/>
        </w:rPr>
        <w:br/>
        <w:t>Mechanism</w:t>
      </w:r>
      <w:r w:rsidRPr="003D28B2">
        <w:rPr>
          <w:rFonts w:ascii="Open Sans" w:hAnsi="Open Sans" w:cs="Open Sans"/>
          <w:color w:val="000000" w:themeColor="text1"/>
          <w:sz w:val="20"/>
          <w:szCs w:val="20"/>
        </w:rPr>
        <w:br/>
        <w:t>Activate nuclear PPAR-γ receptors</w:t>
      </w:r>
      <w:r w:rsidRPr="003D28B2">
        <w:rPr>
          <w:rFonts w:ascii="Open Sans" w:hAnsi="Open Sans" w:cs="Open Sans"/>
          <w:color w:val="000000" w:themeColor="text1"/>
          <w:sz w:val="20"/>
          <w:szCs w:val="20"/>
        </w:rPr>
        <w:br/>
        <w:t>Increase transcription of insulin-sensitizing genes</w:t>
      </w:r>
      <w:r w:rsidRPr="003D28B2">
        <w:rPr>
          <w:rFonts w:ascii="Open Sans" w:hAnsi="Open Sans" w:cs="Open Sans"/>
          <w:color w:val="000000" w:themeColor="text1"/>
          <w:sz w:val="20"/>
          <w:szCs w:val="20"/>
        </w:rPr>
        <w:br/>
        <w:t>Increase adiponectin and GLUT4 expression</w:t>
      </w:r>
      <w:r w:rsidRPr="003D28B2">
        <w:rPr>
          <w:rFonts w:ascii="Open Sans" w:hAnsi="Open Sans" w:cs="Open Sans"/>
          <w:color w:val="000000" w:themeColor="text1"/>
          <w:sz w:val="20"/>
          <w:szCs w:val="20"/>
        </w:rPr>
        <w:br/>
        <w:t>Redistribute fatty acids away from liver and muscle, reducing lipotoxicity</w:t>
      </w:r>
    </w:p>
    <w:p w14:paraId="0CE15816"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t>Effects</w:t>
      </w:r>
      <w:r w:rsidRPr="003D28B2">
        <w:rPr>
          <w:rFonts w:ascii="Open Sans" w:hAnsi="Open Sans" w:cs="Open Sans"/>
          <w:color w:val="000000" w:themeColor="text1"/>
          <w:sz w:val="20"/>
          <w:szCs w:val="20"/>
        </w:rPr>
        <w:br/>
        <w:t>Increase insulin sensitivity in muscle and adipose tissue</w:t>
      </w:r>
    </w:p>
    <w:p w14:paraId="3BFCFC57"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Risks</w:t>
      </w:r>
      <w:r w:rsidRPr="003D28B2">
        <w:rPr>
          <w:rFonts w:ascii="Open Sans" w:hAnsi="Open Sans" w:cs="Open Sans"/>
          <w:color w:val="000000" w:themeColor="text1"/>
          <w:sz w:val="20"/>
          <w:szCs w:val="20"/>
        </w:rPr>
        <w:br/>
        <w:t>Weight gain</w:t>
      </w:r>
      <w:r w:rsidRPr="003D28B2">
        <w:rPr>
          <w:rFonts w:ascii="Open Sans" w:hAnsi="Open Sans" w:cs="Open Sans"/>
          <w:color w:val="000000" w:themeColor="text1"/>
          <w:sz w:val="20"/>
          <w:szCs w:val="20"/>
        </w:rPr>
        <w:br/>
        <w:t>Fluid retention and edema</w:t>
      </w:r>
      <w:r w:rsidRPr="003D28B2">
        <w:rPr>
          <w:rFonts w:ascii="Open Sans" w:hAnsi="Open Sans" w:cs="Open Sans"/>
          <w:color w:val="000000" w:themeColor="text1"/>
          <w:sz w:val="20"/>
          <w:szCs w:val="20"/>
        </w:rPr>
        <w:br/>
        <w:t>Heart failure exacerbation</w:t>
      </w:r>
      <w:r w:rsidRPr="003D28B2">
        <w:rPr>
          <w:rFonts w:ascii="Open Sans" w:hAnsi="Open Sans" w:cs="Open Sans"/>
          <w:color w:val="000000" w:themeColor="text1"/>
          <w:sz w:val="20"/>
          <w:szCs w:val="20"/>
        </w:rPr>
        <w:br/>
        <w:t>Increased fracture risk</w:t>
      </w:r>
    </w:p>
    <w:p w14:paraId="73695FDB"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Alpha-Glucosidase Inhibitors (e.g., acarbose)</w:t>
      </w:r>
      <w:r w:rsidRPr="003D28B2">
        <w:rPr>
          <w:rFonts w:ascii="Open Sans" w:hAnsi="Open Sans" w:cs="Open Sans"/>
          <w:color w:val="000000" w:themeColor="text1"/>
          <w:sz w:val="20"/>
          <w:szCs w:val="20"/>
        </w:rPr>
        <w:br/>
        <w:t>Mechanism</w:t>
      </w:r>
      <w:r w:rsidRPr="003D28B2">
        <w:rPr>
          <w:rFonts w:ascii="Open Sans" w:hAnsi="Open Sans" w:cs="Open Sans"/>
          <w:color w:val="000000" w:themeColor="text1"/>
          <w:sz w:val="20"/>
          <w:szCs w:val="20"/>
        </w:rPr>
        <w:br/>
        <w:t xml:space="preserve">Inhibit alpha-glucosidase enzymes (maltase, sucrase, </w:t>
      </w:r>
      <w:proofErr w:type="spellStart"/>
      <w:r w:rsidRPr="003D28B2">
        <w:rPr>
          <w:rFonts w:ascii="Open Sans" w:hAnsi="Open Sans" w:cs="Open Sans"/>
          <w:color w:val="000000" w:themeColor="text1"/>
          <w:sz w:val="20"/>
          <w:szCs w:val="20"/>
        </w:rPr>
        <w:t>isomaltase</w:t>
      </w:r>
      <w:proofErr w:type="spellEnd"/>
      <w:r w:rsidRPr="003D28B2">
        <w:rPr>
          <w:rFonts w:ascii="Open Sans" w:hAnsi="Open Sans" w:cs="Open Sans"/>
          <w:color w:val="000000" w:themeColor="text1"/>
          <w:sz w:val="20"/>
          <w:szCs w:val="20"/>
        </w:rPr>
        <w:t>) in the intestinal brush border</w:t>
      </w:r>
      <w:r w:rsidRPr="003D28B2">
        <w:rPr>
          <w:rFonts w:ascii="Open Sans" w:hAnsi="Open Sans" w:cs="Open Sans"/>
          <w:color w:val="000000" w:themeColor="text1"/>
          <w:sz w:val="20"/>
          <w:szCs w:val="20"/>
        </w:rPr>
        <w:br/>
        <w:t>Delay carbohydrate digestion and glucose absorption</w:t>
      </w:r>
    </w:p>
    <w:p w14:paraId="2C8F54FD"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Clinical Effects</w:t>
      </w:r>
      <w:r w:rsidRPr="003D28B2">
        <w:rPr>
          <w:rFonts w:ascii="Open Sans" w:hAnsi="Open Sans" w:cs="Open Sans"/>
          <w:color w:val="000000" w:themeColor="text1"/>
          <w:sz w:val="20"/>
          <w:szCs w:val="20"/>
        </w:rPr>
        <w:br/>
        <w:t>Reduce post-prandial glucose</w:t>
      </w:r>
      <w:r w:rsidRPr="003D28B2">
        <w:rPr>
          <w:rFonts w:ascii="Open Sans" w:hAnsi="Open Sans" w:cs="Open Sans"/>
          <w:color w:val="000000" w:themeColor="text1"/>
          <w:sz w:val="20"/>
          <w:szCs w:val="20"/>
        </w:rPr>
        <w:br/>
        <w:t>Weight neutral</w:t>
      </w:r>
      <w:r w:rsidRPr="003D28B2">
        <w:rPr>
          <w:rFonts w:ascii="Open Sans" w:hAnsi="Open Sans" w:cs="Open Sans"/>
          <w:color w:val="000000" w:themeColor="text1"/>
          <w:sz w:val="20"/>
          <w:szCs w:val="20"/>
        </w:rPr>
        <w:br/>
        <w:t>Low hypoglycemia risk</w:t>
      </w:r>
    </w:p>
    <w:p w14:paraId="11BC2E20"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Adverse Effects</w:t>
      </w:r>
      <w:r w:rsidRPr="003D28B2">
        <w:rPr>
          <w:rFonts w:ascii="Open Sans" w:hAnsi="Open Sans" w:cs="Open Sans"/>
          <w:color w:val="000000" w:themeColor="text1"/>
          <w:sz w:val="20"/>
          <w:szCs w:val="20"/>
        </w:rPr>
        <w:br/>
        <w:t>Flatulence, bloating, diarrhea due to fermentation of undigested carbohydrates</w:t>
      </w:r>
    </w:p>
    <w:p w14:paraId="7B424EA6"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Dietary Note</w:t>
      </w:r>
      <w:r w:rsidRPr="003D28B2">
        <w:rPr>
          <w:rFonts w:ascii="Open Sans" w:hAnsi="Open Sans" w:cs="Open Sans"/>
          <w:color w:val="000000" w:themeColor="text1"/>
          <w:sz w:val="20"/>
          <w:szCs w:val="20"/>
        </w:rPr>
        <w:br/>
        <w:t>Certain foods (e.g., cinnamon, mulberry leaves, some mushrooms) have mild alpha-glucosidase inhibitory effects and may blunt post-meal glucose spikes</w:t>
      </w:r>
    </w:p>
    <w:p w14:paraId="39D02C05"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Key Exam Pearls</w:t>
      </w:r>
      <w:r w:rsidRPr="003D28B2">
        <w:rPr>
          <w:rFonts w:ascii="Open Sans" w:hAnsi="Open Sans" w:cs="Open Sans"/>
          <w:color w:val="000000" w:themeColor="text1"/>
          <w:sz w:val="20"/>
          <w:szCs w:val="20"/>
        </w:rPr>
        <w:br/>
        <w:t xml:space="preserve">Type 1 diabetes = autoimmune β-cell destruction </w:t>
      </w:r>
      <w:r w:rsidRPr="003D28B2">
        <w:rPr>
          <w:rFonts w:ascii="Arial" w:hAnsi="Arial" w:cs="Arial"/>
          <w:color w:val="000000" w:themeColor="text1"/>
          <w:sz w:val="20"/>
          <w:szCs w:val="20"/>
        </w:rPr>
        <w:t>→</w:t>
      </w:r>
      <w:r w:rsidRPr="003D28B2">
        <w:rPr>
          <w:rFonts w:ascii="Open Sans" w:hAnsi="Open Sans" w:cs="Open Sans"/>
          <w:color w:val="000000" w:themeColor="text1"/>
          <w:sz w:val="20"/>
          <w:szCs w:val="20"/>
        </w:rPr>
        <w:t xml:space="preserve"> insulin required</w:t>
      </w:r>
      <w:r w:rsidRPr="003D28B2">
        <w:rPr>
          <w:rFonts w:ascii="Open Sans" w:hAnsi="Open Sans" w:cs="Open Sans"/>
          <w:color w:val="000000" w:themeColor="text1"/>
          <w:sz w:val="20"/>
          <w:szCs w:val="20"/>
        </w:rPr>
        <w:br/>
        <w:t>Type 2 diabetes = insulin resistance plus progressive β-cell failure</w:t>
      </w:r>
      <w:r w:rsidRPr="003D28B2">
        <w:rPr>
          <w:rFonts w:ascii="Open Sans" w:hAnsi="Open Sans" w:cs="Open Sans"/>
          <w:color w:val="000000" w:themeColor="text1"/>
          <w:sz w:val="20"/>
          <w:szCs w:val="20"/>
        </w:rPr>
        <w:br/>
        <w:t>DKA = ketones + metabolic acidosis + hyperglycemia (may be euglycemic with SGLT2 inhibitors)</w:t>
      </w:r>
      <w:r w:rsidRPr="003D28B2">
        <w:rPr>
          <w:rFonts w:ascii="Open Sans" w:hAnsi="Open Sans" w:cs="Open Sans"/>
          <w:color w:val="000000" w:themeColor="text1"/>
          <w:sz w:val="20"/>
          <w:szCs w:val="20"/>
        </w:rPr>
        <w:br/>
        <w:t>Metformin lowers glucose via AMPK activation</w:t>
      </w:r>
      <w:r w:rsidRPr="003D28B2">
        <w:rPr>
          <w:rFonts w:ascii="Open Sans" w:hAnsi="Open Sans" w:cs="Open Sans"/>
          <w:color w:val="000000" w:themeColor="text1"/>
          <w:sz w:val="20"/>
          <w:szCs w:val="20"/>
        </w:rPr>
        <w:br/>
        <w:t>GLP-1 agonists promote weight loss but may reduce lean mass</w:t>
      </w:r>
      <w:r w:rsidRPr="003D28B2">
        <w:rPr>
          <w:rFonts w:ascii="Open Sans" w:hAnsi="Open Sans" w:cs="Open Sans"/>
          <w:color w:val="000000" w:themeColor="text1"/>
          <w:sz w:val="20"/>
          <w:szCs w:val="20"/>
        </w:rPr>
        <w:br/>
        <w:t>AGE–RAGE signaling drives vascular complications</w:t>
      </w:r>
    </w:p>
    <w:p w14:paraId="6D27CC20" w14:textId="77777777" w:rsidR="004F54CB" w:rsidRPr="003D28B2" w:rsidRDefault="004F54CB" w:rsidP="004F54CB">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Anatomy of Major Endocrine Axes</w:t>
      </w:r>
    </w:p>
    <w:p w14:paraId="2ACEEB20" w14:textId="77777777" w:rsidR="004F54CB" w:rsidRPr="003D28B2" w:rsidRDefault="004F54CB" w:rsidP="004F54CB">
      <w:pPr>
        <w:spacing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Many of the major endocrine axes begin with the hypothalamic-pituitary system depicted below (Figure 2).</w:t>
      </w:r>
    </w:p>
    <w:p w14:paraId="5F1EFC12" w14:textId="77777777" w:rsidR="004F54CB" w:rsidRPr="003D28B2" w:rsidRDefault="004F54CB" w:rsidP="004F54CB">
      <w:pPr>
        <w:spacing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Figure 2:</w:t>
      </w:r>
    </w:p>
    <w:p w14:paraId="6387E702"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fldChar w:fldCharType="begin"/>
      </w:r>
      <w:r w:rsidRPr="003D28B2">
        <w:rPr>
          <w:rFonts w:ascii="Open Sans" w:hAnsi="Open Sans" w:cs="Open Sans"/>
          <w:color w:val="000000" w:themeColor="text1"/>
          <w:sz w:val="20"/>
          <w:szCs w:val="20"/>
        </w:rPr>
        <w:instrText xml:space="preserve"> INCLUDEPICTURE "/Users/erikagodin/Library/Group Containers/UBF8T346G9.ms/WebArchiveCopyPasteTempFiles/com.microsoft.Word/Unit2_Pic1.jpg?ou=30189" \* MERGEFORMATINET </w:instrText>
      </w:r>
      <w:r w:rsidRPr="003D28B2">
        <w:rPr>
          <w:rFonts w:ascii="Open Sans" w:hAnsi="Open Sans" w:cs="Open Sans"/>
          <w:color w:val="000000" w:themeColor="text1"/>
          <w:sz w:val="20"/>
          <w:szCs w:val="20"/>
        </w:rPr>
        <w:fldChar w:fldCharType="separate"/>
      </w:r>
      <w:r w:rsidRPr="003D28B2">
        <w:rPr>
          <w:rFonts w:ascii="Open Sans" w:hAnsi="Open Sans" w:cs="Open Sans"/>
          <w:noProof/>
          <w:color w:val="000000" w:themeColor="text1"/>
          <w:sz w:val="20"/>
          <w:szCs w:val="20"/>
        </w:rPr>
        <w:drawing>
          <wp:inline distT="0" distB="0" distL="0" distR="0" wp14:anchorId="414720DD" wp14:editId="60C4943A">
            <wp:extent cx="5943600" cy="3938905"/>
            <wp:effectExtent l="0" t="0" r="0" b="0"/>
            <wp:docPr id="228441619" name="Picture 1" descr="Image overview of the Endocrine Axes (description in the text of th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overview of the Endocrine Axes (description in the text of the un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38905"/>
                    </a:xfrm>
                    <a:prstGeom prst="rect">
                      <a:avLst/>
                    </a:prstGeom>
                    <a:noFill/>
                    <a:ln>
                      <a:noFill/>
                    </a:ln>
                  </pic:spPr>
                </pic:pic>
              </a:graphicData>
            </a:graphic>
          </wp:inline>
        </w:drawing>
      </w:r>
      <w:r w:rsidRPr="003D28B2">
        <w:rPr>
          <w:rFonts w:ascii="Open Sans" w:hAnsi="Open Sans" w:cs="Open Sans"/>
          <w:color w:val="000000" w:themeColor="text1"/>
          <w:sz w:val="20"/>
          <w:szCs w:val="20"/>
        </w:rPr>
        <w:fldChar w:fldCharType="end"/>
      </w:r>
      <w:r w:rsidR="004F54CB" w:rsidRPr="003D28B2">
        <w:rPr>
          <w:rFonts w:ascii="Open Sans" w:hAnsi="Open Sans" w:cs="Open Sans"/>
          <w:color w:val="000000" w:themeColor="text1"/>
          <w:sz w:val="20"/>
          <w:szCs w:val="20"/>
        </w:rPr>
        <w:t>Note. Overview of Endocrine Axes (©Dr. W. Diehl-Jones). </w:t>
      </w:r>
      <w:r w:rsidRPr="003D28B2">
        <w:rPr>
          <w:rFonts w:ascii="Open Sans" w:hAnsi="Open Sans" w:cs="Open Sans"/>
          <w:color w:val="000000" w:themeColor="text1"/>
          <w:sz w:val="20"/>
          <w:szCs w:val="20"/>
        </w:rPr>
        <w:t>ACTH = adrenocorticotropic hormone</w:t>
      </w:r>
      <w:r w:rsidRPr="003D28B2">
        <w:rPr>
          <w:rFonts w:ascii="Open Sans" w:hAnsi="Open Sans" w:cs="Open Sans"/>
          <w:color w:val="000000" w:themeColor="text1"/>
          <w:sz w:val="20"/>
          <w:szCs w:val="20"/>
        </w:rPr>
        <w:br/>
        <w:t>CRH = corticotropin-releasing hormone</w:t>
      </w:r>
      <w:r w:rsidRPr="003D28B2">
        <w:rPr>
          <w:rFonts w:ascii="Open Sans" w:hAnsi="Open Sans" w:cs="Open Sans"/>
          <w:color w:val="000000" w:themeColor="text1"/>
          <w:sz w:val="20"/>
          <w:szCs w:val="20"/>
        </w:rPr>
        <w:br/>
        <w:t>GnRH = gonadotropin-releasing hormone</w:t>
      </w:r>
      <w:r w:rsidRPr="003D28B2">
        <w:rPr>
          <w:rFonts w:ascii="Open Sans" w:hAnsi="Open Sans" w:cs="Open Sans"/>
          <w:color w:val="000000" w:themeColor="text1"/>
          <w:sz w:val="20"/>
          <w:szCs w:val="20"/>
        </w:rPr>
        <w:br/>
        <w:t>PTH = parathyroid hormone</w:t>
      </w:r>
      <w:r w:rsidRPr="003D28B2">
        <w:rPr>
          <w:rFonts w:ascii="Open Sans" w:hAnsi="Open Sans" w:cs="Open Sans"/>
          <w:color w:val="000000" w:themeColor="text1"/>
          <w:sz w:val="20"/>
          <w:szCs w:val="20"/>
        </w:rPr>
        <w:br/>
        <w:t>PVN = paraventricular nucleus</w:t>
      </w:r>
      <w:r w:rsidRPr="003D28B2">
        <w:rPr>
          <w:rFonts w:ascii="Open Sans" w:hAnsi="Open Sans" w:cs="Open Sans"/>
          <w:color w:val="000000" w:themeColor="text1"/>
          <w:sz w:val="20"/>
          <w:szCs w:val="20"/>
        </w:rPr>
        <w:br/>
        <w:t>SON = supraoptic nucleus</w:t>
      </w:r>
      <w:r w:rsidRPr="003D28B2">
        <w:rPr>
          <w:rFonts w:ascii="Open Sans" w:hAnsi="Open Sans" w:cs="Open Sans"/>
          <w:color w:val="000000" w:themeColor="text1"/>
          <w:sz w:val="20"/>
          <w:szCs w:val="20"/>
        </w:rPr>
        <w:br/>
        <w:t>T3 = triiodothyronine</w:t>
      </w:r>
      <w:r w:rsidRPr="003D28B2">
        <w:rPr>
          <w:rFonts w:ascii="Open Sans" w:hAnsi="Open Sans" w:cs="Open Sans"/>
          <w:color w:val="000000" w:themeColor="text1"/>
          <w:sz w:val="20"/>
          <w:szCs w:val="20"/>
        </w:rPr>
        <w:br/>
        <w:t>T4 = tetraiodothyronine</w:t>
      </w:r>
      <w:r w:rsidRPr="003D28B2">
        <w:rPr>
          <w:rFonts w:ascii="Open Sans" w:hAnsi="Open Sans" w:cs="Open Sans"/>
          <w:color w:val="000000" w:themeColor="text1"/>
          <w:sz w:val="20"/>
          <w:szCs w:val="20"/>
        </w:rPr>
        <w:br/>
        <w:t>TSH = thyroid-stimulating hormone</w:t>
      </w:r>
    </w:p>
    <w:p w14:paraId="6FB613A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Hypothalamic–Pituitary Integration</w:t>
      </w:r>
      <w:r w:rsidRPr="003D28B2">
        <w:rPr>
          <w:rFonts w:ascii="Open Sans" w:hAnsi="Open Sans" w:cs="Open Sans"/>
          <w:color w:val="000000" w:themeColor="text1"/>
          <w:sz w:val="20"/>
          <w:szCs w:val="20"/>
        </w:rPr>
        <w:br/>
        <w:t>Multiple sensory and neural inputs converge on clusters of neurons within the hypothalamus. These inputs regulate secretion of hypothalamic releasing hormones, including corticotropin-releasing hormone (CRH), gonadotropin-releasing hormone (GnRH), and thyrotropin-releasing hormone (TRH). These releasing hormones travel through the hypophyseal portal system to the anterior pituitary, where they bind to specific receptors on pituitary cells and stimulate secretion of trophic hormones.</w:t>
      </w:r>
    </w:p>
    <w:p w14:paraId="371D35BA"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ACTH regulates cortisol and other adrenal cortical hormones, while TSH regulates thyroid hormone production and release. The hypothalamus also contains specialized nuclei, notably the supraoptic nucleus (SON) and paraventricular nucleus (PVN), which synthesize antidiuretic hormone (ADH, vasopressin) and oxytocin. These hormones are transported down axons and released from the posterior pituitary. ADH regulates water reabsorption in the kidneys, while oxytocin mediates uterine contraction and milk ejection.</w:t>
      </w:r>
    </w:p>
    <w:p w14:paraId="76A2F9A8"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t>Also relevant to endocrine regulation are insulin and glucagon, secreted by the endocrine pancreas (Islets of Langerhans), which regulate glucose homeostasis. This framework highlights the anatomy and physiology underlying common endocrine disorders, including diabetes, thyroid disease, and adrenal dysfunction.</w:t>
      </w:r>
    </w:p>
    <w:p w14:paraId="6550A11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Drugs Used to Manage the Endocrine System</w:t>
      </w:r>
      <w:r w:rsidRPr="003D28B2">
        <w:rPr>
          <w:rFonts w:ascii="Open Sans" w:hAnsi="Open Sans" w:cs="Open Sans"/>
          <w:color w:val="000000" w:themeColor="text1"/>
          <w:sz w:val="20"/>
          <w:szCs w:val="20"/>
        </w:rPr>
        <w:br/>
        <w:t>Pharmacologic agents used in endocrine disorders include thyroid agents, gonadal hormones, contraceptives, pancreatic hormones, antidiabetic medications, corticosteroids, and anti-osteoporosis therapies.</w:t>
      </w:r>
    </w:p>
    <w:p w14:paraId="61418B68"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Thyroid Agents</w:t>
      </w:r>
      <w:r w:rsidRPr="003D28B2">
        <w:rPr>
          <w:rFonts w:ascii="Open Sans" w:hAnsi="Open Sans" w:cs="Open Sans"/>
          <w:color w:val="000000" w:themeColor="text1"/>
          <w:sz w:val="20"/>
          <w:szCs w:val="20"/>
        </w:rPr>
        <w:br/>
        <w:t>Thyroid hormone secretion operates under a negative feedback system. When circulating levels of thyroxine (T4) and triiodothyronine (T3) are low, the hypothalamus releases TRH, stimulating the anterior pituitary to secrete TSH. TSH then stimulates thyroid hormone synthesis and release from the thyroid gland. Rising levels of T3 and T4 inhibit both TRH and TSH secretion.</w:t>
      </w:r>
    </w:p>
    <w:p w14:paraId="2A8E05A0"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Hypothyroidism is treated with thyroid hormone replacement. The clinical principle “start low and go slow” is especially important in elderly patients and those with cardiovascular disease, who are more sensitive to thyroid hormone effects.</w:t>
      </w:r>
    </w:p>
    <w:p w14:paraId="257A93BC"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Thyroid Hormone Replacement</w:t>
      </w:r>
      <w:r w:rsidRPr="003D28B2">
        <w:rPr>
          <w:rFonts w:ascii="Open Sans" w:hAnsi="Open Sans" w:cs="Open Sans"/>
          <w:color w:val="000000" w:themeColor="text1"/>
          <w:sz w:val="20"/>
          <w:szCs w:val="20"/>
        </w:rPr>
        <w:br/>
        <w:t>Thyroid supplements are used to treat hypothyroidism. Synthetic T4 (levothyroxine) is the preferred treatment for uncomplicated cases due to its predictable pharmacokinetics, standardized potency, and long half-life. T3 is used primarily in thyroid cancer suppression therapy. Combination T3/T4 preparations (e.g., liotrix) are less commonly used.</w:t>
      </w:r>
    </w:p>
    <w:p w14:paraId="6A824725"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Thyroid Suppressants</w:t>
      </w:r>
      <w:r w:rsidRPr="003D28B2">
        <w:rPr>
          <w:rFonts w:ascii="Open Sans" w:hAnsi="Open Sans" w:cs="Open Sans"/>
          <w:color w:val="000000" w:themeColor="text1"/>
          <w:sz w:val="20"/>
          <w:szCs w:val="20"/>
        </w:rPr>
        <w:br/>
        <w:t xml:space="preserve">Hyperthyroidism may result from </w:t>
      </w:r>
      <w:proofErr w:type="spellStart"/>
      <w:r w:rsidRPr="003D28B2">
        <w:rPr>
          <w:rFonts w:ascii="Open Sans" w:hAnsi="Open Sans" w:cs="Open Sans"/>
          <w:color w:val="000000" w:themeColor="text1"/>
          <w:sz w:val="20"/>
          <w:szCs w:val="20"/>
        </w:rPr>
        <w:t>Graves</w:t>
      </w:r>
      <w:proofErr w:type="spellEnd"/>
      <w:r w:rsidRPr="003D28B2">
        <w:rPr>
          <w:rFonts w:ascii="Open Sans" w:hAnsi="Open Sans" w:cs="Open Sans"/>
          <w:color w:val="000000" w:themeColor="text1"/>
          <w:sz w:val="20"/>
          <w:szCs w:val="20"/>
        </w:rPr>
        <w:t xml:space="preserve"> disease, toxic multinodular goiter, thyroiditis, or iodine excess. When surgery or radioactive iodine is contraindicated, thioamide drugs are used. Methimazole and propylthiouracil (PTU) inhibit thyroid hormone synthesis by blocking iodination of tyrosine residues on thyroglobulin. PTU also inhibits peripheral conversion of T4 to T3. These agents do not inactivate existing thyroid hormone stores, so clinical effects are delayed.</w:t>
      </w:r>
    </w:p>
    <w:p w14:paraId="22F04AF5"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Gonadal Hormones</w:t>
      </w:r>
      <w:r w:rsidRPr="003D28B2">
        <w:rPr>
          <w:rFonts w:ascii="Open Sans" w:hAnsi="Open Sans" w:cs="Open Sans"/>
          <w:color w:val="000000" w:themeColor="text1"/>
          <w:sz w:val="20"/>
          <w:szCs w:val="20"/>
        </w:rPr>
        <w:br/>
        <w:t>Gonadal hormones are used in hypogonadism resulting from reduced luteinizing hormone (LH) and follicle-stimulating hormone (FSH). Clinical manifestations include reduced sperm production in males and amenorrhea or infertility in females. GnRH agonists are also used therapeutically, including in the treatment of endometriosis, although their use requires careful consideration due to hypoestrogenic effects.</w:t>
      </w:r>
    </w:p>
    <w:p w14:paraId="77785DC9"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Pancreatic Hormones</w:t>
      </w:r>
      <w:r w:rsidRPr="003D28B2">
        <w:rPr>
          <w:rFonts w:ascii="Open Sans" w:hAnsi="Open Sans" w:cs="Open Sans"/>
          <w:color w:val="000000" w:themeColor="text1"/>
          <w:sz w:val="20"/>
          <w:szCs w:val="20"/>
        </w:rPr>
        <w:br/>
        <w:t>The endocrine pancreas (Islets of Langerhans) secretes several hormones. Insulin is an anabolic hormone promoting glucose uptake and storage. Islet amyloid polypeptide (IAPP, amylin) regulates appetite, gastric emptying, and glucagon secretion. Glucagon mobilizes glucose from glycogen stores. Somatostatin inhibits hormone secretion, and pancreatic polypeptide influences gastrointestinal function.</w:t>
      </w:r>
    </w:p>
    <w:p w14:paraId="5FB2DE7B"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lastRenderedPageBreak/>
        <w:t>Insulin Therapy</w:t>
      </w:r>
      <w:r w:rsidRPr="003D28B2">
        <w:rPr>
          <w:rFonts w:ascii="Open Sans" w:hAnsi="Open Sans" w:cs="Open Sans"/>
          <w:color w:val="000000" w:themeColor="text1"/>
          <w:sz w:val="20"/>
          <w:szCs w:val="20"/>
        </w:rPr>
        <w:br/>
        <w:t>Insulin is required for all patients with Type 1 diabetes and is also used in Type 2 diabetes when glycemic targets are not met. Optimal control often requires multiple daily injections or continuous subcutaneous insulin infusion (insulin pumps). Insulin pumps deliver rapid-acting insulin and allow patients to adjust dosing based on carbohydrate intake to approximate physiologic insulin release.</w:t>
      </w:r>
    </w:p>
    <w:p w14:paraId="6C0DF544"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Oral and Non-Insulin Antidiabetic Agents</w:t>
      </w:r>
      <w:r w:rsidRPr="003D28B2">
        <w:rPr>
          <w:rFonts w:ascii="Open Sans" w:hAnsi="Open Sans" w:cs="Open Sans"/>
          <w:color w:val="000000" w:themeColor="text1"/>
          <w:sz w:val="20"/>
          <w:szCs w:val="20"/>
        </w:rPr>
        <w:br/>
        <w:t>Oral antidiabetic drugs fall into several categories based on mechanism.</w:t>
      </w:r>
    </w:p>
    <w:p w14:paraId="6E8710B6"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Sulfonylureas and meglitinides are insulin secretagogues that stimulate pancreatic beta cells to release insulin. Sulfonylureas act independently of glucose levels and carry a risk of hypoglycemia. Meglitinides (e.g., repaglinide) are shorter acting and stimulate insulin release in response to meals. These agents require residual beta-cell function and are ineffective in Type 1 diabetes or advanced beta-cell failure.</w:t>
      </w:r>
    </w:p>
    <w:p w14:paraId="4E98FC3E"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Biguanides, represented by metformin, reduce hepatic glucose production and increase insulin sensitivity in muscle and adipose tissue. Metformin lowers both fasting and post-prandial glucose without stimulating insulin secretion, resulting in minimal hypoglycemia risk. It improves lipid profiles, reduces platelet aggregation, and is associated with modest weight loss. Metformin is first-line therapy for Type 2 diabetes.</w:t>
      </w:r>
    </w:p>
    <w:p w14:paraId="5E11C68A"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Alpha-glucosidase inhibitors (acarbose, miglitol) reduce post-prandial hyperglycemia by inhibiting intestinal brush border enzymes responsible for carbohydrate digestion. Undigested carbohydrates lead to common gastrointestinal side effects such as bloating, diarrhea, and flatulence. Hypoglycemia, if it occurs, should be treated with monosaccharides rather than complex carbohydrates.</w:t>
      </w:r>
    </w:p>
    <w:p w14:paraId="6AFA8B2D"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Thiazolidinediones (pioglitazone, rosiglitazone) improve insulin sensitivity by activating nuclear receptors that increase transcription of insulin-responsive genes. They enhance glucose uptake in muscle and adipose tissue and reduce insulin resistance, making them useful in patients requiring high insulin doses. Adverse effects include weight gain and fluid retention.</w:t>
      </w:r>
    </w:p>
    <w:p w14:paraId="28BA1E88" w14:textId="77777777" w:rsidR="003D28B2" w:rsidRPr="003D28B2" w:rsidRDefault="003D28B2" w:rsidP="003D28B2">
      <w:pPr>
        <w:pStyle w:val="NormalWeb"/>
        <w:rPr>
          <w:rFonts w:ascii="Open Sans" w:hAnsi="Open Sans" w:cs="Open Sans"/>
          <w:color w:val="000000" w:themeColor="text1"/>
          <w:sz w:val="20"/>
          <w:szCs w:val="20"/>
        </w:rPr>
      </w:pPr>
      <w:r w:rsidRPr="003D28B2">
        <w:rPr>
          <w:rFonts w:ascii="Open Sans" w:hAnsi="Open Sans" w:cs="Open Sans"/>
          <w:color w:val="000000" w:themeColor="text1"/>
          <w:sz w:val="20"/>
          <w:szCs w:val="20"/>
        </w:rPr>
        <w:t>High-Yield Exam Pearls</w:t>
      </w:r>
      <w:r w:rsidRPr="003D28B2">
        <w:rPr>
          <w:rFonts w:ascii="Open Sans" w:hAnsi="Open Sans" w:cs="Open Sans"/>
          <w:color w:val="000000" w:themeColor="text1"/>
          <w:sz w:val="20"/>
          <w:szCs w:val="20"/>
        </w:rPr>
        <w:br/>
        <w:t>Releasing hormones act via the hypophyseal portal system</w:t>
      </w:r>
      <w:r w:rsidRPr="003D28B2">
        <w:rPr>
          <w:rFonts w:ascii="Open Sans" w:hAnsi="Open Sans" w:cs="Open Sans"/>
          <w:color w:val="000000" w:themeColor="text1"/>
          <w:sz w:val="20"/>
          <w:szCs w:val="20"/>
        </w:rPr>
        <w:br/>
        <w:t>Anterior pituitary hormones are trophic; posterior pituitary hormones are synthesized in the hypothalamus</w:t>
      </w:r>
      <w:r w:rsidRPr="003D28B2">
        <w:rPr>
          <w:rFonts w:ascii="Open Sans" w:hAnsi="Open Sans" w:cs="Open Sans"/>
          <w:color w:val="000000" w:themeColor="text1"/>
          <w:sz w:val="20"/>
          <w:szCs w:val="20"/>
        </w:rPr>
        <w:br/>
        <w:t>Levothyroxine (T4) is first-line for hypothyroidism</w:t>
      </w:r>
      <w:r w:rsidRPr="003D28B2">
        <w:rPr>
          <w:rFonts w:ascii="Open Sans" w:hAnsi="Open Sans" w:cs="Open Sans"/>
          <w:color w:val="000000" w:themeColor="text1"/>
          <w:sz w:val="20"/>
          <w:szCs w:val="20"/>
        </w:rPr>
        <w:br/>
        <w:t>Thioamides inhibit thyroid hormone synthesis but do not inactivate stored hormone</w:t>
      </w:r>
      <w:r w:rsidRPr="003D28B2">
        <w:rPr>
          <w:rFonts w:ascii="Open Sans" w:hAnsi="Open Sans" w:cs="Open Sans"/>
          <w:color w:val="000000" w:themeColor="text1"/>
          <w:sz w:val="20"/>
          <w:szCs w:val="20"/>
        </w:rPr>
        <w:br/>
        <w:t>Metformin lowers glucose without causing hypoglycemia</w:t>
      </w:r>
      <w:r w:rsidRPr="003D28B2">
        <w:rPr>
          <w:rFonts w:ascii="Open Sans" w:hAnsi="Open Sans" w:cs="Open Sans"/>
          <w:color w:val="000000" w:themeColor="text1"/>
          <w:sz w:val="20"/>
          <w:szCs w:val="20"/>
        </w:rPr>
        <w:br/>
        <w:t>Sulfonylureas require functioning beta cells</w:t>
      </w:r>
    </w:p>
    <w:p w14:paraId="7D82C567" w14:textId="07321184" w:rsidR="004F54CB" w:rsidRPr="003D28B2" w:rsidRDefault="004F54CB" w:rsidP="003D28B2">
      <w:pPr>
        <w:spacing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Adrenal Hormones</w:t>
      </w:r>
    </w:p>
    <w:p w14:paraId="1CDC0040" w14:textId="77777777" w:rsidR="004F54CB" w:rsidRPr="003D28B2" w:rsidRDefault="004F54CB" w:rsidP="004F54CB">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Corticosteroids</w:t>
      </w:r>
    </w:p>
    <w:p w14:paraId="3F024615" w14:textId="77777777" w:rsidR="004F54CB" w:rsidRPr="003D28B2" w:rsidRDefault="004F54CB" w:rsidP="004F54CB">
      <w:pPr>
        <w:spacing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The adrenal cortex secretes corticosteroids that include mineralocorticoids, glucocorticoids, and some androgens. Corticosteroid drugs are used in adrenal insufficiency and inflammatory conditions such as rheumatoid arthritis.</w:t>
      </w:r>
    </w:p>
    <w:p w14:paraId="55475B42" w14:textId="77777777" w:rsidR="004F54CB" w:rsidRPr="003D28B2" w:rsidRDefault="004F54CB" w:rsidP="004F54CB">
      <w:pPr>
        <w:spacing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Please utilize the learning resources listed above to complete the following PBL activities and Guiding Questions, before testing your knowledge via the Self-Test Questions at the end of this unit.</w:t>
      </w:r>
    </w:p>
    <w:p w14:paraId="010B9E14"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Describe the Pathophysiology and Treatment of Thyroid Dysfunction</w:t>
      </w:r>
    </w:p>
    <w:p w14:paraId="35BC1ED0"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Thyroid hormone secretion is regulated by the hypothalamic–pituitary–thyroid (HPT) axis. The hypothalamus releases thyrotropin-releasing hormone (TRH), which stimulates the anterior pituitary to release thyroid-stimulating hormone (TSH). TSH acts on thyroid follicular cells to increase iodide uptake, thyroglobulin iodination, coupling reactions, and release of thyroxine (T4) and triiodothyronine (T3). Circulating T3 and T4 exert negative feedback on both TRH and TSH.</w:t>
      </w:r>
    </w:p>
    <w:p w14:paraId="0CF6D839"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Hypothyroidism</w:t>
      </w:r>
      <w:r w:rsidRPr="003D28B2">
        <w:rPr>
          <w:rFonts w:ascii="Open Sans" w:eastAsia="Times New Roman" w:hAnsi="Open Sans" w:cs="Open Sans"/>
          <w:color w:val="000000" w:themeColor="text1"/>
          <w:kern w:val="0"/>
          <w:sz w:val="20"/>
          <w:szCs w:val="20"/>
          <w14:ligatures w14:val="none"/>
        </w:rPr>
        <w:br/>
        <w:t>Pathophysiology</w:t>
      </w:r>
      <w:r w:rsidRPr="003D28B2">
        <w:rPr>
          <w:rFonts w:ascii="Open Sans" w:eastAsia="Times New Roman" w:hAnsi="Open Sans" w:cs="Open Sans"/>
          <w:color w:val="000000" w:themeColor="text1"/>
          <w:kern w:val="0"/>
          <w:sz w:val="20"/>
          <w:szCs w:val="20"/>
          <w14:ligatures w14:val="none"/>
        </w:rPr>
        <w:br/>
        <w:t>Primary hypothyroidism results from failure of the thyroid gland itself and is most commonly due to autoimmune destruction (Hashimoto thyroiditis). Autoantibodies against thyroid peroxidase (anti-TPO) and thyroglobulin lead to lymphocytic infiltration, follicular destruction, and reduced thyroid hormone synthesis. Less common causes include iodine deficiency, thyroidectomy, radioactive iodine therapy, medications (e.g., amiodarone, lithium), and congenital absence or dysfunction of the gland.</w:t>
      </w:r>
    </w:p>
    <w:p w14:paraId="74D1CCA9"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Low T3 and T4 reduce basal metabolic rate, impair thermogenesis, decrease cardiac output, and slow gastrointestinal motility. Elevated TSH reflects loss of negative feedback.</w:t>
      </w:r>
    </w:p>
    <w:p w14:paraId="2FA553F3"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Clinical Effects</w:t>
      </w:r>
      <w:r w:rsidRPr="003D28B2">
        <w:rPr>
          <w:rFonts w:ascii="Open Sans" w:eastAsia="Times New Roman" w:hAnsi="Open Sans" w:cs="Open Sans"/>
          <w:color w:val="000000" w:themeColor="text1"/>
          <w:kern w:val="0"/>
          <w:sz w:val="20"/>
          <w:szCs w:val="20"/>
          <w14:ligatures w14:val="none"/>
        </w:rPr>
        <w:br/>
        <w:t>Fatigue, weight gain, cold intolerance, constipation, bradycardia, dry skin, hair loss, cognitive slowing, depression, hyponatremia (via increased ADH), and hyperlipidemia.</w:t>
      </w:r>
    </w:p>
    <w:p w14:paraId="749261F9"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Treatment</w:t>
      </w:r>
      <w:r w:rsidRPr="003D28B2">
        <w:rPr>
          <w:rFonts w:ascii="Open Sans" w:eastAsia="Times New Roman" w:hAnsi="Open Sans" w:cs="Open Sans"/>
          <w:color w:val="000000" w:themeColor="text1"/>
          <w:kern w:val="0"/>
          <w:sz w:val="20"/>
          <w:szCs w:val="20"/>
          <w14:ligatures w14:val="none"/>
        </w:rPr>
        <w:br/>
        <w:t>First-line therapy is levothyroxine (synthetic T4). Dosing is individualized and titrated using TSH levels. Elderly patients and those with cardiac disease require low initial doses with gradual titration. Treatment goals are normalization of TSH and symptom resolution.</w:t>
      </w:r>
    </w:p>
    <w:p w14:paraId="2EC57F59"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Hyperthyroidism</w:t>
      </w:r>
      <w:r w:rsidRPr="003D28B2">
        <w:rPr>
          <w:rFonts w:ascii="Open Sans" w:eastAsia="Times New Roman" w:hAnsi="Open Sans" w:cs="Open Sans"/>
          <w:color w:val="000000" w:themeColor="text1"/>
          <w:kern w:val="0"/>
          <w:sz w:val="20"/>
          <w:szCs w:val="20"/>
          <w14:ligatures w14:val="none"/>
        </w:rPr>
        <w:br/>
        <w:t>Pathophysiology</w:t>
      </w:r>
      <w:r w:rsidRPr="003D28B2">
        <w:rPr>
          <w:rFonts w:ascii="Open Sans" w:eastAsia="Times New Roman" w:hAnsi="Open Sans" w:cs="Open Sans"/>
          <w:color w:val="000000" w:themeColor="text1"/>
          <w:kern w:val="0"/>
          <w:sz w:val="20"/>
          <w:szCs w:val="20"/>
          <w14:ligatures w14:val="none"/>
        </w:rPr>
        <w:br/>
        <w:t xml:space="preserve">Hyperthyroidism results from excessive thyroid hormone production or release. </w:t>
      </w:r>
      <w:proofErr w:type="spellStart"/>
      <w:r w:rsidRPr="003D28B2">
        <w:rPr>
          <w:rFonts w:ascii="Open Sans" w:eastAsia="Times New Roman" w:hAnsi="Open Sans" w:cs="Open Sans"/>
          <w:color w:val="000000" w:themeColor="text1"/>
          <w:kern w:val="0"/>
          <w:sz w:val="20"/>
          <w:szCs w:val="20"/>
          <w14:ligatures w14:val="none"/>
        </w:rPr>
        <w:t>Graves</w:t>
      </w:r>
      <w:proofErr w:type="spellEnd"/>
      <w:r w:rsidRPr="003D28B2">
        <w:rPr>
          <w:rFonts w:ascii="Open Sans" w:eastAsia="Times New Roman" w:hAnsi="Open Sans" w:cs="Open Sans"/>
          <w:color w:val="000000" w:themeColor="text1"/>
          <w:kern w:val="0"/>
          <w:sz w:val="20"/>
          <w:szCs w:val="20"/>
          <w14:ligatures w14:val="none"/>
        </w:rPr>
        <w:t xml:space="preserve"> disease is the most common cause and is mediated by thyroid-stimulating immunoglobulins that activate the TSH receptor, leading to unregulated hormone synthesis and gland enlargement. Other causes include toxic multinodular goiter, thyroid adenoma, thyroiditis (transient release of stored hormone), and iodine excess.</w:t>
      </w:r>
    </w:p>
    <w:p w14:paraId="69B356C4"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Excess T3 and T4 increase metabolic rate, enhance β-adrenergic receptor sensitivity, and increase oxygen consumption, heat production, and cardiac workload.</w:t>
      </w:r>
    </w:p>
    <w:p w14:paraId="20148A73"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Clinical Effects</w:t>
      </w:r>
      <w:r w:rsidRPr="003D28B2">
        <w:rPr>
          <w:rFonts w:ascii="Open Sans" w:eastAsia="Times New Roman" w:hAnsi="Open Sans" w:cs="Open Sans"/>
          <w:color w:val="000000" w:themeColor="text1"/>
          <w:kern w:val="0"/>
          <w:sz w:val="20"/>
          <w:szCs w:val="20"/>
          <w14:ligatures w14:val="none"/>
        </w:rPr>
        <w:br/>
        <w:t xml:space="preserve">Weight loss, heat intolerance, tremor, anxiety, palpitations, atrial fibrillation, diarrhea, muscle weakness, osteoporosis, and menstrual irregularities. </w:t>
      </w:r>
      <w:proofErr w:type="spellStart"/>
      <w:r w:rsidRPr="003D28B2">
        <w:rPr>
          <w:rFonts w:ascii="Open Sans" w:eastAsia="Times New Roman" w:hAnsi="Open Sans" w:cs="Open Sans"/>
          <w:color w:val="000000" w:themeColor="text1"/>
          <w:kern w:val="0"/>
          <w:sz w:val="20"/>
          <w:szCs w:val="20"/>
          <w14:ligatures w14:val="none"/>
        </w:rPr>
        <w:t>Graves</w:t>
      </w:r>
      <w:proofErr w:type="spellEnd"/>
      <w:r w:rsidRPr="003D28B2">
        <w:rPr>
          <w:rFonts w:ascii="Open Sans" w:eastAsia="Times New Roman" w:hAnsi="Open Sans" w:cs="Open Sans"/>
          <w:color w:val="000000" w:themeColor="text1"/>
          <w:kern w:val="0"/>
          <w:sz w:val="20"/>
          <w:szCs w:val="20"/>
          <w14:ligatures w14:val="none"/>
        </w:rPr>
        <w:t xml:space="preserve"> disease may include ophthalmopathy and dermopathy.</w:t>
      </w:r>
    </w:p>
    <w:p w14:paraId="4F10312C"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Treatment</w:t>
      </w:r>
      <w:r w:rsidRPr="003D28B2">
        <w:rPr>
          <w:rFonts w:ascii="Open Sans" w:eastAsia="Times New Roman" w:hAnsi="Open Sans" w:cs="Open Sans"/>
          <w:color w:val="000000" w:themeColor="text1"/>
          <w:kern w:val="0"/>
          <w:sz w:val="20"/>
          <w:szCs w:val="20"/>
          <w14:ligatures w14:val="none"/>
        </w:rPr>
        <w:br/>
        <w:t>Beta-blockers (e.g., propranolol) provide symptomatic control. Antithyroid drugs (methimazole or PTU) inhibit thyroid hormone synthesis; PTU also blocks peripheral T4 to T3 conversion. Radioactive iodine ablation or thyroidectomy may be definitive treatments depending on patient factors.</w:t>
      </w:r>
    </w:p>
    <w:p w14:paraId="3B3B4531" w14:textId="77777777" w:rsidR="003D28B2" w:rsidRPr="003D28B2" w:rsidRDefault="00320FFA" w:rsidP="003D28B2">
      <w:pPr>
        <w:spacing w:after="0" w:line="240" w:lineRule="auto"/>
        <w:rPr>
          <w:rFonts w:ascii="Open Sans" w:eastAsia="Times New Roman" w:hAnsi="Open Sans" w:cs="Open Sans"/>
          <w:color w:val="000000" w:themeColor="text1"/>
          <w:kern w:val="0"/>
          <w:sz w:val="20"/>
          <w:szCs w:val="20"/>
          <w14:ligatures w14:val="none"/>
        </w:rPr>
      </w:pPr>
      <w:r w:rsidRPr="00320FFA">
        <w:rPr>
          <w:rFonts w:ascii="Open Sans" w:eastAsia="Times New Roman" w:hAnsi="Open Sans" w:cs="Open Sans"/>
          <w:noProof/>
          <w:color w:val="000000" w:themeColor="text1"/>
          <w:kern w:val="0"/>
          <w:sz w:val="20"/>
          <w:szCs w:val="20"/>
        </w:rPr>
        <w:pict w14:anchorId="4F077F54">
          <v:rect id="_x0000_i1041" alt="" style="width:468pt;height:.05pt;mso-width-percent:0;mso-height-percent:0;mso-width-percent:0;mso-height-percent:0" o:hralign="center" o:hrstd="t" o:hr="t" fillcolor="#a0a0a0" stroked="f"/>
        </w:pict>
      </w:r>
    </w:p>
    <w:p w14:paraId="6BDA4B54"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Identify Pathological Changes Affecting Regulation of the Renin–Angiotensin–Aldosterone System (RAAS)</w:t>
      </w:r>
    </w:p>
    <w:p w14:paraId="3088D040"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The RAAS maintains blood pressure, sodium balance, and intravascular volume. Renin is released from juxtaglomerular cells in response to decreased renal perfusion, low sodium delivery to the macula </w:t>
      </w:r>
      <w:proofErr w:type="spellStart"/>
      <w:r w:rsidRPr="003D28B2">
        <w:rPr>
          <w:rFonts w:ascii="Open Sans" w:eastAsia="Times New Roman" w:hAnsi="Open Sans" w:cs="Open Sans"/>
          <w:color w:val="000000" w:themeColor="text1"/>
          <w:kern w:val="0"/>
          <w:sz w:val="20"/>
          <w:szCs w:val="20"/>
          <w14:ligatures w14:val="none"/>
        </w:rPr>
        <w:t>densa</w:t>
      </w:r>
      <w:proofErr w:type="spellEnd"/>
      <w:r w:rsidRPr="003D28B2">
        <w:rPr>
          <w:rFonts w:ascii="Open Sans" w:eastAsia="Times New Roman" w:hAnsi="Open Sans" w:cs="Open Sans"/>
          <w:color w:val="000000" w:themeColor="text1"/>
          <w:kern w:val="0"/>
          <w:sz w:val="20"/>
          <w:szCs w:val="20"/>
          <w14:ligatures w14:val="none"/>
        </w:rPr>
        <w:t>, or sympathetic nervous system activation. Renin converts angiotensinogen to angiotensin I, which is converted to angiotensin II by ACE. Angiotensin II stimulates aldosterone secretion, vasoconstriction, ADH release, and thirst.</w:t>
      </w:r>
    </w:p>
    <w:p w14:paraId="0BA9EEF6"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Pathological Activation of RAAS</w:t>
      </w:r>
      <w:r w:rsidRPr="003D28B2">
        <w:rPr>
          <w:rFonts w:ascii="Open Sans" w:eastAsia="Times New Roman" w:hAnsi="Open Sans" w:cs="Open Sans"/>
          <w:color w:val="000000" w:themeColor="text1"/>
          <w:kern w:val="0"/>
          <w:sz w:val="20"/>
          <w:szCs w:val="20"/>
          <w14:ligatures w14:val="none"/>
        </w:rPr>
        <w:br/>
        <w:t>Chronic activation occurs in conditions such as heart failure, cirrhosis, and chronic kidney disease. Reduced effective circulating volume leads to persistent renin release despite total body fluid overload. This results in sodium and water retention, worsening edema and hypertension.</w:t>
      </w:r>
    </w:p>
    <w:p w14:paraId="11410054"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Renal Artery Stenosis</w:t>
      </w:r>
      <w:r w:rsidRPr="003D28B2">
        <w:rPr>
          <w:rFonts w:ascii="Open Sans" w:eastAsia="Times New Roman" w:hAnsi="Open Sans" w:cs="Open Sans"/>
          <w:color w:val="000000" w:themeColor="text1"/>
          <w:kern w:val="0"/>
          <w:sz w:val="20"/>
          <w:szCs w:val="20"/>
          <w14:ligatures w14:val="none"/>
        </w:rPr>
        <w:br/>
        <w:t>Decreased renal perfusion pressure stimulates renin release, causing secondary hyperaldosteronism. Systemic effects include hypertension, hypokalemia, and metabolic alkalosis.</w:t>
      </w:r>
    </w:p>
    <w:p w14:paraId="05B64965"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Primary Hyperaldosteronism (Conn Syndrome)</w:t>
      </w:r>
      <w:r w:rsidRPr="003D28B2">
        <w:rPr>
          <w:rFonts w:ascii="Open Sans" w:eastAsia="Times New Roman" w:hAnsi="Open Sans" w:cs="Open Sans"/>
          <w:color w:val="000000" w:themeColor="text1"/>
          <w:kern w:val="0"/>
          <w:sz w:val="20"/>
          <w:szCs w:val="20"/>
          <w14:ligatures w14:val="none"/>
        </w:rPr>
        <w:br/>
        <w:t>Autonomous aldosterone secretion (often from an adrenal adenoma) suppresses renin. Excess aldosterone causes sodium retention, potassium loss, hypertension, and metabolic alkalosis.</w:t>
      </w:r>
    </w:p>
    <w:p w14:paraId="3D2A67FB"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Hypoaldosteronism</w:t>
      </w:r>
      <w:r w:rsidRPr="003D28B2">
        <w:rPr>
          <w:rFonts w:ascii="Open Sans" w:eastAsia="Times New Roman" w:hAnsi="Open Sans" w:cs="Open Sans"/>
          <w:color w:val="000000" w:themeColor="text1"/>
          <w:kern w:val="0"/>
          <w:sz w:val="20"/>
          <w:szCs w:val="20"/>
          <w14:ligatures w14:val="none"/>
        </w:rPr>
        <w:br/>
        <w:t>Occurs in adrenal insufficiency or diabetic hyporeninemic hypoaldosteronism. Leads to hyperkalemia, hyponatremia, and hypotension.</w:t>
      </w:r>
    </w:p>
    <w:p w14:paraId="1EE3DC2E"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Clinical Implications</w:t>
      </w:r>
      <w:r w:rsidRPr="003D28B2">
        <w:rPr>
          <w:rFonts w:ascii="Open Sans" w:eastAsia="Times New Roman" w:hAnsi="Open Sans" w:cs="Open Sans"/>
          <w:color w:val="000000" w:themeColor="text1"/>
          <w:kern w:val="0"/>
          <w:sz w:val="20"/>
          <w:szCs w:val="20"/>
          <w14:ligatures w14:val="none"/>
        </w:rPr>
        <w:br/>
        <w:t>RAAS dysregulation contributes to hypertension, electrolyte abnormalities, and cardiovascular remodeling. ACE inhibitors, ARBs, and mineralocorticoid receptor antagonists target different levels of this pathway.</w:t>
      </w:r>
    </w:p>
    <w:p w14:paraId="26829BF1" w14:textId="77777777" w:rsidR="003D28B2" w:rsidRPr="003D28B2" w:rsidRDefault="00320FFA" w:rsidP="003D28B2">
      <w:pPr>
        <w:spacing w:after="0" w:line="240" w:lineRule="auto"/>
        <w:rPr>
          <w:rFonts w:ascii="Open Sans" w:eastAsia="Times New Roman" w:hAnsi="Open Sans" w:cs="Open Sans"/>
          <w:color w:val="000000" w:themeColor="text1"/>
          <w:kern w:val="0"/>
          <w:sz w:val="20"/>
          <w:szCs w:val="20"/>
          <w14:ligatures w14:val="none"/>
        </w:rPr>
      </w:pPr>
      <w:r w:rsidRPr="00320FFA">
        <w:rPr>
          <w:rFonts w:ascii="Open Sans" w:eastAsia="Times New Roman" w:hAnsi="Open Sans" w:cs="Open Sans"/>
          <w:noProof/>
          <w:color w:val="000000" w:themeColor="text1"/>
          <w:kern w:val="0"/>
          <w:sz w:val="20"/>
          <w:szCs w:val="20"/>
        </w:rPr>
        <w:pict w14:anchorId="6DAC9D2B">
          <v:rect id="_x0000_i1040" alt="" style="width:468pt;height:.05pt;mso-width-percent:0;mso-height-percent:0;mso-width-percent:0;mso-height-percent:0" o:hralign="center" o:hrstd="t" o:hr="t" fillcolor="#a0a0a0" stroked="f"/>
        </w:pict>
      </w:r>
    </w:p>
    <w:p w14:paraId="7BA52E1C"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Recognize the Effects of Over- and Under-Availability of Adrenal Hormones</w:t>
      </w:r>
    </w:p>
    <w:p w14:paraId="0AE6E5E8"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The adrenal cortex produces glucocorticoids (cortisol), mineralocorticoids (aldosterone), and adrenal androgens. Dysregulation affects metabolism, immune function, blood pressure, and electrolyte balance.</w:t>
      </w:r>
    </w:p>
    <w:p w14:paraId="570EA0D0"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Cortisol Excess (Cushing Syndrome)</w:t>
      </w:r>
      <w:r w:rsidRPr="003D28B2">
        <w:rPr>
          <w:rFonts w:ascii="Open Sans" w:eastAsia="Times New Roman" w:hAnsi="Open Sans" w:cs="Open Sans"/>
          <w:color w:val="000000" w:themeColor="text1"/>
          <w:kern w:val="0"/>
          <w:sz w:val="20"/>
          <w:szCs w:val="20"/>
          <w14:ligatures w14:val="none"/>
        </w:rPr>
        <w:br/>
        <w:t>Pathophysiology</w:t>
      </w:r>
      <w:r w:rsidRPr="003D28B2">
        <w:rPr>
          <w:rFonts w:ascii="Open Sans" w:eastAsia="Times New Roman" w:hAnsi="Open Sans" w:cs="Open Sans"/>
          <w:color w:val="000000" w:themeColor="text1"/>
          <w:kern w:val="0"/>
          <w:sz w:val="20"/>
          <w:szCs w:val="20"/>
          <w14:ligatures w14:val="none"/>
        </w:rPr>
        <w:br/>
        <w:t>Excess cortisol may result from prolonged exogenous steroid use (most common), pituitary ACTH-secreting adenoma (Cushing disease), adrenal tumors, or ectopic ACTH production. Cortisol increases gluconeogenesis, protein catabolism, lipolysis with central fat redistribution, and suppresses immune and inflammatory responses.</w:t>
      </w:r>
    </w:p>
    <w:p w14:paraId="673C39DB"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Clinical Effects</w:t>
      </w:r>
      <w:r w:rsidRPr="003D28B2">
        <w:rPr>
          <w:rFonts w:ascii="Open Sans" w:eastAsia="Times New Roman" w:hAnsi="Open Sans" w:cs="Open Sans"/>
          <w:color w:val="000000" w:themeColor="text1"/>
          <w:kern w:val="0"/>
          <w:sz w:val="20"/>
          <w:szCs w:val="20"/>
          <w14:ligatures w14:val="none"/>
        </w:rPr>
        <w:br/>
        <w:t>Hyperglycemia, muscle wasting, thin skin, easy bruising, moon face, buffalo hump, osteoporosis, hypertension, mood changes, and increased infection risk.</w:t>
      </w:r>
    </w:p>
    <w:p w14:paraId="0C846ECA"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Treatment</w:t>
      </w:r>
      <w:r w:rsidRPr="003D28B2">
        <w:rPr>
          <w:rFonts w:ascii="Open Sans" w:eastAsia="Times New Roman" w:hAnsi="Open Sans" w:cs="Open Sans"/>
          <w:color w:val="000000" w:themeColor="text1"/>
          <w:kern w:val="0"/>
          <w:sz w:val="20"/>
          <w:szCs w:val="20"/>
          <w14:ligatures w14:val="none"/>
        </w:rPr>
        <w:br/>
        <w:t>Gradual tapering of exogenous steroids or surgical removal of the source. Medical therapy may be used to suppress cortisol synthesis in select cases.</w:t>
      </w:r>
    </w:p>
    <w:p w14:paraId="4F9AE1E5"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Cortisol Deficiency (Adrenal Insufficiency)</w:t>
      </w:r>
      <w:r w:rsidRPr="003D28B2">
        <w:rPr>
          <w:rFonts w:ascii="Open Sans" w:eastAsia="Times New Roman" w:hAnsi="Open Sans" w:cs="Open Sans"/>
          <w:color w:val="000000" w:themeColor="text1"/>
          <w:kern w:val="0"/>
          <w:sz w:val="20"/>
          <w:szCs w:val="20"/>
          <w14:ligatures w14:val="none"/>
        </w:rPr>
        <w:br/>
        <w:t>Pathophysiology</w:t>
      </w:r>
      <w:r w:rsidRPr="003D28B2">
        <w:rPr>
          <w:rFonts w:ascii="Open Sans" w:eastAsia="Times New Roman" w:hAnsi="Open Sans" w:cs="Open Sans"/>
          <w:color w:val="000000" w:themeColor="text1"/>
          <w:kern w:val="0"/>
          <w:sz w:val="20"/>
          <w:szCs w:val="20"/>
          <w14:ligatures w14:val="none"/>
        </w:rPr>
        <w:br/>
        <w:t>Primary adrenal insufficiency (Addison disease) results from autoimmune destruction of the adrenal cortex, leading to deficiency of cortisol and aldosterone. Secondary adrenal insufficiency results from inadequate ACTH production, often due to pituitary disease or chronic steroid suppression.</w:t>
      </w:r>
    </w:p>
    <w:p w14:paraId="03D8F5F9"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Clinical Effects</w:t>
      </w:r>
      <w:r w:rsidRPr="003D28B2">
        <w:rPr>
          <w:rFonts w:ascii="Open Sans" w:eastAsia="Times New Roman" w:hAnsi="Open Sans" w:cs="Open Sans"/>
          <w:color w:val="000000" w:themeColor="text1"/>
          <w:kern w:val="0"/>
          <w:sz w:val="20"/>
          <w:szCs w:val="20"/>
          <w14:ligatures w14:val="none"/>
        </w:rPr>
        <w:br/>
        <w:t>Fatigue, weight loss, hypotension, hyponatremia, hyperkalemia (primary only), hypoglycemia, and hyperpigmentation (primary due to elevated ACTH).</w:t>
      </w:r>
    </w:p>
    <w:p w14:paraId="3560F486"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Treatment</w:t>
      </w:r>
      <w:r w:rsidRPr="003D28B2">
        <w:rPr>
          <w:rFonts w:ascii="Open Sans" w:eastAsia="Times New Roman" w:hAnsi="Open Sans" w:cs="Open Sans"/>
          <w:color w:val="000000" w:themeColor="text1"/>
          <w:kern w:val="0"/>
          <w:sz w:val="20"/>
          <w:szCs w:val="20"/>
          <w14:ligatures w14:val="none"/>
        </w:rPr>
        <w:br/>
        <w:t>Lifelong glucocorticoid replacement (e.g., hydrocortisone). Mineralocorticoid replacement is required in primary adrenal insufficiency. Stress-dose steroids are essential during illness or surgery.</w:t>
      </w:r>
    </w:p>
    <w:p w14:paraId="639192D1"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Aldosterone Excess</w:t>
      </w:r>
      <w:r w:rsidRPr="003D28B2">
        <w:rPr>
          <w:rFonts w:ascii="Open Sans" w:eastAsia="Times New Roman" w:hAnsi="Open Sans" w:cs="Open Sans"/>
          <w:color w:val="000000" w:themeColor="text1"/>
          <w:kern w:val="0"/>
          <w:sz w:val="20"/>
          <w:szCs w:val="20"/>
          <w14:ligatures w14:val="none"/>
        </w:rPr>
        <w:br/>
        <w:t>Leads to sodium retention, hypertension, potassium wasting, and metabolic alkalosis. Treated with surgical removal of adenoma or mineralocorticoid receptor antagonists (spironolactone, eplerenone).</w:t>
      </w:r>
    </w:p>
    <w:p w14:paraId="62BA4978"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Aldosterone Deficiency</w:t>
      </w:r>
      <w:r w:rsidRPr="003D28B2">
        <w:rPr>
          <w:rFonts w:ascii="Open Sans" w:eastAsia="Times New Roman" w:hAnsi="Open Sans" w:cs="Open Sans"/>
          <w:color w:val="000000" w:themeColor="text1"/>
          <w:kern w:val="0"/>
          <w:sz w:val="20"/>
          <w:szCs w:val="20"/>
          <w14:ligatures w14:val="none"/>
        </w:rPr>
        <w:br/>
        <w:t>Results in hypotension, hyponatremia, hyperkalemia, and dehydration. Treated with mineralocorticoid replacement when appropriate.</w:t>
      </w:r>
    </w:p>
    <w:p w14:paraId="1FA16FDD" w14:textId="77777777" w:rsidR="003D28B2" w:rsidRPr="003D28B2" w:rsidRDefault="00320FFA" w:rsidP="003D28B2">
      <w:pPr>
        <w:spacing w:after="0" w:line="240" w:lineRule="auto"/>
        <w:rPr>
          <w:rFonts w:ascii="Open Sans" w:eastAsia="Times New Roman" w:hAnsi="Open Sans" w:cs="Open Sans"/>
          <w:color w:val="000000" w:themeColor="text1"/>
          <w:kern w:val="0"/>
          <w:sz w:val="20"/>
          <w:szCs w:val="20"/>
          <w14:ligatures w14:val="none"/>
        </w:rPr>
      </w:pPr>
      <w:r w:rsidRPr="00320FFA">
        <w:rPr>
          <w:rFonts w:ascii="Open Sans" w:eastAsia="Times New Roman" w:hAnsi="Open Sans" w:cs="Open Sans"/>
          <w:noProof/>
          <w:color w:val="000000" w:themeColor="text1"/>
          <w:kern w:val="0"/>
          <w:sz w:val="20"/>
          <w:szCs w:val="20"/>
        </w:rPr>
        <w:pict w14:anchorId="12166ACB">
          <v:rect id="_x0000_i1039" alt="" style="width:468pt;height:.05pt;mso-width-percent:0;mso-height-percent:0;mso-width-percent:0;mso-height-percent:0" o:hralign="center" o:hrstd="t" o:hr="t" fillcolor="#a0a0a0" stroked="f"/>
        </w:pict>
      </w:r>
    </w:p>
    <w:p w14:paraId="0F4D4103" w14:textId="77777777" w:rsidR="003D28B2" w:rsidRPr="003D28B2" w:rsidRDefault="003D28B2" w:rsidP="003D28B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High-Yield Exam Integration</w:t>
      </w:r>
      <w:r w:rsidRPr="003D28B2">
        <w:rPr>
          <w:rFonts w:ascii="Open Sans" w:eastAsia="Times New Roman" w:hAnsi="Open Sans" w:cs="Open Sans"/>
          <w:color w:val="000000" w:themeColor="text1"/>
          <w:kern w:val="0"/>
          <w:sz w:val="20"/>
          <w:szCs w:val="20"/>
          <w14:ligatures w14:val="none"/>
        </w:rPr>
        <w:br/>
        <w:t>Thyroid and adrenal disorders often present with overlapping symptoms such as fatigue and weight changes—lab interpretation is key</w:t>
      </w:r>
      <w:r w:rsidRPr="003D28B2">
        <w:rPr>
          <w:rFonts w:ascii="Open Sans" w:eastAsia="Times New Roman" w:hAnsi="Open Sans" w:cs="Open Sans"/>
          <w:color w:val="000000" w:themeColor="text1"/>
          <w:kern w:val="0"/>
          <w:sz w:val="20"/>
          <w:szCs w:val="20"/>
          <w14:ligatures w14:val="none"/>
        </w:rPr>
        <w:br/>
        <w:t>Primary endocrine disorders show abnormal hormone levels with appropriate pituitary response; secondary disorders show pituitary failure</w:t>
      </w:r>
      <w:r w:rsidRPr="003D28B2">
        <w:rPr>
          <w:rFonts w:ascii="Open Sans" w:eastAsia="Times New Roman" w:hAnsi="Open Sans" w:cs="Open Sans"/>
          <w:color w:val="000000" w:themeColor="text1"/>
          <w:kern w:val="0"/>
          <w:sz w:val="20"/>
          <w:szCs w:val="20"/>
          <w14:ligatures w14:val="none"/>
        </w:rPr>
        <w:br/>
        <w:t>Chronic RAAS activation worsens cardiovascular disease despite initial compensatory benefit</w:t>
      </w:r>
      <w:r w:rsidRPr="003D28B2">
        <w:rPr>
          <w:rFonts w:ascii="Open Sans" w:eastAsia="Times New Roman" w:hAnsi="Open Sans" w:cs="Open Sans"/>
          <w:color w:val="000000" w:themeColor="text1"/>
          <w:kern w:val="0"/>
          <w:sz w:val="20"/>
          <w:szCs w:val="20"/>
          <w14:ligatures w14:val="none"/>
        </w:rPr>
        <w:br/>
        <w:t>Exogenous steroid use suppresses the HPA axis and must be tapered to prevent adrenal crisis</w:t>
      </w:r>
    </w:p>
    <w:p w14:paraId="64D60334" w14:textId="77777777" w:rsidR="003D28B2" w:rsidRPr="003D28B2" w:rsidRDefault="003D28B2" w:rsidP="004F54CB">
      <w:pPr>
        <w:spacing w:after="100" w:afterAutospacing="1" w:line="240" w:lineRule="auto"/>
        <w:rPr>
          <w:rFonts w:ascii="Open Sans" w:eastAsia="Times New Roman" w:hAnsi="Open Sans" w:cs="Open Sans"/>
          <w:color w:val="000000" w:themeColor="text1"/>
          <w:kern w:val="0"/>
          <w:sz w:val="20"/>
          <w:szCs w:val="20"/>
          <w14:ligatures w14:val="none"/>
        </w:rPr>
      </w:pPr>
    </w:p>
    <w:p w14:paraId="2D84E5B1" w14:textId="77777777" w:rsidR="004F54CB" w:rsidRPr="003D28B2" w:rsidRDefault="004F54CB" w:rsidP="004F54CB">
      <w:pPr>
        <w:shd w:val="clear" w:color="auto" w:fill="EDEFF5"/>
        <w:spacing w:after="100" w:afterAutospacing="1" w:line="240" w:lineRule="auto"/>
        <w:outlineLvl w:val="3"/>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Problem-Based Learning Activities</w:t>
      </w:r>
    </w:p>
    <w:p w14:paraId="5E6C94A9"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List, and explain how, the major signs and symptoms (S&amp;S) of Type 1 diabetes reflect the underlying disordered physiology?</w:t>
      </w:r>
    </w:p>
    <w:p w14:paraId="068FFDAD"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List, and explain how, the major S&amp;S of Type 2 diabetes reflect the underlying disordered physiology?</w:t>
      </w:r>
    </w:p>
    <w:p w14:paraId="5D038700"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Insulin resistance and obesity have been linked to a variety of other disorders, including cardiovascular disease and dementia. Briefly summarize the unifying links between these disorders.</w:t>
      </w:r>
    </w:p>
    <w:p w14:paraId="6B5EEAD5"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is the link between thyroid dysfunction and diabetes?</w:t>
      </w:r>
    </w:p>
    <w:p w14:paraId="3363D36F"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are the underlying mechanisms through which poor glycemic control can result in diabetic neuropathies? What do </w:t>
      </w:r>
      <w:r w:rsidRPr="003D28B2">
        <w:rPr>
          <w:rFonts w:ascii="Open Sans" w:eastAsia="Times New Roman" w:hAnsi="Open Sans" w:cs="Open Sans"/>
          <w:i/>
          <w:iCs/>
          <w:color w:val="000000" w:themeColor="text1"/>
          <w:kern w:val="0"/>
          <w:sz w:val="20"/>
          <w:szCs w:val="20"/>
          <w14:ligatures w14:val="none"/>
        </w:rPr>
        <w:t>age</w:t>
      </w:r>
      <w:r w:rsidRPr="003D28B2">
        <w:rPr>
          <w:rFonts w:ascii="Open Sans" w:eastAsia="Times New Roman" w:hAnsi="Open Sans" w:cs="Open Sans"/>
          <w:color w:val="000000" w:themeColor="text1"/>
          <w:kern w:val="0"/>
          <w:sz w:val="20"/>
          <w:szCs w:val="20"/>
          <w14:ligatures w14:val="none"/>
        </w:rPr>
        <w:t> and </w:t>
      </w:r>
      <w:r w:rsidRPr="003D28B2">
        <w:rPr>
          <w:rFonts w:ascii="Open Sans" w:eastAsia="Times New Roman" w:hAnsi="Open Sans" w:cs="Open Sans"/>
          <w:i/>
          <w:iCs/>
          <w:color w:val="000000" w:themeColor="text1"/>
          <w:kern w:val="0"/>
          <w:sz w:val="20"/>
          <w:szCs w:val="20"/>
          <w14:ligatures w14:val="none"/>
        </w:rPr>
        <w:t>rage</w:t>
      </w:r>
      <w:r w:rsidRPr="003D28B2">
        <w:rPr>
          <w:rFonts w:ascii="Open Sans" w:eastAsia="Times New Roman" w:hAnsi="Open Sans" w:cs="Open Sans"/>
          <w:color w:val="000000" w:themeColor="text1"/>
          <w:kern w:val="0"/>
          <w:sz w:val="20"/>
          <w:szCs w:val="20"/>
          <w14:ligatures w14:val="none"/>
        </w:rPr>
        <w:t> refer to in this context?</w:t>
      </w:r>
    </w:p>
    <w:p w14:paraId="17B30BF0"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How do you decide when to taper steroid medication? Why is tapering sometimes necessary?</w:t>
      </w:r>
    </w:p>
    <w:p w14:paraId="4ADDBC05"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are some of the side effects of prolonged oral steroid use? Of topical steroids? Why do these side effects arise?</w:t>
      </w:r>
    </w:p>
    <w:p w14:paraId="3782F0BF"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Rationalize why a client with Grave’s disease is most likely to have high T3 and T4 levels, but low TSH.</w:t>
      </w:r>
    </w:p>
    <w:p w14:paraId="355A9C90"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is the most common cause of primary hypothyroidism?</w:t>
      </w:r>
    </w:p>
    <w:p w14:paraId="70351D98"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Hyperparathyroidism is characterized by elevated plasma calcium. What are the clinical manifestations of this disorder?</w:t>
      </w:r>
    </w:p>
    <w:p w14:paraId="40BD55E4"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are the S&amp;S involved in Cushing Syndrome? What tests can confirm it? How can you treat Cushing Syndrome?</w:t>
      </w:r>
    </w:p>
    <w:p w14:paraId="3A94E777"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When prescribing a corticosteroid, what information can you give the diabetic client regarding their blood sugar?</w:t>
      </w:r>
    </w:p>
    <w:p w14:paraId="7D809FB0"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are the S&amp;S of Addison’s Disease? What tests can confirm it? How can you treat Addison’s Disease?</w:t>
      </w:r>
    </w:p>
    <w:p w14:paraId="4A7B0C83" w14:textId="77777777" w:rsidR="004F54CB" w:rsidRPr="003D28B2" w:rsidRDefault="004F54CB" w:rsidP="004F54CB">
      <w:pPr>
        <w:numPr>
          <w:ilvl w:val="0"/>
          <w:numId w:val="68"/>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is the etiology and S&amp;S of </w:t>
      </w:r>
      <w:r w:rsidRPr="003D28B2">
        <w:rPr>
          <w:rFonts w:ascii="Open Sans" w:eastAsia="Times New Roman" w:hAnsi="Open Sans" w:cs="Open Sans"/>
          <w:i/>
          <w:iCs/>
          <w:color w:val="000000" w:themeColor="text1"/>
          <w:kern w:val="0"/>
          <w:sz w:val="20"/>
          <w:szCs w:val="20"/>
          <w14:ligatures w14:val="none"/>
        </w:rPr>
        <w:t>adrenal fatigue</w:t>
      </w:r>
      <w:r w:rsidRPr="003D28B2">
        <w:rPr>
          <w:rFonts w:ascii="Open Sans" w:eastAsia="Times New Roman" w:hAnsi="Open Sans" w:cs="Open Sans"/>
          <w:color w:val="000000" w:themeColor="text1"/>
          <w:kern w:val="0"/>
          <w:sz w:val="20"/>
          <w:szCs w:val="20"/>
          <w14:ligatures w14:val="none"/>
        </w:rPr>
        <w:t>?</w:t>
      </w:r>
    </w:p>
    <w:p w14:paraId="6D9BD4E1" w14:textId="77777777" w:rsidR="004F54CB" w:rsidRPr="003D28B2" w:rsidRDefault="004F54CB" w:rsidP="004F54CB">
      <w:pPr>
        <w:shd w:val="clear" w:color="auto" w:fill="EDEFF5"/>
        <w:spacing w:after="100" w:afterAutospacing="1" w:line="240" w:lineRule="auto"/>
        <w:outlineLvl w:val="3"/>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Guiding Questions</w:t>
      </w:r>
    </w:p>
    <w:p w14:paraId="0E42AD09" w14:textId="77777777" w:rsidR="004F54CB" w:rsidRPr="003D28B2" w:rsidRDefault="004F54CB" w:rsidP="004F54CB">
      <w:pPr>
        <w:numPr>
          <w:ilvl w:val="0"/>
          <w:numId w:val="69"/>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Can you link the signs and symptoms of diabetes with the underlying disordered physiology?</w:t>
      </w:r>
    </w:p>
    <w:p w14:paraId="2EF4D7F6" w14:textId="77777777" w:rsidR="004F54CB" w:rsidRPr="003D28B2" w:rsidRDefault="004F54CB" w:rsidP="004F54CB">
      <w:pPr>
        <w:numPr>
          <w:ilvl w:val="0"/>
          <w:numId w:val="69"/>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How is diabetes linked to micro- and macro-vascular complications?</w:t>
      </w:r>
    </w:p>
    <w:p w14:paraId="020DB9DC" w14:textId="77777777" w:rsidR="004F54CB" w:rsidRPr="003D28B2" w:rsidRDefault="004F54CB" w:rsidP="004F54CB">
      <w:pPr>
        <w:numPr>
          <w:ilvl w:val="0"/>
          <w:numId w:val="69"/>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Can you link the signs and symptoms of hyper- and hypo-</w:t>
      </w:r>
      <w:proofErr w:type="spellStart"/>
      <w:r w:rsidRPr="003D28B2">
        <w:rPr>
          <w:rFonts w:ascii="Open Sans" w:eastAsia="Times New Roman" w:hAnsi="Open Sans" w:cs="Open Sans"/>
          <w:color w:val="000000" w:themeColor="text1"/>
          <w:kern w:val="0"/>
          <w:sz w:val="20"/>
          <w:szCs w:val="20"/>
          <w14:ligatures w14:val="none"/>
        </w:rPr>
        <w:t>thyroidism</w:t>
      </w:r>
      <w:proofErr w:type="spellEnd"/>
      <w:r w:rsidRPr="003D28B2">
        <w:rPr>
          <w:rFonts w:ascii="Open Sans" w:eastAsia="Times New Roman" w:hAnsi="Open Sans" w:cs="Open Sans"/>
          <w:color w:val="000000" w:themeColor="text1"/>
          <w:kern w:val="0"/>
          <w:sz w:val="20"/>
          <w:szCs w:val="20"/>
          <w14:ligatures w14:val="none"/>
        </w:rPr>
        <w:t xml:space="preserve"> with the underlying disordered physiology?</w:t>
      </w:r>
    </w:p>
    <w:p w14:paraId="639FD6F4" w14:textId="77777777" w:rsidR="004F54CB" w:rsidRPr="003D28B2" w:rsidRDefault="004F54CB" w:rsidP="004F54CB">
      <w:pPr>
        <w:numPr>
          <w:ilvl w:val="0"/>
          <w:numId w:val="69"/>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What are the gold standards for diagnosing diabetes mellitus (Types 1 and 2) and thyroid dysfunction?</w:t>
      </w:r>
    </w:p>
    <w:p w14:paraId="20646C05"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1) Type 1 diabetes: major S&amp;S and how they reflect physiology</w:t>
      </w:r>
    </w:p>
    <w:p w14:paraId="4790C984" w14:textId="77777777" w:rsidR="004F54CB" w:rsidRPr="003D28B2" w:rsidRDefault="004F54CB" w:rsidP="004F54CB">
      <w:pPr>
        <w:numPr>
          <w:ilvl w:val="0"/>
          <w:numId w:val="7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Polyuria: hyperglycemia exceeds renal threshold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osmotic diuresis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urine output.</w:t>
      </w:r>
    </w:p>
    <w:p w14:paraId="188FB4A8" w14:textId="77777777" w:rsidR="004F54CB" w:rsidRPr="003D28B2" w:rsidRDefault="004F54CB" w:rsidP="004F54CB">
      <w:pPr>
        <w:numPr>
          <w:ilvl w:val="0"/>
          <w:numId w:val="7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Polydipsia: water loss + hyperosmolarity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hypothalamic thirst drive.</w:t>
      </w:r>
    </w:p>
    <w:p w14:paraId="5C12537E" w14:textId="77777777" w:rsidR="004F54CB" w:rsidRPr="003D28B2" w:rsidRDefault="004F54CB" w:rsidP="004F54CB">
      <w:pPr>
        <w:numPr>
          <w:ilvl w:val="0"/>
          <w:numId w:val="7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Weight loss (often rapid): absolute insulin deficiency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lipolysis + proteolysis (catabolism) + caloric loss in urine.</w:t>
      </w:r>
    </w:p>
    <w:p w14:paraId="4619E708" w14:textId="77777777" w:rsidR="004F54CB" w:rsidRPr="003D28B2" w:rsidRDefault="004F54CB" w:rsidP="004F54CB">
      <w:pPr>
        <w:numPr>
          <w:ilvl w:val="0"/>
          <w:numId w:val="7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Polyphagia: cellular “starvation” despite high plasma glucose.</w:t>
      </w:r>
    </w:p>
    <w:p w14:paraId="6AC10B13" w14:textId="77777777" w:rsidR="004F54CB" w:rsidRPr="003D28B2" w:rsidRDefault="004F54CB" w:rsidP="004F54CB">
      <w:pPr>
        <w:numPr>
          <w:ilvl w:val="0"/>
          <w:numId w:val="7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Fatigue/weakness: impaired glucose uptake + dehydration.</w:t>
      </w:r>
    </w:p>
    <w:p w14:paraId="0AD2CAB2" w14:textId="77777777" w:rsidR="004F54CB" w:rsidRPr="003D28B2" w:rsidRDefault="004F54CB" w:rsidP="004F54CB">
      <w:pPr>
        <w:numPr>
          <w:ilvl w:val="0"/>
          <w:numId w:val="7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 xml:space="preserve">DKA signs (abdominal pain, N/V, fruity breath, Kussmaul respirations): insulin deficiency + counterregulatory hormones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ketogenesis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metabolic acidosis.</w:t>
      </w:r>
    </w:p>
    <w:p w14:paraId="53B6CCA1"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(Clinical diagnosis criteria for diabetes: see #4 “gold standards.”) </w:t>
      </w:r>
    </w:p>
    <w:p w14:paraId="26D51EA5"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62C97D44">
          <v:rect id="_x0000_i1038" alt="" style="width:468pt;height:.05pt;mso-width-percent:0;mso-height-percent:0;mso-width-percent:0;mso-height-percent:0" o:hralign="center" o:hrstd="t" o:hr="t" fillcolor="#a0a0a0" stroked="f"/>
        </w:pict>
      </w:r>
    </w:p>
    <w:p w14:paraId="590577D5"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2) Type 2 diabetes: major S&amp;S and how they reflect physiology</w:t>
      </w:r>
    </w:p>
    <w:p w14:paraId="41D302B1" w14:textId="77777777" w:rsidR="004F54CB" w:rsidRPr="003D28B2" w:rsidRDefault="004F54CB" w:rsidP="004F54CB">
      <w:pPr>
        <w:numPr>
          <w:ilvl w:val="0"/>
          <w:numId w:val="7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Often asymptomatic early: gradual onset; hyperglycemia develops slowly.</w:t>
      </w:r>
    </w:p>
    <w:p w14:paraId="571B11BF" w14:textId="77777777" w:rsidR="004F54CB" w:rsidRPr="003D28B2" w:rsidRDefault="004F54CB" w:rsidP="004F54CB">
      <w:pPr>
        <w:numPr>
          <w:ilvl w:val="0"/>
          <w:numId w:val="7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Polyuria/polydipsia (when glucose high enough): osmotic diuresis as above.</w:t>
      </w:r>
    </w:p>
    <w:p w14:paraId="4484B73C" w14:textId="77777777" w:rsidR="004F54CB" w:rsidRPr="003D28B2" w:rsidRDefault="004F54CB" w:rsidP="004F54CB">
      <w:pPr>
        <w:numPr>
          <w:ilvl w:val="0"/>
          <w:numId w:val="7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Blurred vision: lens osmotic shifts; refractive changes.</w:t>
      </w:r>
    </w:p>
    <w:p w14:paraId="32765363" w14:textId="77777777" w:rsidR="004F54CB" w:rsidRPr="003D28B2" w:rsidRDefault="004F54CB" w:rsidP="004F54CB">
      <w:pPr>
        <w:numPr>
          <w:ilvl w:val="0"/>
          <w:numId w:val="7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Recurrent infections / poor wound healing: hyperglycemia impairs neutrophil function and microvascular perfusion.</w:t>
      </w:r>
    </w:p>
    <w:p w14:paraId="0069C799" w14:textId="77777777" w:rsidR="004F54CB" w:rsidRPr="003D28B2" w:rsidRDefault="004F54CB" w:rsidP="004F54CB">
      <w:pPr>
        <w:numPr>
          <w:ilvl w:val="0"/>
          <w:numId w:val="7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Acanthosis nigricans: hyperinsulinemia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epidermal/dermal growth signaling.</w:t>
      </w:r>
    </w:p>
    <w:p w14:paraId="751AE8C2" w14:textId="77777777" w:rsidR="004F54CB" w:rsidRPr="003D28B2" w:rsidRDefault="004F54CB" w:rsidP="004F54CB">
      <w:pPr>
        <w:numPr>
          <w:ilvl w:val="0"/>
          <w:numId w:val="7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Fatigue: impaired glucose utilization + sleep disruption (nocturia).</w:t>
      </w:r>
      <w:r w:rsidRPr="003D28B2">
        <w:rPr>
          <w:rFonts w:ascii="Open Sans" w:eastAsia="Times New Roman" w:hAnsi="Open Sans" w:cs="Open Sans"/>
          <w:color w:val="000000" w:themeColor="text1"/>
          <w:kern w:val="0"/>
          <w:sz w:val="20"/>
          <w:szCs w:val="20"/>
          <w14:ligatures w14:val="none"/>
        </w:rPr>
        <w:br/>
        <w:t xml:space="preserve">Underlying physiology: insulin resistance with progressive β-cell dysfunction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relative insulin deficiency.</w:t>
      </w:r>
    </w:p>
    <w:p w14:paraId="246052D1"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5AC2FB19">
          <v:rect id="_x0000_i1037" alt="" style="width:468pt;height:.05pt;mso-width-percent:0;mso-height-percent:0;mso-width-percent:0;mso-height-percent:0" o:hralign="center" o:hrstd="t" o:hr="t" fillcolor="#a0a0a0" stroked="f"/>
        </w:pict>
      </w:r>
    </w:p>
    <w:p w14:paraId="1E55D2DA"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3) Unifying links: insulin resistance/obesity </w:t>
      </w:r>
      <w:r w:rsidRPr="003D28B2">
        <w:rPr>
          <w:rFonts w:ascii="Apple Color Emoji" w:eastAsia="Times New Roman" w:hAnsi="Apple Color Emoji" w:cs="Apple Color Emoji"/>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CVD and dementia</w:t>
      </w:r>
    </w:p>
    <w:p w14:paraId="5D86AE24"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Shared mechanisms:</w:t>
      </w:r>
    </w:p>
    <w:p w14:paraId="12D376B8" w14:textId="77777777" w:rsidR="004F54CB" w:rsidRPr="003D28B2" w:rsidRDefault="004F54CB" w:rsidP="004F54CB">
      <w:pPr>
        <w:numPr>
          <w:ilvl w:val="0"/>
          <w:numId w:val="7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Chronic low-grade inflammation (adipose macrophage cytokines)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endothelial dysfunction and neuronal injury.</w:t>
      </w:r>
    </w:p>
    <w:p w14:paraId="557E29F0" w14:textId="77777777" w:rsidR="004F54CB" w:rsidRPr="003D28B2" w:rsidRDefault="004F54CB" w:rsidP="004F54CB">
      <w:pPr>
        <w:numPr>
          <w:ilvl w:val="0"/>
          <w:numId w:val="7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Dyslipidemia + hypertension + endothelial dysfunction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accelerated atherosclerosis (macrovascular disease) and cerebral small vessel disease. </w:t>
      </w:r>
    </w:p>
    <w:p w14:paraId="641BC5C2" w14:textId="77777777" w:rsidR="004F54CB" w:rsidRPr="003D28B2" w:rsidRDefault="004F54CB" w:rsidP="004F54CB">
      <w:pPr>
        <w:numPr>
          <w:ilvl w:val="0"/>
          <w:numId w:val="7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Oxidative stress + AGEs/RAGE signaling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vascular damage and neurodegenerative pathways (including Alzheimer-related processes). </w:t>
      </w:r>
    </w:p>
    <w:p w14:paraId="187EA10F" w14:textId="77777777" w:rsidR="004F54CB" w:rsidRPr="003D28B2" w:rsidRDefault="004F54CB" w:rsidP="004F54CB">
      <w:pPr>
        <w:numPr>
          <w:ilvl w:val="0"/>
          <w:numId w:val="7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“Brain insulin resistance”: impaired insulin signaling affects synaptic plasticity and may worsen amyloid/tau pathways. </w:t>
      </w:r>
    </w:p>
    <w:p w14:paraId="4CF58069"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42164630">
          <v:rect id="_x0000_i1036" alt="" style="width:468pt;height:.05pt;mso-width-percent:0;mso-height-percent:0;mso-width-percent:0;mso-height-percent:0" o:hralign="center" o:hrstd="t" o:hr="t" fillcolor="#a0a0a0" stroked="f"/>
        </w:pict>
      </w:r>
    </w:p>
    <w:p w14:paraId="014C0C52"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4) Link between thyroid dysfunction and diabetes</w:t>
      </w:r>
    </w:p>
    <w:p w14:paraId="5D8166E6" w14:textId="77777777" w:rsidR="004F54CB" w:rsidRPr="003D28B2" w:rsidRDefault="004F54CB" w:rsidP="004F54CB">
      <w:pPr>
        <w:numPr>
          <w:ilvl w:val="0"/>
          <w:numId w:val="7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Autoimmune clustering: Type 1 DM commonly coexists with autoimmune thyroid disease (shared autoimmune risk). </w:t>
      </w:r>
    </w:p>
    <w:p w14:paraId="48557FD7" w14:textId="77777777" w:rsidR="004F54CB" w:rsidRPr="003D28B2" w:rsidRDefault="004F54CB" w:rsidP="004F54CB">
      <w:pPr>
        <w:numPr>
          <w:ilvl w:val="0"/>
          <w:numId w:val="7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Metabolic effects:</w:t>
      </w:r>
    </w:p>
    <w:p w14:paraId="13162AD5" w14:textId="77777777" w:rsidR="004F54CB" w:rsidRPr="003D28B2" w:rsidRDefault="004F54CB" w:rsidP="004F54CB">
      <w:pPr>
        <w:numPr>
          <w:ilvl w:val="1"/>
          <w:numId w:val="7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Hyperthyroidism increases hepatic glucose output and can worsen glycemic control / increase insulin needs. </w:t>
      </w:r>
    </w:p>
    <w:p w14:paraId="5475EB0B" w14:textId="77777777" w:rsidR="004F54CB" w:rsidRPr="003D28B2" w:rsidRDefault="004F54CB" w:rsidP="004F54CB">
      <w:pPr>
        <w:numPr>
          <w:ilvl w:val="1"/>
          <w:numId w:val="7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Hypothyroidism may lower insulin requirements; when hypothyroidism is treated with levothyroxine, insulin requirements can rise. </w:t>
      </w:r>
    </w:p>
    <w:p w14:paraId="4AC6F1A4"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33CF66A4">
          <v:rect id="_x0000_i1035" alt="" style="width:468pt;height:.05pt;mso-width-percent:0;mso-height-percent:0;mso-width-percent:0;mso-height-percent:0" o:hralign="center" o:hrstd="t" o:hr="t" fillcolor="#a0a0a0" stroked="f"/>
        </w:pict>
      </w:r>
    </w:p>
    <w:p w14:paraId="4D3108F4"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5) Mechanisms of diabetic neuropathy; what “AGE” and “RAGE” mean</w:t>
      </w:r>
    </w:p>
    <w:p w14:paraId="6D315374"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Mechanisms (major buckets):</w:t>
      </w:r>
    </w:p>
    <w:p w14:paraId="185B68AD" w14:textId="77777777" w:rsidR="004F54CB" w:rsidRPr="003D28B2" w:rsidRDefault="004F54CB" w:rsidP="004F54CB">
      <w:pPr>
        <w:numPr>
          <w:ilvl w:val="0"/>
          <w:numId w:val="7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Metabolic injury: polyol pathway activation, PKC/hexosamine pathways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oxidative stress, mitochondrial dysfunction.</w:t>
      </w:r>
    </w:p>
    <w:p w14:paraId="05CB7F1B" w14:textId="77777777" w:rsidR="004F54CB" w:rsidRPr="003D28B2" w:rsidRDefault="004F54CB" w:rsidP="004F54CB">
      <w:pPr>
        <w:numPr>
          <w:ilvl w:val="0"/>
          <w:numId w:val="7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AGE formation: chronic hyperglycemia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non-enzymatic glycation of proteins/lipids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structural + inflammatory damage.</w:t>
      </w:r>
    </w:p>
    <w:p w14:paraId="6AD7E282" w14:textId="77777777" w:rsidR="004F54CB" w:rsidRPr="003D28B2" w:rsidRDefault="004F54CB" w:rsidP="004F54CB">
      <w:pPr>
        <w:numPr>
          <w:ilvl w:val="0"/>
          <w:numId w:val="7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Microvascular ischemia: endothelial dysfunction reduces nerve perfusion.</w:t>
      </w:r>
    </w:p>
    <w:p w14:paraId="77197BCD" w14:textId="77777777" w:rsidR="004F54CB" w:rsidRPr="003D28B2" w:rsidRDefault="004F54CB" w:rsidP="004F54CB">
      <w:pPr>
        <w:numPr>
          <w:ilvl w:val="0"/>
          <w:numId w:val="7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Neuroinflammation: cytokines and ROS amplify injury. </w:t>
      </w:r>
    </w:p>
    <w:p w14:paraId="27AF5AF0"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AGE = </w:t>
      </w:r>
      <w:r w:rsidRPr="003D28B2">
        <w:rPr>
          <w:rFonts w:ascii="Open Sans" w:eastAsia="Times New Roman" w:hAnsi="Open Sans" w:cs="Open Sans"/>
          <w:i/>
          <w:iCs/>
          <w:color w:val="000000" w:themeColor="text1"/>
          <w:kern w:val="0"/>
          <w:sz w:val="20"/>
          <w:szCs w:val="20"/>
          <w14:ligatures w14:val="none"/>
        </w:rPr>
        <w:t>advanced glycation end products.</w:t>
      </w:r>
      <w:r w:rsidRPr="003D28B2">
        <w:rPr>
          <w:rFonts w:ascii="Open Sans" w:eastAsia="Times New Roman" w:hAnsi="Open Sans" w:cs="Open Sans"/>
          <w:color w:val="000000" w:themeColor="text1"/>
          <w:kern w:val="0"/>
          <w:sz w:val="20"/>
          <w:szCs w:val="20"/>
          <w14:ligatures w14:val="none"/>
        </w:rPr>
        <w:br/>
        <w:t>RAGE = </w:t>
      </w:r>
      <w:r w:rsidRPr="003D28B2">
        <w:rPr>
          <w:rFonts w:ascii="Open Sans" w:eastAsia="Times New Roman" w:hAnsi="Open Sans" w:cs="Open Sans"/>
          <w:i/>
          <w:iCs/>
          <w:color w:val="000000" w:themeColor="text1"/>
          <w:kern w:val="0"/>
          <w:sz w:val="20"/>
          <w:szCs w:val="20"/>
          <w14:ligatures w14:val="none"/>
        </w:rPr>
        <w:t>receptor for advanced glycation end products</w:t>
      </w:r>
      <w:r w:rsidRPr="003D28B2">
        <w:rPr>
          <w:rFonts w:ascii="Open Sans" w:eastAsia="Times New Roman" w:hAnsi="Open Sans" w:cs="Open Sans"/>
          <w:color w:val="000000" w:themeColor="text1"/>
          <w:kern w:val="0"/>
          <w:sz w:val="20"/>
          <w:szCs w:val="20"/>
          <w14:ligatures w14:val="none"/>
        </w:rPr>
        <w:t>; AGE–RAGE binding drives inflammation/ROS signaling. </w:t>
      </w:r>
    </w:p>
    <w:p w14:paraId="0D407F95"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12984952">
          <v:rect id="_x0000_i1034" alt="" style="width:468pt;height:.05pt;mso-width-percent:0;mso-height-percent:0;mso-width-percent:0;mso-height-percent:0" o:hralign="center" o:hrstd="t" o:hr="t" fillcolor="#a0a0a0" stroked="f"/>
        </w:pict>
      </w:r>
    </w:p>
    <w:p w14:paraId="7E6B3B29"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6) When to taper steroids; why tapering is sometimes necessary</w:t>
      </w:r>
    </w:p>
    <w:p w14:paraId="72C99166"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You taper when there is meaningful risk of HPA-axis suppression (and/or disease flare if stopped abruptly).</w:t>
      </w:r>
    </w:p>
    <w:p w14:paraId="39DBD97C" w14:textId="77777777" w:rsidR="004F54CB" w:rsidRPr="003D28B2" w:rsidRDefault="004F54CB" w:rsidP="004F54CB">
      <w:pPr>
        <w:numPr>
          <w:ilvl w:val="0"/>
          <w:numId w:val="7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Short courses: &lt;3–4 weeks generally do not require tapering. </w:t>
      </w:r>
    </w:p>
    <w:p w14:paraId="42334562" w14:textId="77777777" w:rsidR="004F54CB" w:rsidRPr="003D28B2" w:rsidRDefault="004F54CB" w:rsidP="004F54CB">
      <w:pPr>
        <w:numPr>
          <w:ilvl w:val="0"/>
          <w:numId w:val="7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Longer courses: &gt;3–4 weeks or repeated/high-dose exposure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taper to prevent glucocorticoid-induced adrenal insufficiency and allow adrenal recovery. </w:t>
      </w:r>
    </w:p>
    <w:p w14:paraId="43F9AA8D"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7620C2E8">
          <v:rect id="_x0000_i1033" alt="" style="width:468pt;height:.05pt;mso-width-percent:0;mso-height-percent:0;mso-width-percent:0;mso-height-percent:0" o:hralign="center" o:hrstd="t" o:hr="t" fillcolor="#a0a0a0" stroked="f"/>
        </w:pict>
      </w:r>
    </w:p>
    <w:p w14:paraId="5C10B6EB"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7) Side effects: prolonged oral steroids vs topical; why they occur</w:t>
      </w:r>
    </w:p>
    <w:p w14:paraId="08462B18"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Prolonged oral/systemic steroids (dose/duration dependent):</w:t>
      </w:r>
    </w:p>
    <w:p w14:paraId="06EFE368"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Hyperglycemia/diabetes, weight gain, Cushingoid features</w:t>
      </w:r>
    </w:p>
    <w:p w14:paraId="3BF3BC49"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Osteoporosis/fractures, myopathy</w:t>
      </w:r>
    </w:p>
    <w:p w14:paraId="108B1C82"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Immunosuppression/infection risk</w:t>
      </w:r>
    </w:p>
    <w:p w14:paraId="43D14E7D"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Mood/psychiatric effects, insomnia</w:t>
      </w:r>
    </w:p>
    <w:p w14:paraId="4FBCF224"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Cataracts/glaucoma</w:t>
      </w:r>
    </w:p>
    <w:p w14:paraId="1EA23C07"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Hypertension, fluid retention, GI effects</w:t>
      </w:r>
    </w:p>
    <w:p w14:paraId="50E59010" w14:textId="77777777" w:rsidR="004F54CB" w:rsidRPr="003D28B2" w:rsidRDefault="004F54CB" w:rsidP="004F54CB">
      <w:pPr>
        <w:numPr>
          <w:ilvl w:val="0"/>
          <w:numId w:val="7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Adrenal suppression</w:t>
      </w:r>
    </w:p>
    <w:p w14:paraId="11D4A682"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Topical steroids:</w:t>
      </w:r>
    </w:p>
    <w:p w14:paraId="260483E6" w14:textId="77777777" w:rsidR="004F54CB" w:rsidRPr="003D28B2" w:rsidRDefault="004F54CB" w:rsidP="004F54CB">
      <w:pPr>
        <w:numPr>
          <w:ilvl w:val="0"/>
          <w:numId w:val="7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Local skin atrophy, striae, telangiectasia, acne/rosacea, hypopigmentation; with potent/prolonged/large-area use: possible systemic absorption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HPA suppression (especially in children or occlusion). (Mechanism: local catabolic effects on dermal collagen + anti-mitotic effects; systemic effects from absorption.) </w:t>
      </w:r>
    </w:p>
    <w:p w14:paraId="1644CAA6"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lastRenderedPageBreak/>
        <w:pict w14:anchorId="1819ADC4">
          <v:rect id="_x0000_i1032" alt="" style="width:468pt;height:.05pt;mso-width-percent:0;mso-height-percent:0;mso-width-percent:0;mso-height-percent:0" o:hralign="center" o:hrstd="t" o:hr="t" fillcolor="#a0a0a0" stroked="f"/>
        </w:pict>
      </w:r>
    </w:p>
    <w:p w14:paraId="681F0FB4"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8) Graves: why high T3/T4 but low TSH</w:t>
      </w:r>
    </w:p>
    <w:p w14:paraId="0AAA5E96"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Graves is driven by TSH-receptor–stimulating antibodies (TSI/TRAb)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thyroid overproduces T3/T4 independent of pituitary control; elevated T3/T4 then suppress pituitary TSH via negative feedback. </w:t>
      </w:r>
    </w:p>
    <w:p w14:paraId="44FB4D13"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153021CA">
          <v:rect id="_x0000_i1031" alt="" style="width:468pt;height:.05pt;mso-width-percent:0;mso-height-percent:0;mso-width-percent:0;mso-height-percent:0" o:hralign="center" o:hrstd="t" o:hr="t" fillcolor="#a0a0a0" stroked="f"/>
        </w:pict>
      </w:r>
    </w:p>
    <w:p w14:paraId="77C8AEA9"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9) Most common cause of primary hypothyroidism</w:t>
      </w:r>
    </w:p>
    <w:p w14:paraId="68E184A6"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Hashimoto thyroiditis (chronic autoimmune thyroiditis) is the most common cause in developed countries. </w:t>
      </w:r>
    </w:p>
    <w:p w14:paraId="2EAACCDE"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6E8B5060">
          <v:rect id="_x0000_i1030" alt="" style="width:468pt;height:.05pt;mso-width-percent:0;mso-height-percent:0;mso-width-percent:0;mso-height-percent:0" o:hralign="center" o:hrstd="t" o:hr="t" fillcolor="#a0a0a0" stroked="f"/>
        </w:pict>
      </w:r>
    </w:p>
    <w:p w14:paraId="69821E16"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10) Hyperparathyroidism (hypercalcemia): clinical manifestations</w:t>
      </w:r>
    </w:p>
    <w:p w14:paraId="3FC93019"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Hypercalcemia classically causes:</w:t>
      </w:r>
    </w:p>
    <w:p w14:paraId="2446FD76" w14:textId="77777777" w:rsidR="004F54CB" w:rsidRPr="003D28B2" w:rsidRDefault="004F54CB" w:rsidP="004F54CB">
      <w:pPr>
        <w:numPr>
          <w:ilvl w:val="0"/>
          <w:numId w:val="7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Renal: nephrolithiasis, polyuria/polydipsia (concentrating defect)</w:t>
      </w:r>
    </w:p>
    <w:p w14:paraId="52764B31" w14:textId="77777777" w:rsidR="004F54CB" w:rsidRPr="003D28B2" w:rsidRDefault="004F54CB" w:rsidP="004F54CB">
      <w:pPr>
        <w:numPr>
          <w:ilvl w:val="0"/>
          <w:numId w:val="7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Skeletal: bone pain, low bone density, fractures</w:t>
      </w:r>
    </w:p>
    <w:p w14:paraId="1F2F80E7" w14:textId="77777777" w:rsidR="004F54CB" w:rsidRPr="003D28B2" w:rsidRDefault="004F54CB" w:rsidP="004F54CB">
      <w:pPr>
        <w:numPr>
          <w:ilvl w:val="0"/>
          <w:numId w:val="7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GI: constipation, nausea, abdominal pain</w:t>
      </w:r>
    </w:p>
    <w:p w14:paraId="7C70D92F" w14:textId="77777777" w:rsidR="004F54CB" w:rsidRPr="003D28B2" w:rsidRDefault="004F54CB" w:rsidP="004F54CB">
      <w:pPr>
        <w:numPr>
          <w:ilvl w:val="0"/>
          <w:numId w:val="7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Neuropsychiatric: fatigue, depression, cognitive changes</w:t>
      </w:r>
    </w:p>
    <w:p w14:paraId="1048D3EB" w14:textId="77777777" w:rsidR="004F54CB" w:rsidRPr="003D28B2" w:rsidRDefault="004F54CB" w:rsidP="004F54CB">
      <w:pPr>
        <w:numPr>
          <w:ilvl w:val="0"/>
          <w:numId w:val="7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Cardiac: arrhythmias/shortened QT (clinically relevant). </w:t>
      </w:r>
    </w:p>
    <w:p w14:paraId="54F68ACD"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39CA4DBE">
          <v:rect id="_x0000_i1029" alt="" style="width:468pt;height:.05pt;mso-width-percent:0;mso-height-percent:0;mso-width-percent:0;mso-height-percent:0" o:hralign="center" o:hrstd="t" o:hr="t" fillcolor="#a0a0a0" stroked="f"/>
        </w:pict>
      </w:r>
    </w:p>
    <w:p w14:paraId="1137CFAA"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11) Cushing syndrome: S&amp;S, confirmatory tests, treatment</w:t>
      </w:r>
    </w:p>
    <w:p w14:paraId="25266388"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S&amp;S (hypercortisolism): central obesity, proximal myopathy, thin skin/easy bruising, purple striae, hypertension, glucose intolerance/diabetes, mood changes, osteoporosis, infections; ± hirsutism/menstrual changes.</w:t>
      </w:r>
      <w:r w:rsidRPr="003D28B2">
        <w:rPr>
          <w:rFonts w:ascii="Open Sans" w:eastAsia="Times New Roman" w:hAnsi="Open Sans" w:cs="Open Sans"/>
          <w:color w:val="000000" w:themeColor="text1"/>
          <w:kern w:val="0"/>
          <w:sz w:val="20"/>
          <w:szCs w:val="20"/>
          <w14:ligatures w14:val="none"/>
        </w:rPr>
        <w:br/>
        <w:t>Screening/confirmation (typical first-line tests):</w:t>
      </w:r>
    </w:p>
    <w:p w14:paraId="4CC529C7" w14:textId="77777777" w:rsidR="004F54CB" w:rsidRPr="003D28B2" w:rsidRDefault="004F54CB" w:rsidP="004F54CB">
      <w:pPr>
        <w:numPr>
          <w:ilvl w:val="0"/>
          <w:numId w:val="7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24-hour urinary free cortisol</w:t>
      </w:r>
    </w:p>
    <w:p w14:paraId="42E09B2C" w14:textId="77777777" w:rsidR="004F54CB" w:rsidRPr="003D28B2" w:rsidRDefault="004F54CB" w:rsidP="004F54CB">
      <w:pPr>
        <w:numPr>
          <w:ilvl w:val="0"/>
          <w:numId w:val="7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Late-night salivary cortisol</w:t>
      </w:r>
    </w:p>
    <w:p w14:paraId="3DADC5B2" w14:textId="77777777" w:rsidR="004F54CB" w:rsidRPr="003D28B2" w:rsidRDefault="004F54CB" w:rsidP="004F54CB">
      <w:pPr>
        <w:numPr>
          <w:ilvl w:val="0"/>
          <w:numId w:val="7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Low-dose dexamethasone suppression test</w:t>
      </w:r>
      <w:r w:rsidRPr="003D28B2">
        <w:rPr>
          <w:rFonts w:ascii="Open Sans" w:eastAsia="Times New Roman" w:hAnsi="Open Sans" w:cs="Open Sans"/>
          <w:color w:val="000000" w:themeColor="text1"/>
          <w:kern w:val="0"/>
          <w:sz w:val="20"/>
          <w:szCs w:val="20"/>
          <w14:ligatures w14:val="none"/>
        </w:rPr>
        <w:br/>
        <w:t>Treatment: address cause (e.g., pituitary/adrenal tumor surgery ± radiation; medical cortisol-lowering therapy when indicated; stop exogenous steroids if iatrogenic). </w:t>
      </w:r>
    </w:p>
    <w:p w14:paraId="4E8607EB"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3B6BE896">
          <v:rect id="_x0000_i1028" alt="" style="width:468pt;height:.05pt;mso-width-percent:0;mso-height-percent:0;mso-width-percent:0;mso-height-percent:0" o:hralign="center" o:hrstd="t" o:hr="t" fillcolor="#a0a0a0" stroked="f"/>
        </w:pict>
      </w:r>
    </w:p>
    <w:p w14:paraId="06EA9C70"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12) Counseling a diabetic client prescribed corticosteroids (blood sugar)</w:t>
      </w:r>
    </w:p>
    <w:p w14:paraId="718034E6"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Key points:</w:t>
      </w:r>
    </w:p>
    <w:p w14:paraId="5E7A4EF1" w14:textId="77777777" w:rsidR="004F54CB" w:rsidRPr="003D28B2" w:rsidRDefault="004F54CB" w:rsidP="004F54CB">
      <w:pPr>
        <w:numPr>
          <w:ilvl w:val="0"/>
          <w:numId w:val="8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Steroids often raise glucose by increasing insulin resistance and hepatic glucose output.</w:t>
      </w:r>
    </w:p>
    <w:p w14:paraId="15336944" w14:textId="77777777" w:rsidR="004F54CB" w:rsidRPr="003D28B2" w:rsidRDefault="004F54CB" w:rsidP="004F54CB">
      <w:pPr>
        <w:numPr>
          <w:ilvl w:val="0"/>
          <w:numId w:val="8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Pattern: with morning dosing, glucose often rises later in the day (post-lunch/afternoon/evening). </w:t>
      </w:r>
    </w:p>
    <w:p w14:paraId="705A16E3" w14:textId="77777777" w:rsidR="004F54CB" w:rsidRPr="003D28B2" w:rsidRDefault="004F54CB" w:rsidP="004F54CB">
      <w:pPr>
        <w:numPr>
          <w:ilvl w:val="0"/>
          <w:numId w:val="8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Advise more frequent SMBG/CGM checks, and anticipate temporary medication/insulin adjustments, especially during dose changes and for several days after stopping/tapering. </w:t>
      </w:r>
    </w:p>
    <w:p w14:paraId="4B2D03B7"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1EFFCC0A">
          <v:rect id="_x0000_i1027" alt="" style="width:468pt;height:.05pt;mso-width-percent:0;mso-height-percent:0;mso-width-percent:0;mso-height-percent:0" o:hralign="center" o:hrstd="t" o:hr="t" fillcolor="#a0a0a0" stroked="f"/>
        </w:pict>
      </w:r>
    </w:p>
    <w:p w14:paraId="18F46A0F"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13) Addison’s disease: S&amp;S, tests, treatment</w:t>
      </w:r>
    </w:p>
    <w:p w14:paraId="73958E79"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S&amp;S (primary adrenal insufficiency): fatigue/weakness, weight loss, nausea/vomiting, abdominal pain, orthostatic hypotension, hyperpigmentation, salt craving; labs often show hyponatremia, hyperkalemia. </w:t>
      </w:r>
      <w:r w:rsidRPr="003D28B2">
        <w:rPr>
          <w:rFonts w:ascii="Open Sans" w:eastAsia="Times New Roman" w:hAnsi="Open Sans" w:cs="Open Sans"/>
          <w:color w:val="000000" w:themeColor="text1"/>
          <w:kern w:val="0"/>
          <w:sz w:val="20"/>
          <w:szCs w:val="20"/>
          <w14:ligatures w14:val="none"/>
        </w:rPr>
        <w:br/>
        <w:t>Confirmatory test: ACTH (cosyntropin) stimulation test showing inadequate cortisol response (with high ACTH in primary disease). </w:t>
      </w:r>
      <w:r w:rsidRPr="003D28B2">
        <w:rPr>
          <w:rFonts w:ascii="Open Sans" w:eastAsia="Times New Roman" w:hAnsi="Open Sans" w:cs="Open Sans"/>
          <w:color w:val="000000" w:themeColor="text1"/>
          <w:kern w:val="0"/>
          <w:sz w:val="20"/>
          <w:szCs w:val="20"/>
          <w14:ligatures w14:val="none"/>
        </w:rPr>
        <w:br/>
        <w:t>Treatment: glucocorticoid replacement (and mineralocorticoid replacement when aldosterone deficient), plus stress-dose planning for illness/surgery. </w:t>
      </w:r>
    </w:p>
    <w:p w14:paraId="4B87ADAB"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7CACB94A">
          <v:rect id="_x0000_i1026" alt="" style="width:468pt;height:.05pt;mso-width-percent:0;mso-height-percent:0;mso-width-percent:0;mso-height-percent:0" o:hralign="center" o:hrstd="t" o:hr="t" fillcolor="#a0a0a0" stroked="f"/>
        </w:pict>
      </w:r>
    </w:p>
    <w:p w14:paraId="2F1E60C0"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14) “Adrenal fatigue”: etiology and S&amp;S</w:t>
      </w:r>
    </w:p>
    <w:p w14:paraId="3B72613E"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Mainstream endocrinology: “adrenal fatigue” is not a recognized medical diagnosis; symptoms attributed to it (fatigue, “brain fog,” low energy, sleep disturbance, cravings) are nonspecific and require evaluation for real causes (e.g., adrenal insufficiency, depression, sleep apnea, anemia, thyroid disease). </w:t>
      </w:r>
    </w:p>
    <w:p w14:paraId="2E0969E8" w14:textId="77777777" w:rsidR="004F54CB" w:rsidRPr="003D28B2" w:rsidRDefault="00320FFA" w:rsidP="004F54CB">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33FAE4CA">
          <v:rect id="_x0000_i1025" alt="" style="width:468pt;height:.05pt;mso-width-percent:0;mso-height-percent:0;mso-width-percent:0;mso-height-percent:0" o:hralign="center" o:hrstd="t" o:hr="t" fillcolor="#a0a0a0" stroked="f"/>
        </w:pict>
      </w:r>
    </w:p>
    <w:p w14:paraId="3A30AFB7" w14:textId="77777777" w:rsidR="004F54CB" w:rsidRPr="003D28B2" w:rsidRDefault="004F54CB" w:rsidP="004F54CB">
      <w:pPr>
        <w:spacing w:before="100" w:beforeAutospacing="1" w:after="100" w:afterAutospacing="1" w:line="240" w:lineRule="auto"/>
        <w:outlineLvl w:val="0"/>
        <w:rPr>
          <w:rFonts w:ascii="Open Sans" w:eastAsia="Times New Roman" w:hAnsi="Open Sans" w:cs="Open Sans"/>
          <w:color w:val="000000" w:themeColor="text1"/>
          <w:kern w:val="36"/>
          <w:sz w:val="20"/>
          <w:szCs w:val="20"/>
          <w14:ligatures w14:val="none"/>
        </w:rPr>
      </w:pPr>
      <w:r w:rsidRPr="003D28B2">
        <w:rPr>
          <w:rFonts w:ascii="Open Sans" w:eastAsia="Times New Roman" w:hAnsi="Open Sans" w:cs="Open Sans"/>
          <w:color w:val="000000" w:themeColor="text1"/>
          <w:kern w:val="36"/>
          <w:sz w:val="20"/>
          <w:szCs w:val="20"/>
          <w14:ligatures w14:val="none"/>
        </w:rPr>
        <w:t>Guiding Questions (Concise Answers)</w:t>
      </w:r>
    </w:p>
    <w:p w14:paraId="78D1CF6D"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GQ1) Link diabetes S&amp;S to physiology</w:t>
      </w:r>
    </w:p>
    <w:p w14:paraId="240F8189"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Use: osmotic diuresis, cellular starvation, catabolism, and ketogenesis (T1) vs insulin resistance + β-cell failure (T2) as the primary explanatory anchors.</w:t>
      </w:r>
    </w:p>
    <w:p w14:paraId="01E91EB1"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GQ2) Diabetes </w:t>
      </w:r>
      <w:r w:rsidRPr="003D28B2">
        <w:rPr>
          <w:rFonts w:ascii="Apple Color Emoji" w:eastAsia="Times New Roman" w:hAnsi="Apple Color Emoji" w:cs="Apple Color Emoji"/>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micro/macrovascular complications</w:t>
      </w:r>
    </w:p>
    <w:p w14:paraId="674B2F6F"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Chronic hyperglycemia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oxidative stress, AGE/RAGE, PKC/polyol/hexosamine pathways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endothelial dysfunction + inflammation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microvascular (retina, kidney, nerves) and macrovascular (atherosclerosis: CAD/CVA/PAD)disease. </w:t>
      </w:r>
    </w:p>
    <w:p w14:paraId="4A67ABF0"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GQ3) Hyper/hypothyroid S&amp;S linked to physiology</w:t>
      </w:r>
    </w:p>
    <w:p w14:paraId="063BF546" w14:textId="77777777" w:rsidR="004F54CB" w:rsidRPr="003D28B2" w:rsidRDefault="004F54CB" w:rsidP="004F54CB">
      <w:pPr>
        <w:numPr>
          <w:ilvl w:val="0"/>
          <w:numId w:val="8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 xml:space="preserve">Hyperthyroid: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BMR/β-adrenergic activity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heat intolerance, weight loss, tremor, tachycardia, anxiety; labs: low TSH, high FT4/FT3. </w:t>
      </w:r>
    </w:p>
    <w:p w14:paraId="453D4529" w14:textId="77777777" w:rsidR="004F54CB" w:rsidRPr="003D28B2" w:rsidRDefault="004F54CB" w:rsidP="004F54CB">
      <w:pPr>
        <w:numPr>
          <w:ilvl w:val="0"/>
          <w:numId w:val="8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lastRenderedPageBreak/>
        <w:t xml:space="preserve">Hypothyroid: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metabolic activity </w:t>
      </w:r>
      <w:r w:rsidRPr="003D28B2">
        <w:rPr>
          <w:rFonts w:ascii="Arial" w:eastAsia="Times New Roman" w:hAnsi="Arial" w:cs="Arial"/>
          <w:color w:val="000000" w:themeColor="text1"/>
          <w:kern w:val="0"/>
          <w:sz w:val="20"/>
          <w:szCs w:val="20"/>
          <w14:ligatures w14:val="none"/>
        </w:rPr>
        <w:t>→</w:t>
      </w:r>
      <w:r w:rsidRPr="003D28B2">
        <w:rPr>
          <w:rFonts w:ascii="Open Sans" w:eastAsia="Times New Roman" w:hAnsi="Open Sans" w:cs="Open Sans"/>
          <w:color w:val="000000" w:themeColor="text1"/>
          <w:kern w:val="0"/>
          <w:sz w:val="20"/>
          <w:szCs w:val="20"/>
          <w14:ligatures w14:val="none"/>
        </w:rPr>
        <w:t xml:space="preserve"> cold intolerance, weight gain, constipation, bradycardia, fatigue; labs: high TSH, low FT4. </w:t>
      </w:r>
    </w:p>
    <w:p w14:paraId="5A9321B7" w14:textId="77777777" w:rsidR="004F54CB" w:rsidRPr="003D28B2" w:rsidRDefault="004F54CB" w:rsidP="004F54CB">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GQ4) Gold standards: diagnosing diabetes (T1/T2) and thyroid dysfunction</w:t>
      </w:r>
    </w:p>
    <w:p w14:paraId="598151EE"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Diabetes diagnosis (lab venous plasma):</w:t>
      </w:r>
    </w:p>
    <w:p w14:paraId="5130F93E" w14:textId="77777777" w:rsidR="004F54CB" w:rsidRPr="003D28B2" w:rsidRDefault="004F54CB" w:rsidP="004F54CB">
      <w:pPr>
        <w:numPr>
          <w:ilvl w:val="0"/>
          <w:numId w:val="8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FPG ≥7.0 mmol/L OR 2h OGTT ≥11.1 mmol/L OR A1C ≥6.5% (generally confirmed on repeat testing unless classic symptoms with random ≥11.1 mmol/L). </w:t>
      </w:r>
    </w:p>
    <w:p w14:paraId="5ED69AEF" w14:textId="77777777" w:rsidR="004F54CB" w:rsidRPr="003D28B2" w:rsidRDefault="004F54CB" w:rsidP="004F54CB">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Thyroid dysfunction diagnosis:</w:t>
      </w:r>
    </w:p>
    <w:p w14:paraId="6A02B3BD" w14:textId="77777777" w:rsidR="004F54CB" w:rsidRPr="003D28B2" w:rsidRDefault="004F54CB" w:rsidP="004F54CB">
      <w:pPr>
        <w:numPr>
          <w:ilvl w:val="0"/>
          <w:numId w:val="8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3D28B2">
        <w:rPr>
          <w:rFonts w:ascii="Open Sans" w:eastAsia="Times New Roman" w:hAnsi="Open Sans" w:cs="Open Sans"/>
          <w:color w:val="000000" w:themeColor="text1"/>
          <w:kern w:val="0"/>
          <w:sz w:val="20"/>
          <w:szCs w:val="20"/>
          <w14:ligatures w14:val="none"/>
        </w:rPr>
        <w:t>TSH as the initial screening test, with reflex FT4 when TSH is abnormal; hyperthyroidism confirmed by suppressed TSH with elevated FT4/FT3. </w:t>
      </w:r>
    </w:p>
    <w:p w14:paraId="2BF95820" w14:textId="7FBB9BFA" w:rsidR="005A6F47" w:rsidRPr="003D28B2" w:rsidRDefault="009818AC" w:rsidP="005A6F47">
      <w:pPr>
        <w:rPr>
          <w:rFonts w:ascii="Open Sans" w:hAnsi="Open Sans" w:cs="Open Sans"/>
          <w:color w:val="000000" w:themeColor="text1"/>
          <w:sz w:val="20"/>
          <w:szCs w:val="20"/>
        </w:rPr>
      </w:pPr>
      <w:r w:rsidRPr="003D28B2">
        <w:rPr>
          <w:rFonts w:ascii="Open Sans" w:hAnsi="Open Sans" w:cs="Open Sans"/>
          <w:color w:val="000000" w:themeColor="text1"/>
          <w:sz w:val="20"/>
          <w:szCs w:val="20"/>
        </w:rPr>
        <w:t>Quiz</w:t>
      </w:r>
    </w:p>
    <w:p w14:paraId="694D36FF" w14:textId="6A92DC33"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t>When used as monotherapy, which drug group</w:t>
      </w:r>
      <w:r w:rsidRPr="003D28B2">
        <w:rPr>
          <w:rStyle w:val="apple-converted-space"/>
          <w:rFonts w:ascii="Open Sans" w:hAnsi="Open Sans" w:cs="Open Sans"/>
          <w:color w:val="000000" w:themeColor="text1"/>
          <w:spacing w:val="3"/>
          <w:sz w:val="20"/>
          <w:szCs w:val="20"/>
        </w:rPr>
        <w:t> </w:t>
      </w:r>
      <w:r w:rsidRPr="003D28B2">
        <w:rPr>
          <w:rFonts w:ascii="Open Sans" w:hAnsi="Open Sans" w:cs="Open Sans"/>
          <w:b/>
          <w:bCs/>
          <w:color w:val="000000" w:themeColor="text1"/>
          <w:spacing w:val="3"/>
          <w:sz w:val="20"/>
          <w:szCs w:val="20"/>
        </w:rPr>
        <w:t>does not</w:t>
      </w:r>
      <w:r w:rsidRPr="003D28B2">
        <w:rPr>
          <w:rStyle w:val="apple-converted-space"/>
          <w:rFonts w:ascii="Open Sans" w:hAnsi="Open Sans" w:cs="Open Sans"/>
          <w:b/>
          <w:bCs/>
          <w:color w:val="000000" w:themeColor="text1"/>
          <w:spacing w:val="3"/>
          <w:sz w:val="20"/>
          <w:szCs w:val="20"/>
        </w:rPr>
        <w:t> </w:t>
      </w:r>
      <w:r w:rsidRPr="003D28B2">
        <w:rPr>
          <w:rFonts w:ascii="Open Sans" w:hAnsi="Open Sans" w:cs="Open Sans"/>
          <w:color w:val="000000" w:themeColor="text1"/>
          <w:spacing w:val="3"/>
          <w:sz w:val="20"/>
          <w:szCs w:val="20"/>
        </w:rPr>
        <w:t>typically cause hypoglycemia?</w:t>
      </w:r>
    </w:p>
    <w:p w14:paraId="0C4A36D3" w14:textId="232F1E7E"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sym w:font="Wingdings" w:char="F0E0"/>
      </w:r>
      <w:r w:rsidRPr="003D28B2">
        <w:rPr>
          <w:rFonts w:ascii="Open Sans" w:hAnsi="Open Sans" w:cs="Open Sans"/>
          <w:color w:val="000000" w:themeColor="text1"/>
          <w:spacing w:val="3"/>
          <w:sz w:val="20"/>
          <w:szCs w:val="20"/>
        </w:rPr>
        <w:t xml:space="preserve"> biguanides</w:t>
      </w:r>
    </w:p>
    <w:p w14:paraId="73223D47" w14:textId="1B0E74F0"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t>The destruction of beta cells in Type 1 diabetes mellitus is mediated by which one of the following pathophysiological processes?</w:t>
      </w:r>
    </w:p>
    <w:p w14:paraId="37B3C6A6" w14:textId="4DFBB956"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sym w:font="Wingdings" w:char="F0E0"/>
      </w:r>
      <w:r w:rsidRPr="003D28B2">
        <w:rPr>
          <w:rFonts w:ascii="Open Sans" w:hAnsi="Open Sans" w:cs="Open Sans"/>
          <w:color w:val="000000" w:themeColor="text1"/>
          <w:spacing w:val="3"/>
          <w:sz w:val="20"/>
          <w:szCs w:val="20"/>
        </w:rPr>
        <w:t xml:space="preserve"> activation of T-cytotoxic lymphocytes</w:t>
      </w:r>
    </w:p>
    <w:p w14:paraId="61D2DD38" w14:textId="4BFE54CC"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t>Which one of the following drugs is an insulin secretagogue (i.e., it stimulates beta cells)?</w:t>
      </w:r>
    </w:p>
    <w:p w14:paraId="7B5A19F6" w14:textId="41DD585B"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sym w:font="Wingdings" w:char="F0E0"/>
      </w:r>
      <w:r w:rsidRPr="003D28B2">
        <w:rPr>
          <w:rFonts w:ascii="Open Sans" w:hAnsi="Open Sans" w:cs="Open Sans"/>
          <w:color w:val="000000" w:themeColor="text1"/>
          <w:spacing w:val="3"/>
          <w:sz w:val="20"/>
          <w:szCs w:val="20"/>
        </w:rPr>
        <w:t xml:space="preserve"> glyburide (sulfonylurea) </w:t>
      </w:r>
    </w:p>
    <w:p w14:paraId="2C0C60D0" w14:textId="193585AB"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t>D.T. is a 28-year-old patient who complains of a tingling in her lips and muscle spasms.  Her blood work reveals that she has low plasma calcium and elevated phosphorus. Which one of the following would be at the top of your differential diagnoses?</w:t>
      </w:r>
    </w:p>
    <w:p w14:paraId="21A53A82" w14:textId="62CEB7CC"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sym w:font="Wingdings" w:char="F0E0"/>
      </w:r>
      <w:r w:rsidRPr="003D28B2">
        <w:rPr>
          <w:rFonts w:ascii="Open Sans" w:hAnsi="Open Sans" w:cs="Open Sans"/>
          <w:color w:val="000000" w:themeColor="text1"/>
          <w:spacing w:val="3"/>
          <w:sz w:val="20"/>
          <w:szCs w:val="20"/>
        </w:rPr>
        <w:t xml:space="preserve"> hypoparathyroidism </w:t>
      </w:r>
    </w:p>
    <w:p w14:paraId="271C401F" w14:textId="64997222" w:rsidR="009818AC" w:rsidRPr="003D28B2" w:rsidRDefault="009818AC" w:rsidP="005A6F47">
      <w:pPr>
        <w:rPr>
          <w:rFonts w:ascii="Open Sans" w:hAnsi="Open Sans" w:cs="Open Sans"/>
          <w:color w:val="000000" w:themeColor="text1"/>
          <w:spacing w:val="3"/>
          <w:sz w:val="20"/>
          <w:szCs w:val="20"/>
        </w:rPr>
      </w:pPr>
      <w:r w:rsidRPr="003D28B2">
        <w:rPr>
          <w:rFonts w:ascii="Open Sans" w:hAnsi="Open Sans" w:cs="Open Sans"/>
          <w:color w:val="000000" w:themeColor="text1"/>
          <w:spacing w:val="3"/>
          <w:sz w:val="20"/>
          <w:szCs w:val="20"/>
        </w:rPr>
        <w:t>E.T. is a 62-year-old male who has low TSH, but high serum levels of thyroxine and triiodothyronine.  Which diagnosis is consistent with these findings?</w:t>
      </w:r>
    </w:p>
    <w:p w14:paraId="09CD5541" w14:textId="6B22D734" w:rsidR="009818AC" w:rsidRPr="003D28B2" w:rsidRDefault="009818AC" w:rsidP="005A6F47">
      <w:pPr>
        <w:rPr>
          <w:rFonts w:ascii="Open Sans" w:hAnsi="Open Sans" w:cs="Open Sans"/>
          <w:color w:val="000000" w:themeColor="text1"/>
          <w:sz w:val="20"/>
          <w:szCs w:val="20"/>
        </w:rPr>
      </w:pPr>
      <w:r w:rsidRPr="003D28B2">
        <w:rPr>
          <w:rFonts w:ascii="Open Sans" w:hAnsi="Open Sans" w:cs="Open Sans"/>
          <w:color w:val="000000" w:themeColor="text1"/>
          <w:spacing w:val="3"/>
          <w:sz w:val="20"/>
          <w:szCs w:val="20"/>
        </w:rPr>
        <w:sym w:font="Wingdings" w:char="F0E0"/>
      </w:r>
      <w:r w:rsidRPr="003D28B2">
        <w:rPr>
          <w:rFonts w:ascii="Open Sans" w:hAnsi="Open Sans" w:cs="Open Sans"/>
          <w:color w:val="000000" w:themeColor="text1"/>
          <w:spacing w:val="3"/>
          <w:sz w:val="20"/>
          <w:szCs w:val="20"/>
        </w:rPr>
        <w:t xml:space="preserve"> grave’s disease</w:t>
      </w:r>
    </w:p>
    <w:sectPr w:rsidR="009818AC" w:rsidRPr="003D2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1C7"/>
    <w:multiLevelType w:val="multilevel"/>
    <w:tmpl w:val="9FE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28"/>
    <w:multiLevelType w:val="multilevel"/>
    <w:tmpl w:val="61D8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2569A"/>
    <w:multiLevelType w:val="multilevel"/>
    <w:tmpl w:val="109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55A7"/>
    <w:multiLevelType w:val="multilevel"/>
    <w:tmpl w:val="539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01A23"/>
    <w:multiLevelType w:val="hybridMultilevel"/>
    <w:tmpl w:val="AD843724"/>
    <w:lvl w:ilvl="0" w:tplc="071ACC6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92861"/>
    <w:multiLevelType w:val="multilevel"/>
    <w:tmpl w:val="9B047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06332"/>
    <w:multiLevelType w:val="multilevel"/>
    <w:tmpl w:val="88E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E3495"/>
    <w:multiLevelType w:val="multilevel"/>
    <w:tmpl w:val="CF6C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02595"/>
    <w:multiLevelType w:val="multilevel"/>
    <w:tmpl w:val="DFE2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60118"/>
    <w:multiLevelType w:val="multilevel"/>
    <w:tmpl w:val="499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459B5"/>
    <w:multiLevelType w:val="multilevel"/>
    <w:tmpl w:val="83526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F3FEC"/>
    <w:multiLevelType w:val="multilevel"/>
    <w:tmpl w:val="1930B8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81F0A63"/>
    <w:multiLevelType w:val="multilevel"/>
    <w:tmpl w:val="41A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D05D4"/>
    <w:multiLevelType w:val="multilevel"/>
    <w:tmpl w:val="6B5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E0F44"/>
    <w:multiLevelType w:val="multilevel"/>
    <w:tmpl w:val="C784C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27070"/>
    <w:multiLevelType w:val="multilevel"/>
    <w:tmpl w:val="970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948E7"/>
    <w:multiLevelType w:val="multilevel"/>
    <w:tmpl w:val="EDF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974ED"/>
    <w:multiLevelType w:val="multilevel"/>
    <w:tmpl w:val="DE54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A4370"/>
    <w:multiLevelType w:val="multilevel"/>
    <w:tmpl w:val="AB3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27564"/>
    <w:multiLevelType w:val="multilevel"/>
    <w:tmpl w:val="87DA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F692D"/>
    <w:multiLevelType w:val="multilevel"/>
    <w:tmpl w:val="54A2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D3580"/>
    <w:multiLevelType w:val="multilevel"/>
    <w:tmpl w:val="7F9610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5F14C48"/>
    <w:multiLevelType w:val="multilevel"/>
    <w:tmpl w:val="4AF059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55036E"/>
    <w:multiLevelType w:val="multilevel"/>
    <w:tmpl w:val="930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356D5"/>
    <w:multiLevelType w:val="multilevel"/>
    <w:tmpl w:val="CC26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5E043A"/>
    <w:multiLevelType w:val="multilevel"/>
    <w:tmpl w:val="B2E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A533B"/>
    <w:multiLevelType w:val="multilevel"/>
    <w:tmpl w:val="7E0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141C3"/>
    <w:multiLevelType w:val="multilevel"/>
    <w:tmpl w:val="52F01D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76C7711"/>
    <w:multiLevelType w:val="multilevel"/>
    <w:tmpl w:val="1026D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B90AF0"/>
    <w:multiLevelType w:val="multilevel"/>
    <w:tmpl w:val="B3928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E4AB5"/>
    <w:multiLevelType w:val="multilevel"/>
    <w:tmpl w:val="7CA4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05D9A"/>
    <w:multiLevelType w:val="multilevel"/>
    <w:tmpl w:val="2DF8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86DB0"/>
    <w:multiLevelType w:val="multilevel"/>
    <w:tmpl w:val="B650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E5CED"/>
    <w:multiLevelType w:val="multilevel"/>
    <w:tmpl w:val="7A48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55117"/>
    <w:multiLevelType w:val="multilevel"/>
    <w:tmpl w:val="397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A0DBE"/>
    <w:multiLevelType w:val="multilevel"/>
    <w:tmpl w:val="A3301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C34FC"/>
    <w:multiLevelType w:val="multilevel"/>
    <w:tmpl w:val="D7F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7159D"/>
    <w:multiLevelType w:val="multilevel"/>
    <w:tmpl w:val="D14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A6A22"/>
    <w:multiLevelType w:val="multilevel"/>
    <w:tmpl w:val="D6D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257E3"/>
    <w:multiLevelType w:val="multilevel"/>
    <w:tmpl w:val="D7F8E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20B23"/>
    <w:multiLevelType w:val="multilevel"/>
    <w:tmpl w:val="04C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F84E58"/>
    <w:multiLevelType w:val="multilevel"/>
    <w:tmpl w:val="7B2A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722907"/>
    <w:multiLevelType w:val="multilevel"/>
    <w:tmpl w:val="66BE24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B9263DA"/>
    <w:multiLevelType w:val="multilevel"/>
    <w:tmpl w:val="E85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A4266"/>
    <w:multiLevelType w:val="multilevel"/>
    <w:tmpl w:val="02E44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013383"/>
    <w:multiLevelType w:val="multilevel"/>
    <w:tmpl w:val="AFC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634FC3"/>
    <w:multiLevelType w:val="multilevel"/>
    <w:tmpl w:val="89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E079E"/>
    <w:multiLevelType w:val="multilevel"/>
    <w:tmpl w:val="D4B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56A6A"/>
    <w:multiLevelType w:val="multilevel"/>
    <w:tmpl w:val="7C5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950F67"/>
    <w:multiLevelType w:val="multilevel"/>
    <w:tmpl w:val="4E0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D4453"/>
    <w:multiLevelType w:val="multilevel"/>
    <w:tmpl w:val="EBE8E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65B0C"/>
    <w:multiLevelType w:val="multilevel"/>
    <w:tmpl w:val="3AA2C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4C0569"/>
    <w:multiLevelType w:val="multilevel"/>
    <w:tmpl w:val="8FC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F342D"/>
    <w:multiLevelType w:val="multilevel"/>
    <w:tmpl w:val="BBF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31C08"/>
    <w:multiLevelType w:val="multilevel"/>
    <w:tmpl w:val="34923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06100C"/>
    <w:multiLevelType w:val="multilevel"/>
    <w:tmpl w:val="A81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6E09CC"/>
    <w:multiLevelType w:val="multilevel"/>
    <w:tmpl w:val="F42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7464F8"/>
    <w:multiLevelType w:val="multilevel"/>
    <w:tmpl w:val="A27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4B7AC3"/>
    <w:multiLevelType w:val="multilevel"/>
    <w:tmpl w:val="C490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04D84"/>
    <w:multiLevelType w:val="multilevel"/>
    <w:tmpl w:val="EB7A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B8151A"/>
    <w:multiLevelType w:val="multilevel"/>
    <w:tmpl w:val="8DE6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90FEC"/>
    <w:multiLevelType w:val="multilevel"/>
    <w:tmpl w:val="F84A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F2D20"/>
    <w:multiLevelType w:val="multilevel"/>
    <w:tmpl w:val="B75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8C772F"/>
    <w:multiLevelType w:val="hybridMultilevel"/>
    <w:tmpl w:val="EDB6F2FE"/>
    <w:lvl w:ilvl="0" w:tplc="9C96C0C6">
      <w:start w:val="2"/>
      <w:numFmt w:val="bullet"/>
      <w:lvlText w:val=""/>
      <w:lvlJc w:val="left"/>
      <w:pPr>
        <w:ind w:left="720" w:hanging="360"/>
      </w:pPr>
      <w:rPr>
        <w:rFonts w:ascii="Open Sans" w:eastAsia="Times New Roman" w:hAnsi="Open Sans" w:cs="Open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64395E"/>
    <w:multiLevelType w:val="multilevel"/>
    <w:tmpl w:val="F6A4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074979"/>
    <w:multiLevelType w:val="multilevel"/>
    <w:tmpl w:val="CB8E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817778"/>
    <w:multiLevelType w:val="multilevel"/>
    <w:tmpl w:val="1386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8B7ECD"/>
    <w:multiLevelType w:val="multilevel"/>
    <w:tmpl w:val="BB5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9722CA"/>
    <w:multiLevelType w:val="multilevel"/>
    <w:tmpl w:val="94D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4B2330"/>
    <w:multiLevelType w:val="multilevel"/>
    <w:tmpl w:val="4B2C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08691F"/>
    <w:multiLevelType w:val="multilevel"/>
    <w:tmpl w:val="2FB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550C67"/>
    <w:multiLevelType w:val="multilevel"/>
    <w:tmpl w:val="1C2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61DA1"/>
    <w:multiLevelType w:val="multilevel"/>
    <w:tmpl w:val="C514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B13B2D"/>
    <w:multiLevelType w:val="multilevel"/>
    <w:tmpl w:val="D8C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E45EF"/>
    <w:multiLevelType w:val="multilevel"/>
    <w:tmpl w:val="3BFE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8E0178"/>
    <w:multiLevelType w:val="multilevel"/>
    <w:tmpl w:val="EF6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80C98"/>
    <w:multiLevelType w:val="multilevel"/>
    <w:tmpl w:val="C88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896063"/>
    <w:multiLevelType w:val="multilevel"/>
    <w:tmpl w:val="EC38C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C47A13"/>
    <w:multiLevelType w:val="multilevel"/>
    <w:tmpl w:val="0BAC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B82614"/>
    <w:multiLevelType w:val="multilevel"/>
    <w:tmpl w:val="1DE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E42A6E"/>
    <w:multiLevelType w:val="multilevel"/>
    <w:tmpl w:val="F19A2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76111"/>
    <w:multiLevelType w:val="multilevel"/>
    <w:tmpl w:val="114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E368BB"/>
    <w:multiLevelType w:val="multilevel"/>
    <w:tmpl w:val="265E71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E276628"/>
    <w:multiLevelType w:val="multilevel"/>
    <w:tmpl w:val="D2941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6A73DB"/>
    <w:multiLevelType w:val="multilevel"/>
    <w:tmpl w:val="BC6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934209">
    <w:abstractNumId w:val="4"/>
  </w:num>
  <w:num w:numId="2" w16cid:durableId="785586001">
    <w:abstractNumId w:val="56"/>
  </w:num>
  <w:num w:numId="3" w16cid:durableId="1922327545">
    <w:abstractNumId w:val="21"/>
  </w:num>
  <w:num w:numId="4" w16cid:durableId="1127116136">
    <w:abstractNumId w:val="22"/>
  </w:num>
  <w:num w:numId="5" w16cid:durableId="311521226">
    <w:abstractNumId w:val="82"/>
  </w:num>
  <w:num w:numId="6" w16cid:durableId="894316627">
    <w:abstractNumId w:val="51"/>
  </w:num>
  <w:num w:numId="7" w16cid:durableId="1723290085">
    <w:abstractNumId w:val="23"/>
  </w:num>
  <w:num w:numId="8" w16cid:durableId="1172601795">
    <w:abstractNumId w:val="11"/>
  </w:num>
  <w:num w:numId="9" w16cid:durableId="1010765201">
    <w:abstractNumId w:val="42"/>
  </w:num>
  <w:num w:numId="10" w16cid:durableId="1870339914">
    <w:abstractNumId w:val="25"/>
  </w:num>
  <w:num w:numId="11" w16cid:durableId="894507227">
    <w:abstractNumId w:val="8"/>
  </w:num>
  <w:num w:numId="12" w16cid:durableId="974140527">
    <w:abstractNumId w:val="44"/>
  </w:num>
  <w:num w:numId="13" w16cid:durableId="1051421532">
    <w:abstractNumId w:val="29"/>
  </w:num>
  <w:num w:numId="14" w16cid:durableId="1843085419">
    <w:abstractNumId w:val="75"/>
  </w:num>
  <w:num w:numId="15" w16cid:durableId="1233126117">
    <w:abstractNumId w:val="14"/>
  </w:num>
  <w:num w:numId="16" w16cid:durableId="413431093">
    <w:abstractNumId w:val="32"/>
  </w:num>
  <w:num w:numId="17" w16cid:durableId="1918325808">
    <w:abstractNumId w:val="30"/>
  </w:num>
  <w:num w:numId="18" w16cid:durableId="1900095457">
    <w:abstractNumId w:val="6"/>
  </w:num>
  <w:num w:numId="19" w16cid:durableId="1245073432">
    <w:abstractNumId w:val="10"/>
  </w:num>
  <w:num w:numId="20" w16cid:durableId="1899777193">
    <w:abstractNumId w:val="80"/>
  </w:num>
  <w:num w:numId="21" w16cid:durableId="1052921353">
    <w:abstractNumId w:val="26"/>
  </w:num>
  <w:num w:numId="22" w16cid:durableId="247155222">
    <w:abstractNumId w:val="72"/>
  </w:num>
  <w:num w:numId="23" w16cid:durableId="1104375160">
    <w:abstractNumId w:val="60"/>
  </w:num>
  <w:num w:numId="24" w16cid:durableId="1780031671">
    <w:abstractNumId w:val="62"/>
  </w:num>
  <w:num w:numId="25" w16cid:durableId="1476875240">
    <w:abstractNumId w:val="41"/>
  </w:num>
  <w:num w:numId="26" w16cid:durableId="1667589138">
    <w:abstractNumId w:val="27"/>
  </w:num>
  <w:num w:numId="27" w16cid:durableId="1086462793">
    <w:abstractNumId w:val="59"/>
  </w:num>
  <w:num w:numId="28" w16cid:durableId="571550128">
    <w:abstractNumId w:val="68"/>
  </w:num>
  <w:num w:numId="29" w16cid:durableId="1587112708">
    <w:abstractNumId w:val="81"/>
  </w:num>
  <w:num w:numId="30" w16cid:durableId="2131893265">
    <w:abstractNumId w:val="47"/>
  </w:num>
  <w:num w:numId="31" w16cid:durableId="1784957035">
    <w:abstractNumId w:val="77"/>
  </w:num>
  <w:num w:numId="32" w16cid:durableId="1466001535">
    <w:abstractNumId w:val="78"/>
  </w:num>
  <w:num w:numId="33" w16cid:durableId="1218080026">
    <w:abstractNumId w:val="7"/>
  </w:num>
  <w:num w:numId="34" w16cid:durableId="450436147">
    <w:abstractNumId w:val="40"/>
  </w:num>
  <w:num w:numId="35" w16cid:durableId="439834295">
    <w:abstractNumId w:val="79"/>
  </w:num>
  <w:num w:numId="36" w16cid:durableId="12612312">
    <w:abstractNumId w:val="73"/>
  </w:num>
  <w:num w:numId="37" w16cid:durableId="2048139576">
    <w:abstractNumId w:val="13"/>
  </w:num>
  <w:num w:numId="38" w16cid:durableId="8531374">
    <w:abstractNumId w:val="5"/>
  </w:num>
  <w:num w:numId="39" w16cid:durableId="5982311">
    <w:abstractNumId w:val="16"/>
  </w:num>
  <w:num w:numId="40" w16cid:durableId="1622491442">
    <w:abstractNumId w:val="66"/>
  </w:num>
  <w:num w:numId="41" w16cid:durableId="1372341384">
    <w:abstractNumId w:val="74"/>
  </w:num>
  <w:num w:numId="42" w16cid:durableId="1650986356">
    <w:abstractNumId w:val="39"/>
  </w:num>
  <w:num w:numId="43" w16cid:durableId="1894267201">
    <w:abstractNumId w:val="35"/>
  </w:num>
  <w:num w:numId="44" w16cid:durableId="705911213">
    <w:abstractNumId w:val="31"/>
  </w:num>
  <w:num w:numId="45" w16cid:durableId="198787356">
    <w:abstractNumId w:val="12"/>
  </w:num>
  <w:num w:numId="46" w16cid:durableId="849032199">
    <w:abstractNumId w:val="19"/>
  </w:num>
  <w:num w:numId="47" w16cid:durableId="1586063091">
    <w:abstractNumId w:val="33"/>
  </w:num>
  <w:num w:numId="48" w16cid:durableId="641738206">
    <w:abstractNumId w:val="37"/>
  </w:num>
  <w:num w:numId="49" w16cid:durableId="1065451293">
    <w:abstractNumId w:val="67"/>
  </w:num>
  <w:num w:numId="50" w16cid:durableId="1443189874">
    <w:abstractNumId w:val="45"/>
  </w:num>
  <w:num w:numId="51" w16cid:durableId="2007785265">
    <w:abstractNumId w:val="71"/>
  </w:num>
  <w:num w:numId="52" w16cid:durableId="1134179453">
    <w:abstractNumId w:val="20"/>
  </w:num>
  <w:num w:numId="53" w16cid:durableId="2000815022">
    <w:abstractNumId w:val="52"/>
  </w:num>
  <w:num w:numId="54" w16cid:durableId="1196190297">
    <w:abstractNumId w:val="46"/>
  </w:num>
  <w:num w:numId="55" w16cid:durableId="244193976">
    <w:abstractNumId w:val="28"/>
  </w:num>
  <w:num w:numId="56" w16cid:durableId="2077043557">
    <w:abstractNumId w:val="34"/>
  </w:num>
  <w:num w:numId="57" w16cid:durableId="1235899370">
    <w:abstractNumId w:val="84"/>
  </w:num>
  <w:num w:numId="58" w16cid:durableId="1507865468">
    <w:abstractNumId w:val="70"/>
  </w:num>
  <w:num w:numId="59" w16cid:durableId="529611414">
    <w:abstractNumId w:val="54"/>
  </w:num>
  <w:num w:numId="60" w16cid:durableId="523440435">
    <w:abstractNumId w:val="57"/>
  </w:num>
  <w:num w:numId="61" w16cid:durableId="779759637">
    <w:abstractNumId w:val="83"/>
  </w:num>
  <w:num w:numId="62" w16cid:durableId="1852182724">
    <w:abstractNumId w:val="50"/>
  </w:num>
  <w:num w:numId="63" w16cid:durableId="583953407">
    <w:abstractNumId w:val="65"/>
  </w:num>
  <w:num w:numId="64" w16cid:durableId="551036232">
    <w:abstractNumId w:val="64"/>
  </w:num>
  <w:num w:numId="65" w16cid:durableId="1368141466">
    <w:abstractNumId w:val="0"/>
  </w:num>
  <w:num w:numId="66" w16cid:durableId="2101099063">
    <w:abstractNumId w:val="2"/>
  </w:num>
  <w:num w:numId="67" w16cid:durableId="1797330785">
    <w:abstractNumId w:val="36"/>
  </w:num>
  <w:num w:numId="68" w16cid:durableId="1938443249">
    <w:abstractNumId w:val="17"/>
  </w:num>
  <w:num w:numId="69" w16cid:durableId="1376076483">
    <w:abstractNumId w:val="24"/>
  </w:num>
  <w:num w:numId="70" w16cid:durableId="54937729">
    <w:abstractNumId w:val="58"/>
  </w:num>
  <w:num w:numId="71" w16cid:durableId="975335478">
    <w:abstractNumId w:val="43"/>
  </w:num>
  <w:num w:numId="72" w16cid:durableId="1774323481">
    <w:abstractNumId w:val="18"/>
  </w:num>
  <w:num w:numId="73" w16cid:durableId="1542397018">
    <w:abstractNumId w:val="69"/>
  </w:num>
  <w:num w:numId="74" w16cid:durableId="1370645328">
    <w:abstractNumId w:val="49"/>
  </w:num>
  <w:num w:numId="75" w16cid:durableId="2003046971">
    <w:abstractNumId w:val="38"/>
  </w:num>
  <w:num w:numId="76" w16cid:durableId="1609658277">
    <w:abstractNumId w:val="9"/>
  </w:num>
  <w:num w:numId="77" w16cid:durableId="1517235372">
    <w:abstractNumId w:val="61"/>
  </w:num>
  <w:num w:numId="78" w16cid:durableId="479470339">
    <w:abstractNumId w:val="76"/>
  </w:num>
  <w:num w:numId="79" w16cid:durableId="414088443">
    <w:abstractNumId w:val="53"/>
  </w:num>
  <w:num w:numId="80" w16cid:durableId="1214384937">
    <w:abstractNumId w:val="3"/>
  </w:num>
  <w:num w:numId="81" w16cid:durableId="1316182562">
    <w:abstractNumId w:val="48"/>
  </w:num>
  <w:num w:numId="82" w16cid:durableId="1529492031">
    <w:abstractNumId w:val="15"/>
  </w:num>
  <w:num w:numId="83" w16cid:durableId="1382052205">
    <w:abstractNumId w:val="55"/>
  </w:num>
  <w:num w:numId="84" w16cid:durableId="1425371645">
    <w:abstractNumId w:val="63"/>
  </w:num>
  <w:num w:numId="85" w16cid:durableId="1389954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DE"/>
    <w:rsid w:val="001A6FCD"/>
    <w:rsid w:val="001B1449"/>
    <w:rsid w:val="001C4D20"/>
    <w:rsid w:val="0031779C"/>
    <w:rsid w:val="00320FFA"/>
    <w:rsid w:val="003258E0"/>
    <w:rsid w:val="00381E73"/>
    <w:rsid w:val="003B49DE"/>
    <w:rsid w:val="003D28B2"/>
    <w:rsid w:val="00465262"/>
    <w:rsid w:val="004830CA"/>
    <w:rsid w:val="004F54CB"/>
    <w:rsid w:val="005A6F47"/>
    <w:rsid w:val="005A74E2"/>
    <w:rsid w:val="005A7A1F"/>
    <w:rsid w:val="005E6EA6"/>
    <w:rsid w:val="005F1EDA"/>
    <w:rsid w:val="00686BD9"/>
    <w:rsid w:val="00765AC4"/>
    <w:rsid w:val="007C309B"/>
    <w:rsid w:val="007E2FD2"/>
    <w:rsid w:val="008E2427"/>
    <w:rsid w:val="008F74DC"/>
    <w:rsid w:val="00977485"/>
    <w:rsid w:val="00977DD2"/>
    <w:rsid w:val="009818AC"/>
    <w:rsid w:val="009A6A48"/>
    <w:rsid w:val="00A80F87"/>
    <w:rsid w:val="00A830A1"/>
    <w:rsid w:val="00AB627A"/>
    <w:rsid w:val="00CB10BF"/>
    <w:rsid w:val="00DA7EF5"/>
    <w:rsid w:val="00F80F80"/>
    <w:rsid w:val="00FD36E6"/>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6B37"/>
  <w15:chartTrackingRefBased/>
  <w15:docId w15:val="{77B6C642-BF5C-0E49-9C56-EDCFAC87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4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4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9DE"/>
    <w:rPr>
      <w:rFonts w:eastAsiaTheme="majorEastAsia" w:cstheme="majorBidi"/>
      <w:color w:val="272727" w:themeColor="text1" w:themeTint="D8"/>
    </w:rPr>
  </w:style>
  <w:style w:type="paragraph" w:styleId="Title">
    <w:name w:val="Title"/>
    <w:basedOn w:val="Normal"/>
    <w:next w:val="Normal"/>
    <w:link w:val="TitleChar"/>
    <w:uiPriority w:val="10"/>
    <w:qFormat/>
    <w:rsid w:val="003B4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9DE"/>
    <w:pPr>
      <w:spacing w:before="160"/>
      <w:jc w:val="center"/>
    </w:pPr>
    <w:rPr>
      <w:i/>
      <w:iCs/>
      <w:color w:val="404040" w:themeColor="text1" w:themeTint="BF"/>
    </w:rPr>
  </w:style>
  <w:style w:type="character" w:customStyle="1" w:styleId="QuoteChar">
    <w:name w:val="Quote Char"/>
    <w:basedOn w:val="DefaultParagraphFont"/>
    <w:link w:val="Quote"/>
    <w:uiPriority w:val="29"/>
    <w:rsid w:val="003B49DE"/>
    <w:rPr>
      <w:i/>
      <w:iCs/>
      <w:color w:val="404040" w:themeColor="text1" w:themeTint="BF"/>
    </w:rPr>
  </w:style>
  <w:style w:type="paragraph" w:styleId="ListParagraph">
    <w:name w:val="List Paragraph"/>
    <w:basedOn w:val="Normal"/>
    <w:uiPriority w:val="34"/>
    <w:qFormat/>
    <w:rsid w:val="003B49DE"/>
    <w:pPr>
      <w:ind w:left="720"/>
      <w:contextualSpacing/>
    </w:pPr>
  </w:style>
  <w:style w:type="character" w:styleId="IntenseEmphasis">
    <w:name w:val="Intense Emphasis"/>
    <w:basedOn w:val="DefaultParagraphFont"/>
    <w:uiPriority w:val="21"/>
    <w:qFormat/>
    <w:rsid w:val="003B49DE"/>
    <w:rPr>
      <w:i/>
      <w:iCs/>
      <w:color w:val="0F4761" w:themeColor="accent1" w:themeShade="BF"/>
    </w:rPr>
  </w:style>
  <w:style w:type="paragraph" w:styleId="IntenseQuote">
    <w:name w:val="Intense Quote"/>
    <w:basedOn w:val="Normal"/>
    <w:next w:val="Normal"/>
    <w:link w:val="IntenseQuoteChar"/>
    <w:uiPriority w:val="30"/>
    <w:qFormat/>
    <w:rsid w:val="003B4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9DE"/>
    <w:rPr>
      <w:i/>
      <w:iCs/>
      <w:color w:val="0F4761" w:themeColor="accent1" w:themeShade="BF"/>
    </w:rPr>
  </w:style>
  <w:style w:type="character" w:styleId="IntenseReference">
    <w:name w:val="Intense Reference"/>
    <w:basedOn w:val="DefaultParagraphFont"/>
    <w:uiPriority w:val="32"/>
    <w:qFormat/>
    <w:rsid w:val="003B49DE"/>
    <w:rPr>
      <w:b/>
      <w:bCs/>
      <w:smallCaps/>
      <w:color w:val="0F4761" w:themeColor="accent1" w:themeShade="BF"/>
      <w:spacing w:val="5"/>
    </w:rPr>
  </w:style>
  <w:style w:type="paragraph" w:styleId="NormalWeb">
    <w:name w:val="Normal (Web)"/>
    <w:basedOn w:val="Normal"/>
    <w:uiPriority w:val="99"/>
    <w:semiHidden/>
    <w:unhideWhenUsed/>
    <w:rsid w:val="005A6F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6F47"/>
    <w:rPr>
      <w:b/>
      <w:bCs/>
    </w:rPr>
  </w:style>
  <w:style w:type="character" w:customStyle="1" w:styleId="apple-converted-space">
    <w:name w:val="apple-converted-space"/>
    <w:basedOn w:val="DefaultParagraphFont"/>
    <w:rsid w:val="00977485"/>
  </w:style>
  <w:style w:type="character" w:styleId="Emphasis">
    <w:name w:val="Emphasis"/>
    <w:basedOn w:val="DefaultParagraphFont"/>
    <w:uiPriority w:val="20"/>
    <w:qFormat/>
    <w:rsid w:val="004F54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21</Pages>
  <Words>6644</Words>
  <Characters>37871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7</cp:revision>
  <cp:lastPrinted>2026-01-21T00:35:00Z</cp:lastPrinted>
  <dcterms:created xsi:type="dcterms:W3CDTF">2026-01-19T02:14:00Z</dcterms:created>
  <dcterms:modified xsi:type="dcterms:W3CDTF">2026-01-21T00:43:00Z</dcterms:modified>
</cp:coreProperties>
</file>