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200"/>
      </w:pPr>
      <w:r>
        <w:rPr>
          <w:rFonts w:ascii="Arial" w:cs="Arial" w:eastAsia="Arial" w:hAnsi="Arial"/>
          <w:b/>
          <w:bCs/>
          <w:color w:val="A6446B"/>
          <w:sz w:val="18"/>
          <w:szCs w:val="18"/>
        </w:rPr>
        <w:t xml:space="preserve">MANTA SEGUROS S.A.</w:t>
      </w:r>
    </w:p>
    <w:p>
      <w:pPr>
        <w:spacing w:after="60"/>
      </w:pPr>
      <w:r>
        <w:rPr>
          <w:rFonts w:ascii="Arial" w:cs="Arial" w:eastAsia="Arial" w:hAnsi="Arial"/>
          <w:b/>
          <w:bCs/>
          <w:color w:val="42194E"/>
          <w:sz w:val="40"/>
          <w:szCs w:val="40"/>
        </w:rPr>
        <w:t xml:space="preserve">Emisión de póliza SOAT</w:t>
      </w:r>
    </w:p>
    <w:p>
      <w:pPr>
        <w:spacing w:after="200"/>
      </w:pPr>
      <w:r>
        <w:rPr>
          <w:rFonts w:ascii="Arial" w:cs="Arial" w:eastAsia="Arial" w:hAnsi="Arial"/>
          <w:color w:val="3A2540"/>
          <w:sz w:val="24"/>
          <w:szCs w:val="24"/>
        </w:rPr>
        <w:t xml:space="preserve">Especificación de desarrollo · PAS → NetSuite · Sandbox</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2900"/>
      </w:tblGrid>
      <w:tr>
        <w:trPr>
          <w:tblHeader/>
        </w:trPr>
        <w:tc>
          <w:tcPr>
            <w:tcW w:type="dxa" w:w="3100"/>
            <w:shd w:fill="42194E" w:val="clear"/>
            <w:tcMar>
              <w:top w:type="dxa" w:w="60"/>
              <w:left w:type="dxa" w:w="90"/>
              <w:bottom w:type="dxa" w:w="60"/>
              <w:right w:type="dxa" w:w="90"/>
            </w:tcMar>
          </w:tcPr>
          <w:p>
            <w:pPr>
              <w:spacing w:after="0" w:line="245"/>
            </w:pPr>
            <w:r>
              <w:rPr>
                <w:rFonts w:ascii="Arial" w:cs="Arial" w:eastAsia="Arial" w:hAnsi="Arial"/>
                <w:b/>
                <w:bCs/>
                <w:color w:val="FFFFFF"/>
                <w:sz w:val="17"/>
                <w:szCs w:val="17"/>
              </w:rPr>
              <w:t xml:space="preserve">Para</w:t>
            </w:r>
          </w:p>
        </w:tc>
        <w:tc>
          <w:tcPr>
            <w:tcW w:type="dxa" w:w="3100"/>
            <w:shd w:fill="42194E" w:val="clear"/>
            <w:tcMar>
              <w:top w:type="dxa" w:w="60"/>
              <w:left w:type="dxa" w:w="90"/>
              <w:bottom w:type="dxa" w:w="60"/>
              <w:right w:type="dxa" w:w="90"/>
            </w:tcMar>
          </w:tcPr>
          <w:p>
            <w:pPr>
              <w:spacing w:after="0" w:line="245"/>
            </w:pPr>
            <w:r>
              <w:rPr>
                <w:rFonts w:ascii="Arial" w:cs="Arial" w:eastAsia="Arial" w:hAnsi="Arial"/>
                <w:b/>
                <w:bCs/>
                <w:color w:val="FFFFFF"/>
                <w:sz w:val="17"/>
                <w:szCs w:val="17"/>
              </w:rPr>
              <w:t xml:space="preserve">De</w:t>
            </w:r>
          </w:p>
        </w:tc>
        <w:tc>
          <w:tcPr>
            <w:tcW w:type="dxa" w:w="2900"/>
            <w:shd w:fill="42194E" w:val="clear"/>
            <w:tcMar>
              <w:top w:type="dxa" w:w="60"/>
              <w:left w:type="dxa" w:w="90"/>
              <w:bottom w:type="dxa" w:w="60"/>
              <w:right w:type="dxa" w:w="90"/>
            </w:tcMar>
          </w:tcPr>
          <w:p>
            <w:pPr>
              <w:spacing w:after="0" w:line="245"/>
            </w:pPr>
            <w:r>
              <w:rPr>
                <w:rFonts w:ascii="Arial" w:cs="Arial" w:eastAsia="Arial" w:hAnsi="Arial"/>
                <w:b/>
                <w:bCs/>
                <w:color w:val="FFFFFF"/>
                <w:sz w:val="17"/>
                <w:szCs w:val="17"/>
              </w:rPr>
              <w:t xml:space="preserve">Versión</w:t>
            </w:r>
          </w:p>
        </w:tc>
      </w:tr>
      <w:tr>
        <w:tc>
          <w:tcPr>
            <w:tcW w:type="dxa" w:w="3100"/>
            <w:tcMar>
              <w:top w:type="dxa" w:w="60"/>
              <w:left w:type="dxa" w:w="90"/>
              <w:bottom w:type="dxa" w:w="60"/>
              <w:right w:type="dxa" w:w="90"/>
            </w:tcMar>
          </w:tcPr>
          <w:p>
            <w:pPr>
              <w:spacing w:after="0" w:line="245"/>
            </w:pPr>
            <w:r>
              <w:rPr>
                <w:rFonts w:ascii="Arial" w:cs="Arial" w:eastAsia="Arial" w:hAnsi="Arial"/>
                <w:color w:val="1A1A1A"/>
                <w:sz w:val="17"/>
                <w:szCs w:val="17"/>
              </w:rPr>
              <w:t xml:space="preserve">Ricardo Rojas</w:t>
            </w:r>
          </w:p>
        </w:tc>
        <w:tc>
          <w:tcPr>
            <w:tcW w:type="dxa" w:w="3100"/>
            <w:tcMar>
              <w:top w:type="dxa" w:w="60"/>
              <w:left w:type="dxa" w:w="90"/>
              <w:bottom w:type="dxa" w:w="60"/>
              <w:right w:type="dxa" w:w="90"/>
            </w:tcMar>
          </w:tcPr>
          <w:p>
            <w:pPr>
              <w:spacing w:after="0" w:line="245"/>
            </w:pPr>
            <w:r>
              <w:rPr>
                <w:rFonts w:ascii="Arial" w:cs="Arial" w:eastAsia="Arial" w:hAnsi="Arial"/>
                <w:color w:val="1A1A1A"/>
                <w:sz w:val="17"/>
                <w:szCs w:val="17"/>
              </w:rPr>
              <w:t xml:space="preserve">Erika Guerrero — Controller y PM</w:t>
            </w:r>
          </w:p>
        </w:tc>
        <w:tc>
          <w:tcPr>
            <w:tcW w:type="dxa" w:w="2900"/>
            <w:tcMar>
              <w:top w:type="dxa" w:w="60"/>
              <w:left w:type="dxa" w:w="90"/>
              <w:bottom w:type="dxa" w:w="60"/>
              <w:right w:type="dxa" w:w="90"/>
            </w:tcMar>
          </w:tcPr>
          <w:p>
            <w:pPr>
              <w:spacing w:after="0" w:line="245"/>
            </w:pPr>
            <w:r>
              <w:rPr>
                <w:rFonts w:ascii="Arial" w:cs="Arial" w:eastAsia="Arial" w:hAnsi="Arial"/>
                <w:color w:val="1A1A1A"/>
                <w:sz w:val="17"/>
                <w:szCs w:val="17"/>
              </w:rPr>
              <w:t xml:space="preserve">3.0 · Post sesión E2E 27-jul</w:t>
            </w:r>
          </w:p>
        </w:tc>
      </w:tr>
    </w:tbl>
    <w:p>
      <w:pPr>
        <w:pStyle w:val="Heading1"/>
        <w:pBdr>
          <w:bottom w:val="single" w:color="42194E" w:sz="8" w:space="5"/>
        </w:pBdr>
        <w:spacing w:after="150" w:before="300"/>
      </w:pPr>
      <w:r>
        <w:rPr>
          <w:rFonts w:ascii="Arial" w:cs="Arial" w:eastAsia="Arial" w:hAnsi="Arial"/>
          <w:b/>
          <w:bCs/>
          <w:color w:val="42194E"/>
          <w:sz w:val="24"/>
          <w:szCs w:val="24"/>
        </w:rPr>
        <w:t xml:space="preserve">Contexto</w:t>
      </w:r>
    </w:p>
    <w:p>
      <w:pPr>
        <w:spacing w:after="110" w:line="270"/>
      </w:pPr>
      <w:r>
        <w:rPr>
          <w:rFonts w:ascii="Arial" w:cs="Arial" w:eastAsia="Arial" w:hAnsi="Arial"/>
          <w:color w:val="1A1A1A"/>
          <w:sz w:val="20"/>
          <w:szCs w:val="20"/>
        </w:rPr>
        <w:t xml:space="preserve">El proceso ya está operando en Sandbox. El PAS emite la póliza y la envía a una cola de procesamiento; un script lee la cola, crea el cliente, genera la factura y los asientos contables, y transmite a la DIAN. La conexión fue validada contra el portal de la DIAN en la sesión del 27 de julio.</w:t>
      </w:r>
    </w:p>
    <w:p>
      <w:pPr>
        <w:spacing w:after="110" w:line="270"/>
      </w:pPr>
      <w:r>
        <w:rPr>
          <w:rFonts w:ascii="Arial" w:cs="Arial" w:eastAsia="Arial" w:hAnsi="Arial"/>
          <w:color w:val="1A1A1A"/>
          <w:sz w:val="20"/>
          <w:szCs w:val="20"/>
        </w:rPr>
        <w:t xml:space="preserve">Este documento describe el comportamiento objetivo completo y señala las brechas identificadas en esa sesión. No es un desarrollo desde cero: es la referencia contra la cual se cierra lo que falta.</w:t>
      </w:r>
    </w:p>
    <w:p>
      <w:pPr>
        <w:spacing w:after="11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6500"/>
      </w:tblGrid>
      <w:tr>
        <w:trPr>
          <w:tblHeader/>
        </w:trPr>
        <w:tc>
          <w:tcPr>
            <w:tcW w:type="dxa" w:w="2600"/>
            <w:shd w:fill="42194E" w:val="clear"/>
            <w:tcMar>
              <w:top w:type="dxa" w:w="60"/>
              <w:left w:type="dxa" w:w="90"/>
              <w:bottom w:type="dxa" w:w="60"/>
              <w:right w:type="dxa" w:w="90"/>
            </w:tcMar>
          </w:tcPr>
          <w:p>
            <w:pPr>
              <w:spacing w:after="0" w:line="245"/>
            </w:pPr>
            <w:r>
              <w:rPr>
                <w:rFonts w:ascii="Arial" w:cs="Arial" w:eastAsia="Arial" w:hAnsi="Arial"/>
                <w:b/>
                <w:bCs/>
                <w:color w:val="FFFFFF"/>
                <w:sz w:val="17"/>
                <w:szCs w:val="17"/>
              </w:rPr>
              <w:t xml:space="preserve">Aspecto</w:t>
            </w:r>
          </w:p>
        </w:tc>
        <w:tc>
          <w:tcPr>
            <w:tcW w:type="dxa" w:w="6500"/>
            <w:shd w:fill="42194E" w:val="clear"/>
            <w:tcMar>
              <w:top w:type="dxa" w:w="60"/>
              <w:left w:type="dxa" w:w="90"/>
              <w:bottom w:type="dxa" w:w="60"/>
              <w:right w:type="dxa" w:w="90"/>
            </w:tcMar>
          </w:tcPr>
          <w:p>
            <w:pPr>
              <w:spacing w:after="0" w:line="245"/>
            </w:pPr>
            <w:r>
              <w:rPr>
                <w:rFonts w:ascii="Arial" w:cs="Arial" w:eastAsia="Arial" w:hAnsi="Arial"/>
                <w:b/>
                <w:bCs/>
                <w:color w:val="FFFFFF"/>
                <w:sz w:val="17"/>
                <w:szCs w:val="17"/>
              </w:rPr>
              <w:t xml:space="preserve">Definición</w:t>
            </w:r>
          </w:p>
        </w:tc>
      </w:tr>
      <w:tr>
        <w:tc>
          <w:tcPr>
            <w:tcW w:type="dxa" w:w="2600"/>
            <w:tcMar>
              <w:top w:type="dxa" w:w="60"/>
              <w:left w:type="dxa" w:w="90"/>
              <w:bottom w:type="dxa" w:w="60"/>
              <w:right w:type="dxa" w:w="90"/>
            </w:tcMar>
          </w:tcPr>
          <w:p>
            <w:pPr>
              <w:spacing w:after="0" w:line="245"/>
            </w:pPr>
            <w:r>
              <w:rPr>
                <w:rFonts w:ascii="Arial" w:cs="Arial" w:eastAsia="Arial" w:hAnsi="Arial"/>
                <w:color w:val="1A1A1A"/>
                <w:sz w:val="17"/>
                <w:szCs w:val="17"/>
              </w:rPr>
              <w:t xml:space="preserve">Ambiente</w:t>
            </w:r>
          </w:p>
        </w:tc>
        <w:tc>
          <w:tcPr>
            <w:tcW w:type="dxa" w:w="6500"/>
            <w:tcMar>
              <w:top w:type="dxa" w:w="60"/>
              <w:left w:type="dxa" w:w="90"/>
              <w:bottom w:type="dxa" w:w="60"/>
              <w:right w:type="dxa" w:w="90"/>
            </w:tcMar>
          </w:tcPr>
          <w:p>
            <w:pPr>
              <w:spacing w:after="0" w:line="245"/>
            </w:pPr>
            <w:r>
              <w:rPr>
                <w:rFonts w:ascii="Arial" w:cs="Arial" w:eastAsia="Arial" w:hAnsi="Arial"/>
                <w:color w:val="1A1A1A"/>
                <w:sz w:val="17"/>
                <w:szCs w:val="17"/>
              </w:rPr>
              <w:t xml:space="preserve">Sandbox</w:t>
            </w:r>
          </w:p>
        </w:tc>
      </w:tr>
      <w:tr>
        <w:tc>
          <w:tcPr>
            <w:tcW w:type="dxa" w:w="26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Ejecución</w:t>
            </w:r>
          </w:p>
        </w:tc>
        <w:tc>
          <w:tcPr>
            <w:tcW w:type="dxa" w:w="65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Cron escalonado. Intervalo sugerido: 30 minutos</w:t>
            </w:r>
          </w:p>
        </w:tc>
      </w:tr>
      <w:tr>
        <w:tc>
          <w:tcPr>
            <w:tcW w:type="dxa" w:w="2600"/>
            <w:tcMar>
              <w:top w:type="dxa" w:w="60"/>
              <w:left w:type="dxa" w:w="90"/>
              <w:bottom w:type="dxa" w:w="60"/>
              <w:right w:type="dxa" w:w="90"/>
            </w:tcMar>
          </w:tcPr>
          <w:p>
            <w:pPr>
              <w:spacing w:after="0" w:line="245"/>
            </w:pPr>
            <w:r>
              <w:rPr>
                <w:rFonts w:ascii="Arial" w:cs="Arial" w:eastAsia="Arial" w:hAnsi="Arial"/>
                <w:color w:val="1A1A1A"/>
                <w:sz w:val="17"/>
                <w:szCs w:val="17"/>
              </w:rPr>
              <w:t xml:space="preserve">Fuente de verdad</w:t>
            </w:r>
          </w:p>
        </w:tc>
        <w:tc>
          <w:tcPr>
            <w:tcW w:type="dxa" w:w="6500"/>
            <w:tcMar>
              <w:top w:type="dxa" w:w="60"/>
              <w:left w:type="dxa" w:w="90"/>
              <w:bottom w:type="dxa" w:w="60"/>
              <w:right w:type="dxa" w:w="90"/>
            </w:tcMar>
          </w:tcPr>
          <w:p>
            <w:pPr>
              <w:spacing w:after="0" w:line="245"/>
            </w:pPr>
            <w:r>
              <w:rPr>
                <w:rFonts w:ascii="Arial" w:cs="Arial" w:eastAsia="Arial" w:hAnsi="Arial"/>
                <w:color w:val="1A1A1A"/>
                <w:sz w:val="17"/>
                <w:szCs w:val="17"/>
              </w:rPr>
              <w:t xml:space="preserve">PAS para consultas de póliza · NetSuite para registros contables</w:t>
            </w:r>
          </w:p>
        </w:tc>
      </w:tr>
      <w:tr>
        <w:tc>
          <w:tcPr>
            <w:tcW w:type="dxa" w:w="26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Trigger cámara de compensación</w:t>
            </w:r>
          </w:p>
        </w:tc>
        <w:tc>
          <w:tcPr>
            <w:tcW w:type="dxa" w:w="65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La emisión de la póliza dispara el motor actuarial</w:t>
            </w:r>
          </w:p>
        </w:tc>
      </w:tr>
    </w:tbl>
    <w:p>
      <w:pPr>
        <w:pStyle w:val="Heading1"/>
        <w:pBdr>
          <w:bottom w:val="single" w:color="42194E" w:sz="8" w:space="5"/>
        </w:pBdr>
        <w:spacing w:after="150" w:before="300"/>
      </w:pPr>
      <w:r>
        <w:rPr>
          <w:rFonts w:ascii="Arial" w:cs="Arial" w:eastAsia="Arial" w:hAnsi="Arial"/>
          <w:b/>
          <w:bCs/>
          <w:color w:val="42194E"/>
          <w:sz w:val="24"/>
          <w:szCs w:val="24"/>
        </w:rPr>
        <w:t xml:space="preserve">Arquitectura contable</w:t>
      </w:r>
    </w:p>
    <w:p>
      <w:pPr>
        <w:spacing w:after="110" w:line="270"/>
      </w:pPr>
      <w:r>
        <w:rPr>
          <w:rFonts w:ascii="Arial" w:cs="Arial" w:eastAsia="Arial" w:hAnsi="Arial"/>
          <w:color w:val="1A1A1A"/>
          <w:sz w:val="20"/>
          <w:szCs w:val="20"/>
        </w:rPr>
        <w:t xml:space="preserve">Las transacciones postean en cuentas del libro NIIF 17, que es el libro principal. La columna CONTEXTO del plan de cuentas hace el puente hacia la cuenta equivalente NIIF 4 / CUIF, que alimenta el reporte regulatorio ante la Superintendencia Financiera.</w:t>
      </w:r>
    </w:p>
    <w:p>
      <w:pPr>
        <w:spacing w:after="110" w:line="270"/>
      </w:pPr>
      <w:r>
        <w:rPr>
          <w:rFonts w:ascii="Arial" w:cs="Arial" w:eastAsia="Arial" w:hAnsi="Arial"/>
          <w:color w:val="1A1A1A"/>
          <w:sz w:val="20"/>
          <w:szCs w:val="20"/>
        </w:rPr>
        <w:t xml:space="preserve">La emisión produce tres documentos y no uno solo. La razón es que cada marco necesita un asiento distinto: NIIF 17 requiere que la prima entre directo al pasivo, mientras que NIIF 4 requiere ver primas emitidas y constitución de reserva como líneas separadas para el Formato 290. El CONTEXTO es un mapeo cuenta a cuenta y no puede convertir un asiento de dos líneas en uno de cuatro. La estructura de tres documentos resuelve ambos marcos a la vez.</w:t>
      </w:r>
    </w:p>
    <w:p>
      <w:pPr>
        <w:spacing w:after="11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900"/>
        <w:gridCol w:w="2100"/>
        <w:gridCol w:w="2100"/>
        <w:gridCol w:w="2000"/>
      </w:tblGrid>
      <w:tr>
        <w:trPr>
          <w:tblHeader/>
        </w:trPr>
        <w:tc>
          <w:tcPr>
            <w:tcW w:type="dxa" w:w="2900"/>
            <w:shd w:fill="42194E" w:val="clear"/>
            <w:tcMar>
              <w:top w:type="dxa" w:w="60"/>
              <w:left w:type="dxa" w:w="90"/>
              <w:bottom w:type="dxa" w:w="60"/>
              <w:right w:type="dxa" w:w="90"/>
            </w:tcMar>
          </w:tcPr>
          <w:p>
            <w:pPr>
              <w:spacing w:after="0" w:line="245"/>
            </w:pPr>
            <w:r>
              <w:rPr>
                <w:rFonts w:ascii="Arial" w:cs="Arial" w:eastAsia="Arial" w:hAnsi="Arial"/>
                <w:b/>
                <w:bCs/>
                <w:color w:val="FFFFFF"/>
                <w:sz w:val="17"/>
                <w:szCs w:val="17"/>
              </w:rPr>
              <w:t xml:space="preserve">Concepto</w:t>
            </w:r>
          </w:p>
        </w:tc>
        <w:tc>
          <w:tcPr>
            <w:tcW w:type="dxa" w:w="2100"/>
            <w:shd w:fill="42194E" w:val="clear"/>
            <w:tcMar>
              <w:top w:type="dxa" w:w="60"/>
              <w:left w:type="dxa" w:w="90"/>
              <w:bottom w:type="dxa" w:w="60"/>
              <w:right w:type="dxa" w:w="90"/>
            </w:tcMar>
          </w:tcPr>
          <w:p>
            <w:pPr>
              <w:spacing w:after="0" w:line="245"/>
            </w:pPr>
            <w:r>
              <w:rPr>
                <w:rFonts w:ascii="Arial" w:cs="Arial" w:eastAsia="Arial" w:hAnsi="Arial"/>
                <w:b/>
                <w:bCs/>
                <w:color w:val="FFFFFF"/>
                <w:sz w:val="17"/>
                <w:szCs w:val="17"/>
              </w:rPr>
              <w:t xml:space="preserve">Documento 1</w:t>
            </w:r>
          </w:p>
        </w:tc>
        <w:tc>
          <w:tcPr>
            <w:tcW w:type="dxa" w:w="2100"/>
            <w:shd w:fill="42194E" w:val="clear"/>
            <w:tcMar>
              <w:top w:type="dxa" w:w="60"/>
              <w:left w:type="dxa" w:w="90"/>
              <w:bottom w:type="dxa" w:w="60"/>
              <w:right w:type="dxa" w:w="90"/>
            </w:tcMar>
          </w:tcPr>
          <w:p>
            <w:pPr>
              <w:spacing w:after="0" w:line="245"/>
            </w:pPr>
            <w:r>
              <w:rPr>
                <w:rFonts w:ascii="Arial" w:cs="Arial" w:eastAsia="Arial" w:hAnsi="Arial"/>
                <w:b/>
                <w:bCs/>
                <w:color w:val="FFFFFF"/>
                <w:sz w:val="17"/>
                <w:szCs w:val="17"/>
              </w:rPr>
              <w:t xml:space="preserve">Documento 3</w:t>
            </w:r>
          </w:p>
        </w:tc>
        <w:tc>
          <w:tcPr>
            <w:tcW w:type="dxa" w:w="2000"/>
            <w:shd w:fill="42194E" w:val="clear"/>
            <w:tcMar>
              <w:top w:type="dxa" w:w="60"/>
              <w:left w:type="dxa" w:w="90"/>
              <w:bottom w:type="dxa" w:w="60"/>
              <w:right w:type="dxa" w:w="90"/>
            </w:tcMar>
          </w:tcPr>
          <w:p>
            <w:pPr>
              <w:spacing w:after="0" w:line="245"/>
            </w:pPr>
            <w:r>
              <w:rPr>
                <w:rFonts w:ascii="Arial" w:cs="Arial" w:eastAsia="Arial" w:hAnsi="Arial"/>
                <w:b/>
                <w:bCs/>
                <w:color w:val="FFFFFF"/>
                <w:sz w:val="17"/>
                <w:szCs w:val="17"/>
              </w:rPr>
              <w:t xml:space="preserve">Neto</w:t>
            </w:r>
          </w:p>
        </w:tc>
      </w:tr>
      <w:tr>
        <w:tc>
          <w:tcPr>
            <w:tcW w:type="dxa" w:w="2900"/>
            <w:tcMar>
              <w:top w:type="dxa" w:w="60"/>
              <w:left w:type="dxa" w:w="90"/>
              <w:bottom w:type="dxa" w:w="60"/>
              <w:right w:type="dxa" w:w="90"/>
            </w:tcMar>
          </w:tcPr>
          <w:p>
            <w:pPr>
              <w:spacing w:after="0" w:line="245"/>
            </w:pPr>
            <w:r>
              <w:rPr>
                <w:rFonts w:ascii="Arial" w:cs="Arial" w:eastAsia="Arial" w:hAnsi="Arial"/>
                <w:color w:val="1A1A1A"/>
                <w:sz w:val="17"/>
                <w:szCs w:val="17"/>
              </w:rPr>
              <w:t xml:space="preserve">Cuentas por cobrar</w:t>
            </w:r>
          </w:p>
        </w:tc>
        <w:tc>
          <w:tcPr>
            <w:tcW w:type="dxa" w:w="2100"/>
            <w:tcMar>
              <w:top w:type="dxa" w:w="60"/>
              <w:left w:type="dxa" w:w="90"/>
              <w:bottom w:type="dxa" w:w="60"/>
              <w:right w:type="dxa" w:w="90"/>
            </w:tcMar>
          </w:tcPr>
          <w:p>
            <w:pPr>
              <w:spacing w:after="0" w:line="245"/>
            </w:pPr>
            <w:r>
              <w:rPr>
                <w:rFonts w:ascii="Arial" w:cs="Arial" w:eastAsia="Arial" w:hAnsi="Arial"/>
                <w:color w:val="1A1A1A"/>
                <w:sz w:val="17"/>
                <w:szCs w:val="17"/>
              </w:rPr>
              <w:t xml:space="preserve">+ Prima</w:t>
            </w:r>
          </w:p>
        </w:tc>
        <w:tc>
          <w:tcPr>
            <w:tcW w:type="dxa" w:w="2100"/>
            <w:tcMar>
              <w:top w:type="dxa" w:w="60"/>
              <w:left w:type="dxa" w:w="90"/>
              <w:bottom w:type="dxa" w:w="60"/>
              <w:right w:type="dxa" w:w="90"/>
            </w:tcMar>
          </w:tcPr>
          <w:p>
            <w:pPr>
              <w:spacing w:after="0" w:line="245"/>
            </w:pPr>
            <w:r>
              <w:rPr>
                <w:rFonts w:ascii="Arial" w:cs="Arial" w:eastAsia="Arial" w:hAnsi="Arial"/>
                <w:color w:val="1A1A1A"/>
                <w:sz w:val="17"/>
                <w:szCs w:val="17"/>
              </w:rPr>
              <w:t xml:space="preserve">—</w:t>
            </w:r>
          </w:p>
        </w:tc>
        <w:tc>
          <w:tcPr>
            <w:tcW w:type="dxa" w:w="2000"/>
            <w:tcMar>
              <w:top w:type="dxa" w:w="60"/>
              <w:left w:type="dxa" w:w="90"/>
              <w:bottom w:type="dxa" w:w="60"/>
              <w:right w:type="dxa" w:w="90"/>
            </w:tcMar>
          </w:tcPr>
          <w:p>
            <w:pPr>
              <w:spacing w:after="0" w:line="245"/>
            </w:pPr>
            <w:r>
              <w:rPr>
                <w:rFonts w:ascii="Arial" w:cs="Arial" w:eastAsia="Arial" w:hAnsi="Arial"/>
                <w:color w:val="1A1A1A"/>
                <w:sz w:val="17"/>
                <w:szCs w:val="17"/>
              </w:rPr>
              <w:t xml:space="preserve">+ Prima</w:t>
            </w:r>
          </w:p>
        </w:tc>
      </w:tr>
      <w:tr>
        <w:tc>
          <w:tcPr>
            <w:tcW w:type="dxa" w:w="29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Ingreso por prima emitida</w:t>
            </w:r>
          </w:p>
        </w:tc>
        <w:tc>
          <w:tcPr>
            <w:tcW w:type="dxa" w:w="21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 Prima</w:t>
            </w:r>
          </w:p>
        </w:tc>
        <w:tc>
          <w:tcPr>
            <w:tcW w:type="dxa" w:w="21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 Prima</w:t>
            </w:r>
          </w:p>
        </w:tc>
        <w:tc>
          <w:tcPr>
            <w:tcW w:type="dxa" w:w="20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0</w:t>
            </w:r>
          </w:p>
        </w:tc>
      </w:tr>
      <w:tr>
        <w:tc>
          <w:tcPr>
            <w:tcW w:type="dxa" w:w="2900"/>
            <w:tcMar>
              <w:top w:type="dxa" w:w="60"/>
              <w:left w:type="dxa" w:w="90"/>
              <w:bottom w:type="dxa" w:w="60"/>
              <w:right w:type="dxa" w:w="90"/>
            </w:tcMar>
          </w:tcPr>
          <w:p>
            <w:pPr>
              <w:spacing w:after="0" w:line="245"/>
            </w:pPr>
            <w:r>
              <w:rPr>
                <w:rFonts w:ascii="Arial" w:cs="Arial" w:eastAsia="Arial" w:hAnsi="Arial"/>
                <w:color w:val="1A1A1A"/>
                <w:sz w:val="17"/>
                <w:szCs w:val="17"/>
              </w:rPr>
              <w:t xml:space="preserve">Pasivo — reserva de prima no devengada</w:t>
            </w:r>
          </w:p>
        </w:tc>
        <w:tc>
          <w:tcPr>
            <w:tcW w:type="dxa" w:w="2100"/>
            <w:tcMar>
              <w:top w:type="dxa" w:w="60"/>
              <w:left w:type="dxa" w:w="90"/>
              <w:bottom w:type="dxa" w:w="60"/>
              <w:right w:type="dxa" w:w="90"/>
            </w:tcMar>
          </w:tcPr>
          <w:p>
            <w:pPr>
              <w:spacing w:after="0" w:line="245"/>
            </w:pPr>
            <w:r>
              <w:rPr>
                <w:rFonts w:ascii="Arial" w:cs="Arial" w:eastAsia="Arial" w:hAnsi="Arial"/>
                <w:color w:val="1A1A1A"/>
                <w:sz w:val="17"/>
                <w:szCs w:val="17"/>
              </w:rPr>
              <w:t xml:space="preserve">—</w:t>
            </w:r>
          </w:p>
        </w:tc>
        <w:tc>
          <w:tcPr>
            <w:tcW w:type="dxa" w:w="2100"/>
            <w:tcMar>
              <w:top w:type="dxa" w:w="60"/>
              <w:left w:type="dxa" w:w="90"/>
              <w:bottom w:type="dxa" w:w="60"/>
              <w:right w:type="dxa" w:w="90"/>
            </w:tcMar>
          </w:tcPr>
          <w:p>
            <w:pPr>
              <w:spacing w:after="0" w:line="245"/>
            </w:pPr>
            <w:r>
              <w:rPr>
                <w:rFonts w:ascii="Arial" w:cs="Arial" w:eastAsia="Arial" w:hAnsi="Arial"/>
                <w:color w:val="1A1A1A"/>
                <w:sz w:val="17"/>
                <w:szCs w:val="17"/>
              </w:rPr>
              <w:t xml:space="preserve">+ Prima</w:t>
            </w:r>
          </w:p>
        </w:tc>
        <w:tc>
          <w:tcPr>
            <w:tcW w:type="dxa" w:w="2000"/>
            <w:tcMar>
              <w:top w:type="dxa" w:w="60"/>
              <w:left w:type="dxa" w:w="90"/>
              <w:bottom w:type="dxa" w:w="60"/>
              <w:right w:type="dxa" w:w="90"/>
            </w:tcMar>
          </w:tcPr>
          <w:p>
            <w:pPr>
              <w:spacing w:after="0" w:line="245"/>
            </w:pPr>
            <w:r>
              <w:rPr>
                <w:rFonts w:ascii="Arial" w:cs="Arial" w:eastAsia="Arial" w:hAnsi="Arial"/>
                <w:color w:val="1A1A1A"/>
                <w:sz w:val="17"/>
                <w:szCs w:val="17"/>
              </w:rPr>
              <w:t xml:space="preserve">+ Prima</w:t>
            </w:r>
          </w:p>
        </w:tc>
      </w:tr>
    </w:tbl>
    <w:p>
      <w:pPr>
        <w:pBdr>
          <w:left w:val="single" w:color="42194E" w:sz="16" w:space="7"/>
        </w:pBdr>
        <w:shd w:fill="F2ECF4" w:val="clear"/>
        <w:spacing w:after="150" w:before="110"/>
        <w:ind w:left="110" w:right="110"/>
      </w:pPr>
      <w:r>
        <w:rPr>
          <w:rFonts w:ascii="Arial" w:cs="Arial" w:eastAsia="Arial" w:hAnsi="Arial"/>
          <w:color w:val="3A2540"/>
          <w:sz w:val="18"/>
          <w:szCs w:val="18"/>
        </w:rPr>
        <w:t xml:space="preserve">El resultado neto es el asiento que exige NIIF 17: débito a cuentas por cobrar contra crédito al pasivo, sin efecto en resultado. Esta es la verificación central de la configuración: si el neto en resultado no es cero, algo está mal mapeado.</w:t>
      </w:r>
    </w:p>
    <w:p>
      <w:pPr>
        <w:pStyle w:val="Heading1"/>
        <w:pBdr>
          <w:bottom w:val="single" w:color="42194E" w:sz="8" w:space="5"/>
        </w:pBdr>
        <w:spacing w:after="150" w:before="300"/>
      </w:pPr>
      <w:r>
        <w:rPr>
          <w:rFonts w:ascii="Arial" w:cs="Arial" w:eastAsia="Arial" w:hAnsi="Arial"/>
          <w:b/>
          <w:bCs/>
          <w:color w:val="42194E"/>
          <w:sz w:val="24"/>
          <w:szCs w:val="24"/>
        </w:rPr>
        <w:t xml:space="preserve">Flujo del proceso</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700"/>
        <w:gridCol w:w="6400"/>
        <w:gridCol w:w="2000"/>
      </w:tblGrid>
      <w:tr>
        <w:trPr>
          <w:tblHeader/>
        </w:trPr>
        <w:tc>
          <w:tcPr>
            <w:tcW w:type="dxa" w:w="700"/>
            <w:shd w:fill="42194E" w:val="clear"/>
            <w:tcMar>
              <w:top w:type="dxa" w:w="60"/>
              <w:left w:type="dxa" w:w="90"/>
              <w:bottom w:type="dxa" w:w="60"/>
              <w:right w:type="dxa" w:w="90"/>
            </w:tcMar>
          </w:tcPr>
          <w:p>
            <w:pPr>
              <w:spacing w:after="0" w:line="245"/>
            </w:pPr>
            <w:r>
              <w:rPr>
                <w:rFonts w:ascii="Arial" w:cs="Arial" w:eastAsia="Arial" w:hAnsi="Arial"/>
                <w:b/>
                <w:bCs/>
                <w:color w:val="FFFFFF"/>
                <w:sz w:val="17"/>
                <w:szCs w:val="17"/>
              </w:rPr>
              <w:t xml:space="preserve">Paso</w:t>
            </w:r>
          </w:p>
        </w:tc>
        <w:tc>
          <w:tcPr>
            <w:tcW w:type="dxa" w:w="6400"/>
            <w:shd w:fill="42194E" w:val="clear"/>
            <w:tcMar>
              <w:top w:type="dxa" w:w="60"/>
              <w:left w:type="dxa" w:w="90"/>
              <w:bottom w:type="dxa" w:w="60"/>
              <w:right w:type="dxa" w:w="90"/>
            </w:tcMar>
          </w:tcPr>
          <w:p>
            <w:pPr>
              <w:spacing w:after="0" w:line="245"/>
            </w:pPr>
            <w:r>
              <w:rPr>
                <w:rFonts w:ascii="Arial" w:cs="Arial" w:eastAsia="Arial" w:hAnsi="Arial"/>
                <w:b/>
                <w:bCs/>
                <w:color w:val="FFFFFF"/>
                <w:sz w:val="17"/>
                <w:szCs w:val="17"/>
              </w:rPr>
              <w:t xml:space="preserve">Qué ocurre</w:t>
            </w:r>
          </w:p>
        </w:tc>
        <w:tc>
          <w:tcPr>
            <w:tcW w:type="dxa" w:w="2000"/>
            <w:shd w:fill="42194E" w:val="clear"/>
            <w:tcMar>
              <w:top w:type="dxa" w:w="60"/>
              <w:left w:type="dxa" w:w="90"/>
              <w:bottom w:type="dxa" w:w="60"/>
              <w:right w:type="dxa" w:w="90"/>
            </w:tcMar>
          </w:tcPr>
          <w:p>
            <w:pPr>
              <w:spacing w:after="0" w:line="245"/>
            </w:pPr>
            <w:r>
              <w:rPr>
                <w:rFonts w:ascii="Arial" w:cs="Arial" w:eastAsia="Arial" w:hAnsi="Arial"/>
                <w:b/>
                <w:bCs/>
                <w:color w:val="FFFFFF"/>
                <w:sz w:val="17"/>
                <w:szCs w:val="17"/>
              </w:rPr>
              <w:t xml:space="preserve">Sistema</w:t>
            </w:r>
          </w:p>
        </w:tc>
      </w:tr>
      <w:tr>
        <w:tc>
          <w:tcPr>
            <w:tcW w:type="dxa" w:w="700"/>
            <w:tcMar>
              <w:top w:type="dxa" w:w="60"/>
              <w:left w:type="dxa" w:w="90"/>
              <w:bottom w:type="dxa" w:w="60"/>
              <w:right w:type="dxa" w:w="90"/>
            </w:tcMar>
          </w:tcPr>
          <w:p>
            <w:pPr>
              <w:spacing w:after="0" w:line="245"/>
            </w:pPr>
            <w:r>
              <w:rPr>
                <w:rFonts w:ascii="Arial" w:cs="Arial" w:eastAsia="Arial" w:hAnsi="Arial"/>
                <w:color w:val="1A1A1A"/>
                <w:sz w:val="17"/>
                <w:szCs w:val="17"/>
              </w:rPr>
              <w:t xml:space="preserve">1</w:t>
            </w:r>
          </w:p>
        </w:tc>
        <w:tc>
          <w:tcPr>
            <w:tcW w:type="dxa" w:w="6400"/>
            <w:tcMar>
              <w:top w:type="dxa" w:w="60"/>
              <w:left w:type="dxa" w:w="90"/>
              <w:bottom w:type="dxa" w:w="60"/>
              <w:right w:type="dxa" w:w="90"/>
            </w:tcMar>
          </w:tcPr>
          <w:p>
            <w:pPr>
              <w:spacing w:after="0" w:line="245"/>
            </w:pPr>
            <w:r>
              <w:rPr>
                <w:rFonts w:ascii="Arial" w:cs="Arial" w:eastAsia="Arial" w:hAnsi="Arial"/>
                <w:color w:val="1A1A1A"/>
                <w:sz w:val="17"/>
                <w:szCs w:val="17"/>
              </w:rPr>
              <w:t xml:space="preserve">Se emite la póliza y se encola el evento.</w:t>
            </w:r>
          </w:p>
        </w:tc>
        <w:tc>
          <w:tcPr>
            <w:tcW w:type="dxa" w:w="2000"/>
            <w:tcMar>
              <w:top w:type="dxa" w:w="60"/>
              <w:left w:type="dxa" w:w="90"/>
              <w:bottom w:type="dxa" w:w="60"/>
              <w:right w:type="dxa" w:w="90"/>
            </w:tcMar>
          </w:tcPr>
          <w:p>
            <w:pPr>
              <w:spacing w:after="0" w:line="245"/>
            </w:pPr>
            <w:r>
              <w:rPr>
                <w:rFonts w:ascii="Arial" w:cs="Arial" w:eastAsia="Arial" w:hAnsi="Arial"/>
                <w:color w:val="1A1A1A"/>
                <w:sz w:val="17"/>
                <w:szCs w:val="17"/>
              </w:rPr>
              <w:t xml:space="preserve">PAS</w:t>
            </w:r>
          </w:p>
        </w:tc>
      </w:tr>
      <w:tr>
        <w:tc>
          <w:tcPr>
            <w:tcW w:type="dxa" w:w="7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2</w:t>
            </w:r>
          </w:p>
        </w:tc>
        <w:tc>
          <w:tcPr>
            <w:tcW w:type="dxa" w:w="64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El cron lee la cola.</w:t>
            </w:r>
          </w:p>
        </w:tc>
        <w:tc>
          <w:tcPr>
            <w:tcW w:type="dxa" w:w="20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NetSuite</w:t>
            </w:r>
          </w:p>
        </w:tc>
      </w:tr>
      <w:tr>
        <w:tc>
          <w:tcPr>
            <w:tcW w:type="dxa" w:w="700"/>
            <w:tcMar>
              <w:top w:type="dxa" w:w="60"/>
              <w:left w:type="dxa" w:w="90"/>
              <w:bottom w:type="dxa" w:w="60"/>
              <w:right w:type="dxa" w:w="90"/>
            </w:tcMar>
          </w:tcPr>
          <w:p>
            <w:pPr>
              <w:spacing w:after="0" w:line="245"/>
            </w:pPr>
            <w:r>
              <w:rPr>
                <w:rFonts w:ascii="Arial" w:cs="Arial" w:eastAsia="Arial" w:hAnsi="Arial"/>
                <w:color w:val="1A1A1A"/>
                <w:sz w:val="17"/>
                <w:szCs w:val="17"/>
              </w:rPr>
              <w:t xml:space="preserve">3</w:t>
            </w:r>
          </w:p>
        </w:tc>
        <w:tc>
          <w:tcPr>
            <w:tcW w:type="dxa" w:w="6400"/>
            <w:tcMar>
              <w:top w:type="dxa" w:w="60"/>
              <w:left w:type="dxa" w:w="90"/>
              <w:bottom w:type="dxa" w:w="60"/>
              <w:right w:type="dxa" w:w="90"/>
            </w:tcMar>
          </w:tcPr>
          <w:p>
            <w:pPr>
              <w:spacing w:after="0" w:line="245"/>
            </w:pPr>
            <w:r>
              <w:rPr>
                <w:rFonts w:ascii="Arial" w:cs="Arial" w:eastAsia="Arial" w:hAnsi="Arial"/>
                <w:color w:val="1A1A1A"/>
                <w:sz w:val="17"/>
                <w:szCs w:val="17"/>
              </w:rPr>
              <w:t xml:space="preserve">Se crea o actualiza el cliente con los campos de facturación electrónica.</w:t>
            </w:r>
          </w:p>
        </w:tc>
        <w:tc>
          <w:tcPr>
            <w:tcW w:type="dxa" w:w="2000"/>
            <w:tcMar>
              <w:top w:type="dxa" w:w="60"/>
              <w:left w:type="dxa" w:w="90"/>
              <w:bottom w:type="dxa" w:w="60"/>
              <w:right w:type="dxa" w:w="90"/>
            </w:tcMar>
          </w:tcPr>
          <w:p>
            <w:pPr>
              <w:spacing w:after="0" w:line="245"/>
            </w:pPr>
            <w:r>
              <w:rPr>
                <w:rFonts w:ascii="Arial" w:cs="Arial" w:eastAsia="Arial" w:hAnsi="Arial"/>
                <w:color w:val="1A1A1A"/>
                <w:sz w:val="17"/>
                <w:szCs w:val="17"/>
              </w:rPr>
              <w:t xml:space="preserve">NetSuite</w:t>
            </w:r>
          </w:p>
        </w:tc>
      </w:tr>
      <w:tr>
        <w:tc>
          <w:tcPr>
            <w:tcW w:type="dxa" w:w="7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4</w:t>
            </w:r>
          </w:p>
        </w:tc>
        <w:tc>
          <w:tcPr>
            <w:tcW w:type="dxa" w:w="64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Se crea el custom record de póliza con encabezado y detalle.</w:t>
            </w:r>
          </w:p>
        </w:tc>
        <w:tc>
          <w:tcPr>
            <w:tcW w:type="dxa" w:w="20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NetSuite</w:t>
            </w:r>
          </w:p>
        </w:tc>
      </w:tr>
      <w:tr>
        <w:tc>
          <w:tcPr>
            <w:tcW w:type="dxa" w:w="700"/>
            <w:tcMar>
              <w:top w:type="dxa" w:w="60"/>
              <w:left w:type="dxa" w:w="90"/>
              <w:bottom w:type="dxa" w:w="60"/>
              <w:right w:type="dxa" w:w="90"/>
            </w:tcMar>
          </w:tcPr>
          <w:p>
            <w:pPr>
              <w:spacing w:after="0" w:line="245"/>
            </w:pPr>
            <w:r>
              <w:rPr>
                <w:rFonts w:ascii="Arial" w:cs="Arial" w:eastAsia="Arial" w:hAnsi="Arial"/>
                <w:color w:val="1A1A1A"/>
                <w:sz w:val="17"/>
                <w:szCs w:val="17"/>
              </w:rPr>
              <w:t xml:space="preserve">5</w:t>
            </w:r>
          </w:p>
        </w:tc>
        <w:tc>
          <w:tcPr>
            <w:tcW w:type="dxa" w:w="6400"/>
            <w:tcMar>
              <w:top w:type="dxa" w:w="60"/>
              <w:left w:type="dxa" w:w="90"/>
              <w:bottom w:type="dxa" w:w="60"/>
              <w:right w:type="dxa" w:w="90"/>
            </w:tcMar>
          </w:tcPr>
          <w:p>
            <w:pPr>
              <w:spacing w:after="0" w:line="245"/>
            </w:pPr>
            <w:r>
              <w:rPr>
                <w:rFonts w:ascii="Arial" w:cs="Arial" w:eastAsia="Arial" w:hAnsi="Arial"/>
                <w:color w:val="1A1A1A"/>
                <w:sz w:val="17"/>
                <w:szCs w:val="17"/>
              </w:rPr>
              <w:t xml:space="preserve">Documento 1 — factura de venta, y transmisión a la DIAN.</w:t>
            </w:r>
          </w:p>
        </w:tc>
        <w:tc>
          <w:tcPr>
            <w:tcW w:type="dxa" w:w="2000"/>
            <w:tcMar>
              <w:top w:type="dxa" w:w="60"/>
              <w:left w:type="dxa" w:w="90"/>
              <w:bottom w:type="dxa" w:w="60"/>
              <w:right w:type="dxa" w:w="90"/>
            </w:tcMar>
          </w:tcPr>
          <w:p>
            <w:pPr>
              <w:spacing w:after="0" w:line="245"/>
            </w:pPr>
            <w:r>
              <w:rPr>
                <w:rFonts w:ascii="Arial" w:cs="Arial" w:eastAsia="Arial" w:hAnsi="Arial"/>
                <w:color w:val="1A1A1A"/>
                <w:sz w:val="17"/>
                <w:szCs w:val="17"/>
              </w:rPr>
              <w:t xml:space="preserve">NetSuite / Dispapeles</w:t>
            </w:r>
          </w:p>
        </w:tc>
      </w:tr>
      <w:tr>
        <w:tc>
          <w:tcPr>
            <w:tcW w:type="dxa" w:w="7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6</w:t>
            </w:r>
          </w:p>
        </w:tc>
        <w:tc>
          <w:tcPr>
            <w:tcW w:type="dxa" w:w="64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Documento 2 — reconocimiento de cámara de compensación.</w:t>
            </w:r>
          </w:p>
        </w:tc>
        <w:tc>
          <w:tcPr>
            <w:tcW w:type="dxa" w:w="20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NetSuite</w:t>
            </w:r>
          </w:p>
        </w:tc>
      </w:tr>
      <w:tr>
        <w:tc>
          <w:tcPr>
            <w:tcW w:type="dxa" w:w="700"/>
            <w:tcMar>
              <w:top w:type="dxa" w:w="60"/>
              <w:left w:type="dxa" w:w="90"/>
              <w:bottom w:type="dxa" w:w="60"/>
              <w:right w:type="dxa" w:w="90"/>
            </w:tcMar>
          </w:tcPr>
          <w:p>
            <w:pPr>
              <w:spacing w:after="0" w:line="245"/>
            </w:pPr>
            <w:r>
              <w:rPr>
                <w:rFonts w:ascii="Arial" w:cs="Arial" w:eastAsia="Arial" w:hAnsi="Arial"/>
                <w:color w:val="1A1A1A"/>
                <w:sz w:val="17"/>
                <w:szCs w:val="17"/>
              </w:rPr>
              <w:t xml:space="preserve">7</w:t>
            </w:r>
          </w:p>
        </w:tc>
        <w:tc>
          <w:tcPr>
            <w:tcW w:type="dxa" w:w="6400"/>
            <w:tcMar>
              <w:top w:type="dxa" w:w="60"/>
              <w:left w:type="dxa" w:w="90"/>
              <w:bottom w:type="dxa" w:w="60"/>
              <w:right w:type="dxa" w:w="90"/>
            </w:tcMar>
          </w:tcPr>
          <w:p>
            <w:pPr>
              <w:spacing w:after="0" w:line="245"/>
            </w:pPr>
            <w:r>
              <w:rPr>
                <w:rFonts w:ascii="Arial" w:cs="Arial" w:eastAsia="Arial" w:hAnsi="Arial"/>
                <w:color w:val="1A1A1A"/>
                <w:sz w:val="17"/>
                <w:szCs w:val="17"/>
              </w:rPr>
              <w:t xml:space="preserve">Documento 3 — constitución de reserva de prima no devengada.</w:t>
            </w:r>
          </w:p>
        </w:tc>
        <w:tc>
          <w:tcPr>
            <w:tcW w:type="dxa" w:w="2000"/>
            <w:tcMar>
              <w:top w:type="dxa" w:w="60"/>
              <w:left w:type="dxa" w:w="90"/>
              <w:bottom w:type="dxa" w:w="60"/>
              <w:right w:type="dxa" w:w="90"/>
            </w:tcMar>
          </w:tcPr>
          <w:p>
            <w:pPr>
              <w:spacing w:after="0" w:line="245"/>
            </w:pPr>
            <w:r>
              <w:rPr>
                <w:rFonts w:ascii="Arial" w:cs="Arial" w:eastAsia="Arial" w:hAnsi="Arial"/>
                <w:color w:val="1A1A1A"/>
                <w:sz w:val="17"/>
                <w:szCs w:val="17"/>
              </w:rPr>
              <w:t xml:space="preserve">NetSuite</w:t>
            </w:r>
          </w:p>
        </w:tc>
      </w:tr>
      <w:tr>
        <w:tc>
          <w:tcPr>
            <w:tcW w:type="dxa" w:w="7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8</w:t>
            </w:r>
          </w:p>
        </w:tc>
        <w:tc>
          <w:tcPr>
            <w:tcW w:type="dxa" w:w="64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Devengo diario sobre el pasivo constituido.</w:t>
            </w:r>
          </w:p>
        </w:tc>
        <w:tc>
          <w:tcPr>
            <w:tcW w:type="dxa" w:w="20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NetSuite</w:t>
            </w:r>
          </w:p>
        </w:tc>
      </w:tr>
    </w:tbl>
    <w:p>
      <w:r>
        <w:br w:type="page"/>
      </w:r>
    </w:p>
    <w:p>
      <w:pPr>
        <w:pStyle w:val="Heading1"/>
        <w:pBdr>
          <w:bottom w:val="single" w:color="42194E" w:sz="8" w:space="5"/>
        </w:pBdr>
        <w:spacing w:after="150" w:before="300"/>
      </w:pPr>
      <w:r>
        <w:rPr>
          <w:rFonts w:ascii="Arial" w:cs="Arial" w:eastAsia="Arial" w:hAnsi="Arial"/>
          <w:b/>
          <w:bCs/>
          <w:color w:val="42194E"/>
          <w:sz w:val="24"/>
          <w:szCs w:val="24"/>
        </w:rPr>
        <w:t xml:space="preserve">1. Cliente</w:t>
      </w:r>
    </w:p>
    <w:p>
      <w:pPr>
        <w:spacing w:after="110" w:line="270"/>
      </w:pPr>
      <w:r>
        <w:rPr>
          <w:rFonts w:ascii="Arial" w:cs="Arial" w:eastAsia="Arial" w:hAnsi="Arial"/>
          <w:color w:val="1A1A1A"/>
          <w:sz w:val="20"/>
          <w:szCs w:val="20"/>
        </w:rPr>
        <w:t xml:space="preserve">El cliente es el propietario del vehículo a quien se le emite el SOAT. Es una decisión de compañía y aplica sin excepción.</w:t>
      </w:r>
    </w:p>
    <w:p>
      <w:pPr>
        <w:spacing w:after="110" w:line="270"/>
      </w:pPr>
      <w:r>
        <w:rPr>
          <w:rFonts w:ascii="Arial" w:cs="Arial" w:eastAsia="Arial" w:hAnsi="Arial"/>
          <w:color w:val="1A1A1A"/>
          <w:sz w:val="20"/>
          <w:szCs w:val="20"/>
        </w:rPr>
        <w:t xml:space="preserve">El External ID se construye como tipo de documento más número de documento. El desarrollo aplica lógica de creación o actualización sobre ese identificador, nunca creación incondicional. Sin esta regla se generan terceros duplicados de forma masiva, porque el mismo asegurado renueva cada año.</w:t>
      </w:r>
    </w:p>
    <w:p>
      <w:pPr>
        <w:spacing w:after="11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100"/>
        <w:gridCol w:w="7000"/>
      </w:tblGrid>
      <w:tr>
        <w:trPr>
          <w:tblHeader/>
        </w:trPr>
        <w:tc>
          <w:tcPr>
            <w:tcW w:type="dxa" w:w="2100"/>
            <w:shd w:fill="42194E" w:val="clear"/>
            <w:tcMar>
              <w:top w:type="dxa" w:w="60"/>
              <w:left w:type="dxa" w:w="90"/>
              <w:bottom w:type="dxa" w:w="60"/>
              <w:right w:type="dxa" w:w="90"/>
            </w:tcMar>
          </w:tcPr>
          <w:p>
            <w:pPr>
              <w:spacing w:after="0" w:line="245"/>
            </w:pPr>
            <w:r>
              <w:rPr>
                <w:rFonts w:ascii="Arial" w:cs="Arial" w:eastAsia="Arial" w:hAnsi="Arial"/>
                <w:b/>
                <w:bCs/>
                <w:color w:val="FFFFFF"/>
                <w:sz w:val="17"/>
                <w:szCs w:val="17"/>
              </w:rPr>
              <w:t xml:space="preserve">Bloque</w:t>
            </w:r>
          </w:p>
        </w:tc>
        <w:tc>
          <w:tcPr>
            <w:tcW w:type="dxa" w:w="7000"/>
            <w:shd w:fill="42194E" w:val="clear"/>
            <w:tcMar>
              <w:top w:type="dxa" w:w="60"/>
              <w:left w:type="dxa" w:w="90"/>
              <w:bottom w:type="dxa" w:w="60"/>
              <w:right w:type="dxa" w:w="90"/>
            </w:tcMar>
          </w:tcPr>
          <w:p>
            <w:pPr>
              <w:spacing w:after="0" w:line="245"/>
            </w:pPr>
            <w:r>
              <w:rPr>
                <w:rFonts w:ascii="Arial" w:cs="Arial" w:eastAsia="Arial" w:hAnsi="Arial"/>
                <w:b/>
                <w:bCs/>
                <w:color w:val="FFFFFF"/>
                <w:sz w:val="17"/>
                <w:szCs w:val="17"/>
              </w:rPr>
              <w:t xml:space="preserve">Campos obligatorios</w:t>
            </w:r>
          </w:p>
        </w:tc>
      </w:tr>
      <w:tr>
        <w:tc>
          <w:tcPr>
            <w:tcW w:type="dxa" w:w="2100"/>
            <w:tcMar>
              <w:top w:type="dxa" w:w="60"/>
              <w:left w:type="dxa" w:w="90"/>
              <w:bottom w:type="dxa" w:w="60"/>
              <w:right w:type="dxa" w:w="90"/>
            </w:tcMar>
          </w:tcPr>
          <w:p>
            <w:pPr>
              <w:spacing w:after="0" w:line="245"/>
            </w:pPr>
            <w:r>
              <w:rPr>
                <w:rFonts w:ascii="Arial" w:cs="Arial" w:eastAsia="Arial" w:hAnsi="Arial"/>
                <w:color w:val="1A1A1A"/>
                <w:sz w:val="17"/>
                <w:szCs w:val="17"/>
              </w:rPr>
              <w:t xml:space="preserve">Identificación</w:t>
            </w:r>
          </w:p>
        </w:tc>
        <w:tc>
          <w:tcPr>
            <w:tcW w:type="dxa" w:w="7000"/>
            <w:tcMar>
              <w:top w:type="dxa" w:w="60"/>
              <w:left w:type="dxa" w:w="90"/>
              <w:bottom w:type="dxa" w:w="60"/>
              <w:right w:type="dxa" w:w="90"/>
            </w:tcMar>
          </w:tcPr>
          <w:p>
            <w:pPr>
              <w:spacing w:after="0" w:line="245"/>
            </w:pPr>
            <w:r>
              <w:rPr>
                <w:rFonts w:ascii="Arial" w:cs="Arial" w:eastAsia="Arial" w:hAnsi="Arial"/>
                <w:color w:val="1A1A1A"/>
                <w:sz w:val="17"/>
                <w:szCs w:val="17"/>
              </w:rPr>
              <w:t xml:space="preserve">Tipo y número de documento · Nombres y apellidos separados según estándar DIAN</w:t>
            </w:r>
          </w:p>
        </w:tc>
      </w:tr>
      <w:tr>
        <w:tc>
          <w:tcPr>
            <w:tcW w:type="dxa" w:w="21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Contacto</w:t>
            </w:r>
          </w:p>
        </w:tc>
        <w:tc>
          <w:tcPr>
            <w:tcW w:type="dxa" w:w="70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Dirección de residencia · Correo electrónico</w:t>
            </w:r>
          </w:p>
        </w:tc>
      </w:tr>
      <w:tr>
        <w:tc>
          <w:tcPr>
            <w:tcW w:type="dxa" w:w="2100"/>
            <w:tcMar>
              <w:top w:type="dxa" w:w="60"/>
              <w:left w:type="dxa" w:w="90"/>
              <w:bottom w:type="dxa" w:w="60"/>
              <w:right w:type="dxa" w:w="90"/>
            </w:tcMar>
          </w:tcPr>
          <w:p>
            <w:pPr>
              <w:spacing w:after="0" w:line="245"/>
            </w:pPr>
            <w:r>
              <w:rPr>
                <w:rFonts w:ascii="Arial" w:cs="Arial" w:eastAsia="Arial" w:hAnsi="Arial"/>
                <w:color w:val="1A1A1A"/>
                <w:sz w:val="17"/>
                <w:szCs w:val="17"/>
              </w:rPr>
              <w:t xml:space="preserve">Ubicación</w:t>
            </w:r>
          </w:p>
        </w:tc>
        <w:tc>
          <w:tcPr>
            <w:tcW w:type="dxa" w:w="7000"/>
            <w:tcMar>
              <w:top w:type="dxa" w:w="60"/>
              <w:left w:type="dxa" w:w="90"/>
              <w:bottom w:type="dxa" w:w="60"/>
              <w:right w:type="dxa" w:w="90"/>
            </w:tcMar>
          </w:tcPr>
          <w:p>
            <w:pPr>
              <w:spacing w:after="0" w:line="245"/>
            </w:pPr>
            <w:r>
              <w:rPr>
                <w:rFonts w:ascii="Arial" w:cs="Arial" w:eastAsia="Arial" w:hAnsi="Arial"/>
                <w:color w:val="1A1A1A"/>
                <w:sz w:val="17"/>
                <w:szCs w:val="17"/>
              </w:rPr>
              <w:t xml:space="preserve">Ciudad · Código DANE del municipio · Código postal real</w:t>
            </w:r>
          </w:p>
        </w:tc>
      </w:tr>
      <w:tr>
        <w:tc>
          <w:tcPr>
            <w:tcW w:type="dxa" w:w="21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Fiscal</w:t>
            </w:r>
          </w:p>
        </w:tc>
        <w:tc>
          <w:tcPr>
            <w:tcW w:type="dxa" w:w="70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Naturaleza del tercero · Régimen fiscal · Estado y ciudad DIAN</w:t>
            </w:r>
          </w:p>
        </w:tc>
      </w:tr>
      <w:tr>
        <w:tc>
          <w:tcPr>
            <w:tcW w:type="dxa" w:w="2100"/>
            <w:tcMar>
              <w:top w:type="dxa" w:w="60"/>
              <w:left w:type="dxa" w:w="90"/>
              <w:bottom w:type="dxa" w:w="60"/>
              <w:right w:type="dxa" w:w="90"/>
            </w:tcMar>
          </w:tcPr>
          <w:p>
            <w:pPr>
              <w:spacing w:after="0" w:line="245"/>
            </w:pPr>
            <w:r>
              <w:rPr>
                <w:rFonts w:ascii="Arial" w:cs="Arial" w:eastAsia="Arial" w:hAnsi="Arial"/>
                <w:color w:val="1A1A1A"/>
                <w:sz w:val="17"/>
                <w:szCs w:val="17"/>
              </w:rPr>
              <w:t xml:space="preserve">Documento electrónico</w:t>
            </w:r>
          </w:p>
        </w:tc>
        <w:tc>
          <w:tcPr>
            <w:tcW w:type="dxa" w:w="7000"/>
            <w:tcMar>
              <w:top w:type="dxa" w:w="60"/>
              <w:left w:type="dxa" w:w="90"/>
              <w:bottom w:type="dxa" w:w="60"/>
              <w:right w:type="dxa" w:w="90"/>
            </w:tcMar>
          </w:tcPr>
          <w:p>
            <w:pPr>
              <w:spacing w:after="0" w:line="245"/>
            </w:pPr>
            <w:r>
              <w:rPr>
                <w:rFonts w:ascii="Arial" w:cs="Arial" w:eastAsia="Arial" w:hAnsi="Arial"/>
                <w:color w:val="1A1A1A"/>
                <w:sz w:val="17"/>
                <w:szCs w:val="17"/>
              </w:rPr>
              <w:t xml:space="preserve">Paquete de documentos electrónicos · Nombre de la compañía</w:t>
            </w:r>
          </w:p>
        </w:tc>
      </w:tr>
    </w:tbl>
    <w:p>
      <w:pPr>
        <w:pBdr>
          <w:left w:val="single" w:color="42194E" w:sz="16" w:space="7"/>
        </w:pBdr>
        <w:shd w:fill="F2ECF4" w:val="clear"/>
        <w:spacing w:after="150" w:before="110"/>
        <w:ind w:left="110" w:right="110"/>
      </w:pPr>
      <w:r>
        <w:rPr>
          <w:rFonts w:ascii="Arial" w:cs="Arial" w:eastAsia="Arial" w:hAnsi="Arial"/>
          <w:color w:val="3A2540"/>
          <w:sz w:val="18"/>
          <w:szCs w:val="18"/>
        </w:rPr>
        <w:t xml:space="preserve">Regla de excepción para el código DANE: cuando el PAS no entregue una ciudad resoluble, se aplica por defecto el código de la dirección de la aseguradora (Calle 127 Bis No. 49-38, Bogotá). El registro debe quedar marcado y aparecer en un listado semanal de excepciones para corrección. No es un valor por defecto silencioso: la factura pasa la validación DIAN pero queda con un dato errado.</w:t>
      </w:r>
    </w:p>
    <w:p>
      <w:pPr>
        <w:pStyle w:val="Heading1"/>
        <w:pBdr>
          <w:bottom w:val="single" w:color="42194E" w:sz="8" w:space="5"/>
        </w:pBdr>
        <w:spacing w:after="150" w:before="300"/>
      </w:pPr>
      <w:r>
        <w:rPr>
          <w:rFonts w:ascii="Arial" w:cs="Arial" w:eastAsia="Arial" w:hAnsi="Arial"/>
          <w:b/>
          <w:bCs/>
          <w:color w:val="42194E"/>
          <w:sz w:val="24"/>
          <w:szCs w:val="24"/>
        </w:rPr>
        <w:t xml:space="preserve">2. Custom record de póliza</w:t>
      </w:r>
    </w:p>
    <w:p>
      <w:pPr>
        <w:spacing w:after="110" w:line="270"/>
      </w:pPr>
      <w:r>
        <w:rPr>
          <w:rFonts w:ascii="Arial" w:cs="Arial" w:eastAsia="Arial" w:hAnsi="Arial"/>
          <w:color w:val="1A1A1A"/>
          <w:sz w:val="20"/>
          <w:szCs w:val="20"/>
        </w:rPr>
        <w:t xml:space="preserve">Se crea un registro por póliza emitida. Es la fuente de los tres documentos y el soporte de trazabilidad frente al PAS.</w:t>
      </w:r>
    </w:p>
    <w:p>
      <w:pPr>
        <w:spacing w:after="11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800"/>
        <w:gridCol w:w="7300"/>
      </w:tblGrid>
      <w:tr>
        <w:trPr>
          <w:tblHeader/>
        </w:trPr>
        <w:tc>
          <w:tcPr>
            <w:tcW w:type="dxa" w:w="1800"/>
            <w:shd w:fill="42194E" w:val="clear"/>
            <w:tcMar>
              <w:top w:type="dxa" w:w="60"/>
              <w:left w:type="dxa" w:w="90"/>
              <w:bottom w:type="dxa" w:w="60"/>
              <w:right w:type="dxa" w:w="90"/>
            </w:tcMar>
          </w:tcPr>
          <w:p>
            <w:pPr>
              <w:spacing w:after="0" w:line="245"/>
            </w:pPr>
            <w:r>
              <w:rPr>
                <w:rFonts w:ascii="Arial" w:cs="Arial" w:eastAsia="Arial" w:hAnsi="Arial"/>
                <w:b/>
                <w:bCs/>
                <w:color w:val="FFFFFF"/>
                <w:sz w:val="17"/>
                <w:szCs w:val="17"/>
              </w:rPr>
              <w:t xml:space="preserve">Bloque</w:t>
            </w:r>
          </w:p>
        </w:tc>
        <w:tc>
          <w:tcPr>
            <w:tcW w:type="dxa" w:w="7300"/>
            <w:shd w:fill="42194E" w:val="clear"/>
            <w:tcMar>
              <w:top w:type="dxa" w:w="60"/>
              <w:left w:type="dxa" w:w="90"/>
              <w:bottom w:type="dxa" w:w="60"/>
              <w:right w:type="dxa" w:w="90"/>
            </w:tcMar>
          </w:tcPr>
          <w:p>
            <w:pPr>
              <w:spacing w:after="0" w:line="245"/>
            </w:pPr>
            <w:r>
              <w:rPr>
                <w:rFonts w:ascii="Arial" w:cs="Arial" w:eastAsia="Arial" w:hAnsi="Arial"/>
                <w:b/>
                <w:bCs/>
                <w:color w:val="FFFFFF"/>
                <w:sz w:val="17"/>
                <w:szCs w:val="17"/>
              </w:rPr>
              <w:t xml:space="preserve">Campos</w:t>
            </w:r>
          </w:p>
        </w:tc>
      </w:tr>
      <w:tr>
        <w:tc>
          <w:tcPr>
            <w:tcW w:type="dxa" w:w="1800"/>
            <w:tcMar>
              <w:top w:type="dxa" w:w="60"/>
              <w:left w:type="dxa" w:w="90"/>
              <w:bottom w:type="dxa" w:w="60"/>
              <w:right w:type="dxa" w:w="90"/>
            </w:tcMar>
          </w:tcPr>
          <w:p>
            <w:pPr>
              <w:spacing w:after="0" w:line="245"/>
            </w:pPr>
            <w:r>
              <w:rPr>
                <w:rFonts w:ascii="Arial" w:cs="Arial" w:eastAsia="Arial" w:hAnsi="Arial"/>
                <w:color w:val="1A1A1A"/>
                <w:sz w:val="17"/>
                <w:szCs w:val="17"/>
              </w:rPr>
              <w:t xml:space="preserve">Identificación</w:t>
            </w:r>
          </w:p>
        </w:tc>
        <w:tc>
          <w:tcPr>
            <w:tcW w:type="dxa" w:w="7300"/>
            <w:tcMar>
              <w:top w:type="dxa" w:w="60"/>
              <w:left w:type="dxa" w:w="90"/>
              <w:bottom w:type="dxa" w:w="60"/>
              <w:right w:type="dxa" w:w="90"/>
            </w:tcMar>
          </w:tcPr>
          <w:p>
            <w:pPr>
              <w:spacing w:after="0" w:line="245"/>
            </w:pPr>
            <w:r>
              <w:rPr>
                <w:rFonts w:ascii="Arial" w:cs="Arial" w:eastAsia="Arial" w:hAnsi="Arial"/>
                <w:color w:val="1A1A1A"/>
                <w:sz w:val="17"/>
                <w:szCs w:val="17"/>
              </w:rPr>
              <w:t xml:space="preserve">Número de póliza · Fecha de emisión · Inicio y fin de vigencia</w:t>
            </w:r>
          </w:p>
        </w:tc>
      </w:tr>
      <w:tr>
        <w:tc>
          <w:tcPr>
            <w:tcW w:type="dxa" w:w="18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Valores</w:t>
            </w:r>
          </w:p>
        </w:tc>
        <w:tc>
          <w:tcPr>
            <w:tcW w:type="dxa" w:w="73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Prima · Tarifa · Contribución ADRES · Valor RUNT · Cámara de compensación</w:t>
            </w:r>
          </w:p>
        </w:tc>
      </w:tr>
      <w:tr>
        <w:tc>
          <w:tcPr>
            <w:tcW w:type="dxa" w:w="1800"/>
            <w:tcMar>
              <w:top w:type="dxa" w:w="60"/>
              <w:left w:type="dxa" w:w="90"/>
              <w:bottom w:type="dxa" w:w="60"/>
              <w:right w:type="dxa" w:w="90"/>
            </w:tcMar>
          </w:tcPr>
          <w:p>
            <w:pPr>
              <w:spacing w:after="0" w:line="245"/>
            </w:pPr>
            <w:r>
              <w:rPr>
                <w:rFonts w:ascii="Arial" w:cs="Arial" w:eastAsia="Arial" w:hAnsi="Arial"/>
                <w:color w:val="1A1A1A"/>
                <w:sz w:val="17"/>
                <w:szCs w:val="17"/>
              </w:rPr>
              <w:t xml:space="preserve">Canal</w:t>
            </w:r>
          </w:p>
        </w:tc>
        <w:tc>
          <w:tcPr>
            <w:tcW w:type="dxa" w:w="7300"/>
            <w:tcMar>
              <w:top w:type="dxa" w:w="60"/>
              <w:left w:type="dxa" w:w="90"/>
              <w:bottom w:type="dxa" w:w="60"/>
              <w:right w:type="dxa" w:w="90"/>
            </w:tcMar>
          </w:tcPr>
          <w:p>
            <w:pPr>
              <w:spacing w:after="0" w:line="245"/>
            </w:pPr>
            <w:r>
              <w:rPr>
                <w:rFonts w:ascii="Arial" w:cs="Arial" w:eastAsia="Arial" w:hAnsi="Arial"/>
                <w:color w:val="1A1A1A"/>
                <w:sz w:val="17"/>
                <w:szCs w:val="17"/>
              </w:rPr>
              <w:t xml:space="preserve">Tipo de canal · Identificación del intermediario · Medio de pago · Comisión de intermediación</w:t>
            </w:r>
          </w:p>
        </w:tc>
      </w:tr>
      <w:tr>
        <w:tc>
          <w:tcPr>
            <w:tcW w:type="dxa" w:w="18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Trazabilidad</w:t>
            </w:r>
          </w:p>
        </w:tc>
        <w:tc>
          <w:tcPr>
            <w:tcW w:type="dxa" w:w="73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Fecha de recepción efectiva de la prima · Portafolio · Cohorte anual · Clasificación de onerosidad</w:t>
            </w:r>
          </w:p>
        </w:tc>
      </w:tr>
      <w:tr>
        <w:tc>
          <w:tcPr>
            <w:tcW w:type="dxa" w:w="1800"/>
            <w:tcMar>
              <w:top w:type="dxa" w:w="60"/>
              <w:left w:type="dxa" w:w="90"/>
              <w:bottom w:type="dxa" w:w="60"/>
              <w:right w:type="dxa" w:w="90"/>
            </w:tcMar>
          </w:tcPr>
          <w:p>
            <w:pPr>
              <w:spacing w:after="0" w:line="245"/>
            </w:pPr>
            <w:r>
              <w:rPr>
                <w:rFonts w:ascii="Arial" w:cs="Arial" w:eastAsia="Arial" w:hAnsi="Arial"/>
                <w:color w:val="1A1A1A"/>
                <w:sz w:val="17"/>
                <w:szCs w:val="17"/>
              </w:rPr>
              <w:t xml:space="preserve">Detalle</w:t>
            </w:r>
          </w:p>
        </w:tc>
        <w:tc>
          <w:tcPr>
            <w:tcW w:type="dxa" w:w="7300"/>
            <w:tcMar>
              <w:top w:type="dxa" w:w="60"/>
              <w:left w:type="dxa" w:w="90"/>
              <w:bottom w:type="dxa" w:w="60"/>
              <w:right w:type="dxa" w:w="90"/>
            </w:tcMar>
          </w:tcPr>
          <w:p>
            <w:pPr>
              <w:spacing w:after="0" w:line="245"/>
            </w:pPr>
            <w:r>
              <w:rPr>
                <w:rFonts w:ascii="Arial" w:cs="Arial" w:eastAsia="Arial" w:hAnsi="Arial"/>
                <w:color w:val="1A1A1A"/>
                <w:sz w:val="17"/>
                <w:szCs w:val="17"/>
              </w:rPr>
              <w:t xml:space="preserve">Desagregación de la prima y carga excepcional</w:t>
            </w:r>
          </w:p>
        </w:tc>
      </w:tr>
    </w:tbl>
    <w:p>
      <w:pPr>
        <w:pBdr>
          <w:left w:val="single" w:color="42194E" w:sz="16" w:space="7"/>
        </w:pBdr>
        <w:shd w:fill="F2ECF4" w:val="clear"/>
        <w:spacing w:after="150" w:before="110"/>
        <w:ind w:left="110" w:right="110"/>
      </w:pPr>
      <w:r>
        <w:rPr>
          <w:rFonts w:ascii="Arial" w:cs="Arial" w:eastAsia="Arial" w:hAnsi="Arial"/>
          <w:color w:val="3A2540"/>
          <w:sz w:val="18"/>
          <w:szCs w:val="18"/>
        </w:rPr>
        <w:t xml:space="preserve">Los campos de trazabilidad no intervienen en la contabilización actual. Se capturan porque la transición a NIIF 17 se hará bajo enfoque retrospectivo completo con fecha efectiva 1 de enero de 2028, y un dato que no se capturó en su momento no puede reconstruirse después. Son obligatorios desde la primera emisión.</w:t>
      </w:r>
    </w:p>
    <w:p>
      <w:pPr>
        <w:pBdr>
          <w:left w:val="single" w:color="A6446B" w:sz="16" w:space="7"/>
        </w:pBdr>
        <w:spacing w:after="140" w:before="100"/>
        <w:ind w:left="110"/>
      </w:pPr>
      <w:r>
        <w:rPr>
          <w:rFonts w:ascii="Arial" w:cs="Arial" w:eastAsia="Arial" w:hAnsi="Arial"/>
          <w:b/>
          <w:bCs/>
          <w:color w:val="A6446B"/>
          <w:sz w:val="18"/>
          <w:szCs w:val="18"/>
        </w:rPr>
        <w:t xml:space="preserve">Brecha detectada (sesión E2E 27-jul): </w:t>
      </w:r>
      <w:r>
        <w:rPr>
          <w:rFonts w:ascii="Arial" w:cs="Arial" w:eastAsia="Arial" w:hAnsi="Arial"/>
          <w:color w:val="3A2540"/>
          <w:sz w:val="18"/>
          <w:szCs w:val="18"/>
        </w:rPr>
        <w:t xml:space="preserve">tarifa y valor RUNT llegan vacíos al custom record. Deben poblarse desde el PAS.</w:t>
      </w:r>
    </w:p>
    <w:p>
      <w:r>
        <w:br w:type="page"/>
      </w:r>
    </w:p>
    <w:p>
      <w:pPr>
        <w:pStyle w:val="Heading1"/>
        <w:pBdr>
          <w:bottom w:val="single" w:color="42194E" w:sz="8" w:space="5"/>
        </w:pBdr>
        <w:spacing w:after="150" w:before="300"/>
      </w:pPr>
      <w:r>
        <w:rPr>
          <w:rFonts w:ascii="Arial" w:cs="Arial" w:eastAsia="Arial" w:hAnsi="Arial"/>
          <w:b/>
          <w:bCs/>
          <w:color w:val="42194E"/>
          <w:sz w:val="24"/>
          <w:szCs w:val="24"/>
        </w:rPr>
        <w:t xml:space="preserve">3. Documento 1 — Factura de venta</w:t>
      </w:r>
    </w:p>
    <w:p>
      <w:pPr>
        <w:spacing w:after="110" w:line="270"/>
      </w:pPr>
      <w:r>
        <w:rPr>
          <w:rFonts w:ascii="Arial" w:cs="Arial" w:eastAsia="Arial" w:hAnsi="Arial"/>
          <w:color w:val="1A1A1A"/>
          <w:sz w:val="20"/>
          <w:szCs w:val="20"/>
        </w:rPr>
        <w:t xml:space="preserve">Copia fiel de lo emitido en la póliza. La fecha del documento es la fecha de emisión de la póliza, no la fecha de procesamiento de la cola.</w:t>
      </w:r>
    </w:p>
    <w:p>
      <w:pPr>
        <w:spacing w:after="110" w:line="270"/>
      </w:pPr>
      <w:r>
        <w:rPr>
          <w:rFonts w:ascii="Arial" w:cs="Arial" w:eastAsia="Arial" w:hAnsi="Arial"/>
          <w:color w:val="1A1A1A"/>
          <w:sz w:val="20"/>
          <w:szCs w:val="20"/>
        </w:rPr>
        <w:t xml:space="preserve">La factura lleva tres artículos con los valores exactos registrados en la póliza. La prima es ingreso; ADRES y RUNT son recaudos a favor de terceros y por eso golpean pasivo, no ingreso.</w:t>
      </w:r>
    </w:p>
    <w:p>
      <w:pPr>
        <w:spacing w:after="11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500"/>
        <w:gridCol w:w="2400"/>
        <w:gridCol w:w="4200"/>
      </w:tblGrid>
      <w:tr>
        <w:trPr>
          <w:tblHeader/>
        </w:trPr>
        <w:tc>
          <w:tcPr>
            <w:tcW w:type="dxa" w:w="2500"/>
            <w:shd w:fill="42194E" w:val="clear"/>
            <w:tcMar>
              <w:top w:type="dxa" w:w="60"/>
              <w:left w:type="dxa" w:w="90"/>
              <w:bottom w:type="dxa" w:w="60"/>
              <w:right w:type="dxa" w:w="90"/>
            </w:tcMar>
          </w:tcPr>
          <w:p>
            <w:pPr>
              <w:spacing w:after="0" w:line="245"/>
            </w:pPr>
            <w:r>
              <w:rPr>
                <w:rFonts w:ascii="Arial" w:cs="Arial" w:eastAsia="Arial" w:hAnsi="Arial"/>
                <w:b/>
                <w:bCs/>
                <w:color w:val="FFFFFF"/>
                <w:sz w:val="17"/>
                <w:szCs w:val="17"/>
              </w:rPr>
              <w:t xml:space="preserve">Artículo</w:t>
            </w:r>
          </w:p>
        </w:tc>
        <w:tc>
          <w:tcPr>
            <w:tcW w:type="dxa" w:w="2400"/>
            <w:shd w:fill="42194E" w:val="clear"/>
            <w:tcMar>
              <w:top w:type="dxa" w:w="60"/>
              <w:left w:type="dxa" w:w="90"/>
              <w:bottom w:type="dxa" w:w="60"/>
              <w:right w:type="dxa" w:w="90"/>
            </w:tcMar>
          </w:tcPr>
          <w:p>
            <w:pPr>
              <w:spacing w:after="0" w:line="245"/>
            </w:pPr>
            <w:r>
              <w:rPr>
                <w:rFonts w:ascii="Arial" w:cs="Arial" w:eastAsia="Arial" w:hAnsi="Arial"/>
                <w:b/>
                <w:bCs/>
                <w:color w:val="FFFFFF"/>
                <w:sz w:val="17"/>
                <w:szCs w:val="17"/>
              </w:rPr>
              <w:t xml:space="preserve">Cuenta</w:t>
            </w:r>
          </w:p>
        </w:tc>
        <w:tc>
          <w:tcPr>
            <w:tcW w:type="dxa" w:w="4200"/>
            <w:shd w:fill="42194E" w:val="clear"/>
            <w:tcMar>
              <w:top w:type="dxa" w:w="60"/>
              <w:left w:type="dxa" w:w="90"/>
              <w:bottom w:type="dxa" w:w="60"/>
              <w:right w:type="dxa" w:w="90"/>
            </w:tcMar>
          </w:tcPr>
          <w:p>
            <w:pPr>
              <w:spacing w:after="0" w:line="245"/>
            </w:pPr>
            <w:r>
              <w:rPr>
                <w:rFonts w:ascii="Arial" w:cs="Arial" w:eastAsia="Arial" w:hAnsi="Arial"/>
                <w:b/>
                <w:bCs/>
                <w:color w:val="FFFFFF"/>
                <w:sz w:val="17"/>
                <w:szCs w:val="17"/>
              </w:rPr>
              <w:t xml:space="preserve">Movimiento</w:t>
            </w:r>
          </w:p>
        </w:tc>
      </w:tr>
      <w:tr>
        <w:tc>
          <w:tcPr>
            <w:tcW w:type="dxa" w:w="2500"/>
            <w:tcMar>
              <w:top w:type="dxa" w:w="60"/>
              <w:left w:type="dxa" w:w="90"/>
              <w:bottom w:type="dxa" w:w="60"/>
              <w:right w:type="dxa" w:w="90"/>
            </w:tcMar>
          </w:tcPr>
          <w:p>
            <w:pPr>
              <w:spacing w:after="0" w:line="245"/>
            </w:pPr>
            <w:r>
              <w:rPr>
                <w:rFonts w:ascii="Arial" w:cs="Arial" w:eastAsia="Arial" w:hAnsi="Arial"/>
                <w:color w:val="1A1A1A"/>
                <w:sz w:val="17"/>
                <w:szCs w:val="17"/>
              </w:rPr>
              <w:t xml:space="preserve">Prima</w:t>
            </w:r>
          </w:p>
        </w:tc>
        <w:tc>
          <w:tcPr>
            <w:tcW w:type="dxa" w:w="2400"/>
            <w:tcMar>
              <w:top w:type="dxa" w:w="60"/>
              <w:left w:type="dxa" w:w="90"/>
              <w:bottom w:type="dxa" w:w="60"/>
              <w:right w:type="dxa" w:w="90"/>
            </w:tcMar>
          </w:tcPr>
          <w:p>
            <w:pPr>
              <w:spacing w:after="0" w:line="245"/>
            </w:pPr>
            <w:r>
              <w:rPr>
                <w:rFonts w:ascii="Arial" w:cs="Arial" w:eastAsia="Arial" w:hAnsi="Arial"/>
                <w:color w:val="1A1A1A"/>
                <w:sz w:val="17"/>
                <w:szCs w:val="17"/>
              </w:rPr>
              <w:t xml:space="preserve">4159030201</w:t>
            </w:r>
          </w:p>
        </w:tc>
        <w:tc>
          <w:tcPr>
            <w:tcW w:type="dxa" w:w="4200"/>
            <w:tcMar>
              <w:top w:type="dxa" w:w="60"/>
              <w:left w:type="dxa" w:w="90"/>
              <w:bottom w:type="dxa" w:w="60"/>
              <w:right w:type="dxa" w:w="90"/>
            </w:tcMar>
          </w:tcPr>
          <w:p>
            <w:pPr>
              <w:spacing w:after="0" w:line="245"/>
            </w:pPr>
            <w:r>
              <w:rPr>
                <w:rFonts w:ascii="Arial" w:cs="Arial" w:eastAsia="Arial" w:hAnsi="Arial"/>
                <w:color w:val="1A1A1A"/>
                <w:sz w:val="17"/>
                <w:szCs w:val="17"/>
              </w:rPr>
              <w:t xml:space="preserve">Crédito · Ingreso</w:t>
            </w:r>
          </w:p>
        </w:tc>
      </w:tr>
      <w:tr>
        <w:tc>
          <w:tcPr>
            <w:tcW w:type="dxa" w:w="25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Contribución ADRES</w:t>
            </w:r>
          </w:p>
        </w:tc>
        <w:tc>
          <w:tcPr>
            <w:tcW w:type="dxa" w:w="24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2990400005</w:t>
            </w:r>
          </w:p>
        </w:tc>
        <w:tc>
          <w:tcPr>
            <w:tcW w:type="dxa" w:w="42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Crédito · Pasivo</w:t>
            </w:r>
          </w:p>
        </w:tc>
      </w:tr>
      <w:tr>
        <w:tc>
          <w:tcPr>
            <w:tcW w:type="dxa" w:w="2500"/>
            <w:tcMar>
              <w:top w:type="dxa" w:w="60"/>
              <w:left w:type="dxa" w:w="90"/>
              <w:bottom w:type="dxa" w:w="60"/>
              <w:right w:type="dxa" w:w="90"/>
            </w:tcMar>
          </w:tcPr>
          <w:p>
            <w:pPr>
              <w:spacing w:after="0" w:line="245"/>
            </w:pPr>
            <w:r>
              <w:rPr>
                <w:rFonts w:ascii="Arial" w:cs="Arial" w:eastAsia="Arial" w:hAnsi="Arial"/>
                <w:color w:val="1A1A1A"/>
                <w:sz w:val="17"/>
                <w:szCs w:val="17"/>
              </w:rPr>
              <w:t xml:space="preserve">Tasa RUNT</w:t>
            </w:r>
          </w:p>
        </w:tc>
        <w:tc>
          <w:tcPr>
            <w:tcW w:type="dxa" w:w="2400"/>
            <w:tcMar>
              <w:top w:type="dxa" w:w="60"/>
              <w:left w:type="dxa" w:w="90"/>
              <w:bottom w:type="dxa" w:w="60"/>
              <w:right w:type="dxa" w:w="90"/>
            </w:tcMar>
          </w:tcPr>
          <w:p>
            <w:pPr>
              <w:spacing w:after="0" w:line="245"/>
            </w:pPr>
            <w:r>
              <w:rPr>
                <w:rFonts w:ascii="Arial" w:cs="Arial" w:eastAsia="Arial" w:hAnsi="Arial"/>
                <w:color w:val="1A1A1A"/>
                <w:sz w:val="17"/>
                <w:szCs w:val="17"/>
              </w:rPr>
              <w:t xml:space="preserve">2990400006</w:t>
            </w:r>
          </w:p>
        </w:tc>
        <w:tc>
          <w:tcPr>
            <w:tcW w:type="dxa" w:w="4200"/>
            <w:tcMar>
              <w:top w:type="dxa" w:w="60"/>
              <w:left w:type="dxa" w:w="90"/>
              <w:bottom w:type="dxa" w:w="60"/>
              <w:right w:type="dxa" w:w="90"/>
            </w:tcMar>
          </w:tcPr>
          <w:p>
            <w:pPr>
              <w:spacing w:after="0" w:line="245"/>
            </w:pPr>
            <w:r>
              <w:rPr>
                <w:rFonts w:ascii="Arial" w:cs="Arial" w:eastAsia="Arial" w:hAnsi="Arial"/>
                <w:color w:val="1A1A1A"/>
                <w:sz w:val="17"/>
                <w:szCs w:val="17"/>
              </w:rPr>
              <w:t xml:space="preserve">Crédito · Pasivo</w:t>
            </w:r>
          </w:p>
        </w:tc>
      </w:tr>
      <w:tr>
        <w:tc>
          <w:tcPr>
            <w:tcW w:type="dxa" w:w="25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Contrapartida</w:t>
            </w:r>
          </w:p>
        </w:tc>
        <w:tc>
          <w:tcPr>
            <w:tcW w:type="dxa" w:w="24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1614100001</w:t>
            </w:r>
          </w:p>
        </w:tc>
        <w:tc>
          <w:tcPr>
            <w:tcW w:type="dxa" w:w="42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Débito · Cuentas por cobrar</w:t>
            </w:r>
          </w:p>
        </w:tc>
      </w:tr>
    </w:tbl>
    <w:p>
      <w:pPr>
        <w:spacing w:after="110"/>
      </w:pPr>
    </w:p>
    <w:p>
      <w:pPr>
        <w:spacing w:after="110" w:line="270"/>
      </w:pPr>
      <w:r>
        <w:rPr>
          <w:rFonts w:ascii="Arial" w:cs="Arial" w:eastAsia="Arial" w:hAnsi="Arial"/>
          <w:b/>
          <w:bCs/>
          <w:color w:val="1A1A1A"/>
          <w:sz w:val="20"/>
          <w:szCs w:val="20"/>
        </w:rPr>
        <w:t xml:space="preserve">El número de póliza debe bajar del encabezado a las líneas del documento. Requiere diligenciar los campos unitarios.</w:t>
      </w:r>
    </w:p>
    <w:p>
      <w:pPr>
        <w:pStyle w:val="Heading2"/>
        <w:spacing w:after="100" w:before="200"/>
      </w:pPr>
      <w:r>
        <w:rPr>
          <w:rFonts w:ascii="Arial" w:cs="Arial" w:eastAsia="Arial" w:hAnsi="Arial"/>
          <w:b/>
          <w:bCs/>
          <w:color w:val="A6446B"/>
          <w:sz w:val="21"/>
          <w:szCs w:val="21"/>
        </w:rPr>
        <w:t xml:space="preserve">Canales de venta</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400"/>
        <w:gridCol w:w="6700"/>
      </w:tblGrid>
      <w:tr>
        <w:trPr>
          <w:tblHeader/>
        </w:trPr>
        <w:tc>
          <w:tcPr>
            <w:tcW w:type="dxa" w:w="2400"/>
            <w:shd w:fill="42194E" w:val="clear"/>
            <w:tcMar>
              <w:top w:type="dxa" w:w="60"/>
              <w:left w:type="dxa" w:w="90"/>
              <w:bottom w:type="dxa" w:w="60"/>
              <w:right w:type="dxa" w:w="90"/>
            </w:tcMar>
          </w:tcPr>
          <w:p>
            <w:pPr>
              <w:spacing w:after="0" w:line="245"/>
            </w:pPr>
            <w:r>
              <w:rPr>
                <w:rFonts w:ascii="Arial" w:cs="Arial" w:eastAsia="Arial" w:hAnsi="Arial"/>
                <w:b/>
                <w:bCs/>
                <w:color w:val="FFFFFF"/>
                <w:sz w:val="17"/>
                <w:szCs w:val="17"/>
              </w:rPr>
              <w:t xml:space="preserve">Canal</w:t>
            </w:r>
          </w:p>
        </w:tc>
        <w:tc>
          <w:tcPr>
            <w:tcW w:type="dxa" w:w="6700"/>
            <w:shd w:fill="42194E" w:val="clear"/>
            <w:tcMar>
              <w:top w:type="dxa" w:w="60"/>
              <w:left w:type="dxa" w:w="90"/>
              <w:bottom w:type="dxa" w:w="60"/>
              <w:right w:type="dxa" w:w="90"/>
            </w:tcMar>
          </w:tcPr>
          <w:p>
            <w:pPr>
              <w:spacing w:after="0" w:line="245"/>
            </w:pPr>
            <w:r>
              <w:rPr>
                <w:rFonts w:ascii="Arial" w:cs="Arial" w:eastAsia="Arial" w:hAnsi="Arial"/>
                <w:b/>
                <w:bCs/>
                <w:color w:val="FFFFFF"/>
                <w:sz w:val="17"/>
                <w:szCs w:val="17"/>
              </w:rPr>
              <w:t xml:space="preserve">Comportamiento contable</w:t>
            </w:r>
          </w:p>
        </w:tc>
      </w:tr>
      <w:tr>
        <w:tc>
          <w:tcPr>
            <w:tcW w:type="dxa" w:w="2400"/>
            <w:tcMar>
              <w:top w:type="dxa" w:w="60"/>
              <w:left w:type="dxa" w:w="90"/>
              <w:bottom w:type="dxa" w:w="60"/>
              <w:right w:type="dxa" w:w="90"/>
            </w:tcMar>
          </w:tcPr>
          <w:p>
            <w:pPr>
              <w:spacing w:after="0" w:line="245"/>
            </w:pPr>
            <w:r>
              <w:rPr>
                <w:rFonts w:ascii="Arial" w:cs="Arial" w:eastAsia="Arial" w:hAnsi="Arial"/>
                <w:color w:val="1A1A1A"/>
                <w:sz w:val="17"/>
                <w:szCs w:val="17"/>
              </w:rPr>
              <w:t xml:space="preserve">Venta directa</w:t>
            </w:r>
          </w:p>
        </w:tc>
        <w:tc>
          <w:tcPr>
            <w:tcW w:type="dxa" w:w="6700"/>
            <w:tcMar>
              <w:top w:type="dxa" w:w="60"/>
              <w:left w:type="dxa" w:w="90"/>
              <w:bottom w:type="dxa" w:w="60"/>
              <w:right w:type="dxa" w:w="90"/>
            </w:tcMar>
          </w:tcPr>
          <w:p>
            <w:pPr>
              <w:spacing w:after="0" w:line="245"/>
            </w:pPr>
            <w:r>
              <w:rPr>
                <w:rFonts w:ascii="Arial" w:cs="Arial" w:eastAsia="Arial" w:hAnsi="Arial"/>
                <w:color w:val="1A1A1A"/>
                <w:sz w:val="17"/>
                <w:szCs w:val="17"/>
              </w:rPr>
              <w:t xml:space="preserve">Se genera la cuenta por cobrar y se reconoce de inmediato el pago según el medio de pago del cliente.</w:t>
            </w:r>
          </w:p>
        </w:tc>
      </w:tr>
      <w:tr>
        <w:tc>
          <w:tcPr>
            <w:tcW w:type="dxa" w:w="24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Intermediario</w:t>
            </w:r>
          </w:p>
        </w:tc>
        <w:tc>
          <w:tcPr>
            <w:tcW w:type="dxa" w:w="67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Se genera la cuenta por cobrar y el saldo pasa a la transitoria 1604050007, que posteriormente se concilia con el intermediario cuando este paga.</w:t>
            </w:r>
          </w:p>
        </w:tc>
      </w:tr>
      <w:tr>
        <w:tc>
          <w:tcPr>
            <w:tcW w:type="dxa" w:w="2400"/>
            <w:tcMar>
              <w:top w:type="dxa" w:w="60"/>
              <w:left w:type="dxa" w:w="90"/>
              <w:bottom w:type="dxa" w:w="60"/>
              <w:right w:type="dxa" w:w="90"/>
            </w:tcMar>
          </w:tcPr>
          <w:p>
            <w:pPr>
              <w:spacing w:after="0" w:line="245"/>
            </w:pPr>
            <w:r>
              <w:rPr>
                <w:rFonts w:ascii="Arial" w:cs="Arial" w:eastAsia="Arial" w:hAnsi="Arial"/>
                <w:color w:val="1A1A1A"/>
                <w:sz w:val="17"/>
                <w:szCs w:val="17"/>
              </w:rPr>
              <w:t xml:space="preserve">Recaudo delegado sin intermediario</w:t>
            </w:r>
          </w:p>
        </w:tc>
        <w:tc>
          <w:tcPr>
            <w:tcW w:type="dxa" w:w="6700"/>
            <w:tcMar>
              <w:top w:type="dxa" w:w="60"/>
              <w:left w:type="dxa" w:w="90"/>
              <w:bottom w:type="dxa" w:w="60"/>
              <w:right w:type="dxa" w:w="90"/>
            </w:tcMar>
          </w:tcPr>
          <w:p>
            <w:pPr>
              <w:spacing w:after="0" w:line="245"/>
            </w:pPr>
            <w:r>
              <w:rPr>
                <w:rFonts w:ascii="Arial" w:cs="Arial" w:eastAsia="Arial" w:hAnsi="Arial"/>
                <w:color w:val="1A1A1A"/>
                <w:sz w:val="17"/>
                <w:szCs w:val="17"/>
              </w:rPr>
              <w:t xml:space="preserve">Pendiente de definir. No está contemplado hoy en el sistema.</w:t>
            </w:r>
          </w:p>
        </w:tc>
      </w:tr>
    </w:tbl>
    <w:p>
      <w:pPr>
        <w:pBdr>
          <w:left w:val="single" w:color="A6446B" w:sz="16" w:space="7"/>
        </w:pBdr>
        <w:spacing w:after="140" w:before="100"/>
        <w:ind w:left="110"/>
      </w:pPr>
      <w:r>
        <w:rPr>
          <w:rFonts w:ascii="Arial" w:cs="Arial" w:eastAsia="Arial" w:hAnsi="Arial"/>
          <w:b/>
          <w:bCs/>
          <w:color w:val="A6446B"/>
          <w:sz w:val="18"/>
          <w:szCs w:val="18"/>
        </w:rPr>
        <w:t xml:space="preserve">Brecha detectada (sesión E2E 27-jul): </w:t>
      </w:r>
      <w:r>
        <w:rPr>
          <w:rFonts w:ascii="Arial" w:cs="Arial" w:eastAsia="Arial" w:hAnsi="Arial"/>
          <w:color w:val="3A2540"/>
          <w:sz w:val="18"/>
          <w:szCs w:val="18"/>
        </w:rPr>
        <w:t xml:space="preserve">todas las pólizas se están etiquetando como intermediario con un prefijo por defecto. El sistema debe diferenciar correctamente los tres canales: de ello depende el cálculo de comisiones y la gestión de los pagos.</w:t>
      </w:r>
    </w:p>
    <w:p>
      <w:pPr>
        <w:pStyle w:val="Heading2"/>
        <w:spacing w:after="100" w:before="200"/>
      </w:pPr>
      <w:r>
        <w:rPr>
          <w:rFonts w:ascii="Arial" w:cs="Arial" w:eastAsia="Arial" w:hAnsi="Arial"/>
          <w:b/>
          <w:bCs/>
          <w:color w:val="A6446B"/>
          <w:sz w:val="21"/>
          <w:szCs w:val="21"/>
        </w:rPr>
        <w:t xml:space="preserve">Facturación electrónica</w:t>
      </w:r>
    </w:p>
    <w:p>
      <w:pPr>
        <w:pStyle w:val="ListParagraph"/>
        <w:numPr>
          <w:ilvl w:val="0"/>
          <w:numId w:val="1"/>
        </w:numPr>
        <w:spacing w:after="80" w:line="270"/>
      </w:pPr>
      <w:r>
        <w:rPr>
          <w:rFonts w:ascii="Arial" w:cs="Arial" w:eastAsia="Arial" w:hAnsi="Arial"/>
          <w:sz w:val="20"/>
          <w:szCs w:val="20"/>
        </w:rPr>
        <w:t xml:space="preserve">Configurar forma de pago y asociación de plantilla para que los campos se llenen sin intervención manual.</w:t>
      </w:r>
    </w:p>
    <w:p>
      <w:pPr>
        <w:pStyle w:val="ListParagraph"/>
        <w:numPr>
          <w:ilvl w:val="0"/>
          <w:numId w:val="1"/>
        </w:numPr>
        <w:spacing w:after="80" w:line="270"/>
      </w:pPr>
      <w:r>
        <w:rPr>
          <w:rFonts w:ascii="Arial" w:cs="Arial" w:eastAsia="Arial" w:hAnsi="Arial"/>
          <w:sz w:val="20"/>
          <w:szCs w:val="20"/>
        </w:rPr>
        <w:t xml:space="preserve">Ejecutar en secuencia: generar certificado, obtener documento, enviar documento.</w:t>
      </w:r>
    </w:p>
    <w:p>
      <w:pPr>
        <w:pStyle w:val="ListParagraph"/>
        <w:numPr>
          <w:ilvl w:val="0"/>
          <w:numId w:val="1"/>
        </w:numPr>
        <w:spacing w:after="80" w:line="270"/>
      </w:pPr>
      <w:r>
        <w:rPr>
          <w:rFonts w:ascii="Arial" w:cs="Arial" w:eastAsia="Arial" w:hAnsi="Arial"/>
          <w:sz w:val="20"/>
          <w:szCs w:val="20"/>
        </w:rPr>
        <w:t xml:space="preserve">Obtener la representación gráfica en PDF y validar la respuesta de la DIAN antes de cerrar el proceso.</w:t>
      </w:r>
    </w:p>
    <w:p>
      <w:pPr>
        <w:pBdr>
          <w:left w:val="single" w:color="42194E" w:sz="16" w:space="7"/>
        </w:pBdr>
        <w:shd w:fill="F2ECF4" w:val="clear"/>
        <w:spacing w:after="150" w:before="110"/>
        <w:ind w:left="110" w:right="110"/>
      </w:pPr>
      <w:r>
        <w:rPr>
          <w:rFonts w:ascii="Arial" w:cs="Arial" w:eastAsia="Arial" w:hAnsi="Arial"/>
          <w:color w:val="3A2540"/>
          <w:sz w:val="18"/>
          <w:szCs w:val="18"/>
        </w:rPr>
        <w:t xml:space="preserve">El módulo nativo de Oracle presenta limitaciones de rendimiento para volúmenes altos de facturación electrónica. Dado el volumen esperado en SOAT, debe evaluarse una integración vía API como alternativa. No bloquea las pruebas actuales, pero sí el go-live.</w:t>
      </w:r>
    </w:p>
    <w:p>
      <w:r>
        <w:br w:type="page"/>
      </w:r>
    </w:p>
    <w:p>
      <w:pPr>
        <w:pStyle w:val="Heading1"/>
        <w:pBdr>
          <w:bottom w:val="single" w:color="42194E" w:sz="8" w:space="5"/>
        </w:pBdr>
        <w:spacing w:after="150" w:before="300"/>
      </w:pPr>
      <w:r>
        <w:rPr>
          <w:rFonts w:ascii="Arial" w:cs="Arial" w:eastAsia="Arial" w:hAnsi="Arial"/>
          <w:b/>
          <w:bCs/>
          <w:color w:val="42194E"/>
          <w:sz w:val="24"/>
          <w:szCs w:val="24"/>
        </w:rPr>
        <w:t xml:space="preserve">4. Documento 2 — Cámara de compensación</w:t>
      </w:r>
    </w:p>
    <w:p>
      <w:pPr>
        <w:spacing w:after="110" w:line="270"/>
      </w:pPr>
      <w:r>
        <w:rPr>
          <w:rFonts w:ascii="Arial" w:cs="Arial" w:eastAsia="Arial" w:hAnsi="Arial"/>
          <w:color w:val="1A1A1A"/>
          <w:sz w:val="20"/>
          <w:szCs w:val="20"/>
        </w:rPr>
        <w:t xml:space="preserve">Se genera automáticamente asociado a la factura. La emisión de la póliza dispara el motor actuarial, que devuelve el valor. Manta Seguros no lo calcula ni lo estima.</w:t>
      </w:r>
    </w:p>
    <w:p>
      <w:pPr>
        <w:spacing w:after="11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4900"/>
      </w:tblGrid>
      <w:tr>
        <w:trPr>
          <w:tblHeader/>
        </w:trPr>
        <w:tc>
          <w:tcPr>
            <w:tcW w:type="dxa" w:w="1900"/>
            <w:shd w:fill="42194E" w:val="clear"/>
            <w:tcMar>
              <w:top w:type="dxa" w:w="60"/>
              <w:left w:type="dxa" w:w="90"/>
              <w:bottom w:type="dxa" w:w="60"/>
              <w:right w:type="dxa" w:w="90"/>
            </w:tcMar>
          </w:tcPr>
          <w:p>
            <w:pPr>
              <w:spacing w:after="0" w:line="245"/>
            </w:pPr>
            <w:r>
              <w:rPr>
                <w:rFonts w:ascii="Arial" w:cs="Arial" w:eastAsia="Arial" w:hAnsi="Arial"/>
                <w:b/>
                <w:bCs/>
                <w:color w:val="FFFFFF"/>
                <w:sz w:val="17"/>
                <w:szCs w:val="17"/>
              </w:rPr>
              <w:t xml:space="preserve">Movimiento</w:t>
            </w:r>
          </w:p>
        </w:tc>
        <w:tc>
          <w:tcPr>
            <w:tcW w:type="dxa" w:w="2300"/>
            <w:shd w:fill="42194E" w:val="clear"/>
            <w:tcMar>
              <w:top w:type="dxa" w:w="60"/>
              <w:left w:type="dxa" w:w="90"/>
              <w:bottom w:type="dxa" w:w="60"/>
              <w:right w:type="dxa" w:w="90"/>
            </w:tcMar>
          </w:tcPr>
          <w:p>
            <w:pPr>
              <w:spacing w:after="0" w:line="245"/>
            </w:pPr>
            <w:r>
              <w:rPr>
                <w:rFonts w:ascii="Arial" w:cs="Arial" w:eastAsia="Arial" w:hAnsi="Arial"/>
                <w:b/>
                <w:bCs/>
                <w:color w:val="FFFFFF"/>
                <w:sz w:val="17"/>
                <w:szCs w:val="17"/>
              </w:rPr>
              <w:t xml:space="preserve">Cuenta</w:t>
            </w:r>
          </w:p>
        </w:tc>
        <w:tc>
          <w:tcPr>
            <w:tcW w:type="dxa" w:w="4900"/>
            <w:shd w:fill="42194E" w:val="clear"/>
            <w:tcMar>
              <w:top w:type="dxa" w:w="60"/>
              <w:left w:type="dxa" w:w="90"/>
              <w:bottom w:type="dxa" w:w="60"/>
              <w:right w:type="dxa" w:w="90"/>
            </w:tcMar>
          </w:tcPr>
          <w:p>
            <w:pPr>
              <w:spacing w:after="0" w:line="245"/>
            </w:pPr>
            <w:r>
              <w:rPr>
                <w:rFonts w:ascii="Arial" w:cs="Arial" w:eastAsia="Arial" w:hAnsi="Arial"/>
                <w:b/>
                <w:bCs/>
                <w:color w:val="FFFFFF"/>
                <w:sz w:val="17"/>
                <w:szCs w:val="17"/>
              </w:rPr>
              <w:t xml:space="preserve">Naturaleza</w:t>
            </w:r>
          </w:p>
        </w:tc>
      </w:tr>
      <w:tr>
        <w:tc>
          <w:tcPr>
            <w:tcW w:type="dxa" w:w="1900"/>
            <w:tcMar>
              <w:top w:type="dxa" w:w="60"/>
              <w:left w:type="dxa" w:w="90"/>
              <w:bottom w:type="dxa" w:w="60"/>
              <w:right w:type="dxa" w:w="90"/>
            </w:tcMar>
          </w:tcPr>
          <w:p>
            <w:pPr>
              <w:spacing w:after="0" w:line="245"/>
            </w:pPr>
            <w:r>
              <w:rPr>
                <w:rFonts w:ascii="Arial" w:cs="Arial" w:eastAsia="Arial" w:hAnsi="Arial"/>
                <w:color w:val="1A1A1A"/>
                <w:sz w:val="17"/>
                <w:szCs w:val="17"/>
              </w:rPr>
              <w:t xml:space="preserve">Débito</w:t>
            </w:r>
          </w:p>
        </w:tc>
        <w:tc>
          <w:tcPr>
            <w:tcW w:type="dxa" w:w="2300"/>
            <w:tcMar>
              <w:top w:type="dxa" w:w="60"/>
              <w:left w:type="dxa" w:w="90"/>
              <w:bottom w:type="dxa" w:w="60"/>
              <w:right w:type="dxa" w:w="90"/>
            </w:tcMar>
          </w:tcPr>
          <w:p>
            <w:pPr>
              <w:spacing w:after="0" w:line="245"/>
            </w:pPr>
            <w:r>
              <w:rPr>
                <w:rFonts w:ascii="Arial" w:cs="Arial" w:eastAsia="Arial" w:hAnsi="Arial"/>
                <w:color w:val="1A1A1A"/>
                <w:sz w:val="17"/>
                <w:szCs w:val="17"/>
              </w:rPr>
              <w:t xml:space="preserve">1686050001</w:t>
            </w:r>
          </w:p>
        </w:tc>
        <w:tc>
          <w:tcPr>
            <w:tcW w:type="dxa" w:w="4900"/>
            <w:tcMar>
              <w:top w:type="dxa" w:w="60"/>
              <w:left w:type="dxa" w:w="90"/>
              <w:bottom w:type="dxa" w:w="60"/>
              <w:right w:type="dxa" w:w="90"/>
            </w:tcMar>
          </w:tcPr>
          <w:p>
            <w:pPr>
              <w:spacing w:after="0" w:line="245"/>
            </w:pPr>
            <w:r>
              <w:rPr>
                <w:rFonts w:ascii="Arial" w:cs="Arial" w:eastAsia="Arial" w:hAnsi="Arial"/>
                <w:color w:val="1A1A1A"/>
                <w:sz w:val="17"/>
                <w:szCs w:val="17"/>
              </w:rPr>
              <w:t xml:space="preserve">Cuenta por cobrar cámara de compensación</w:t>
            </w:r>
          </w:p>
        </w:tc>
      </w:tr>
      <w:tr>
        <w:tc>
          <w:tcPr>
            <w:tcW w:type="dxa" w:w="19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Crédito</w:t>
            </w:r>
          </w:p>
        </w:tc>
        <w:tc>
          <w:tcPr>
            <w:tcW w:type="dxa" w:w="23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4159050101</w:t>
            </w:r>
          </w:p>
        </w:tc>
        <w:tc>
          <w:tcPr>
            <w:tcW w:type="dxa" w:w="49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Ingreso por primas aceptadas en cámara</w:t>
            </w:r>
          </w:p>
        </w:tc>
      </w:tr>
    </w:tbl>
    <w:p>
      <w:pPr>
        <w:pBdr>
          <w:left w:val="single" w:color="42194E" w:sz="16" w:space="7"/>
        </w:pBdr>
        <w:shd w:fill="F2ECF4" w:val="clear"/>
        <w:spacing w:after="150" w:before="110"/>
        <w:ind w:left="110" w:right="110"/>
      </w:pPr>
      <w:r>
        <w:rPr>
          <w:rFonts w:ascii="Arial" w:cs="Arial" w:eastAsia="Arial" w:hAnsi="Arial"/>
          <w:color w:val="3A2540"/>
          <w:sz w:val="18"/>
          <w:szCs w:val="18"/>
        </w:rPr>
        <w:t xml:space="preserve">El motor responde de forma asíncrona respecto de la emisión. El desarrollo debe manejar el caso en que la respuesta no llegue o llegue con demora, sin dejar la factura sin su documento asociado y sin bloquear el procesamiento del resto de la cola.</w:t>
      </w:r>
    </w:p>
    <w:p>
      <w:pPr>
        <w:pStyle w:val="Heading1"/>
        <w:pBdr>
          <w:bottom w:val="single" w:color="42194E" w:sz="8" w:space="5"/>
        </w:pBdr>
        <w:spacing w:after="150" w:before="300"/>
      </w:pPr>
      <w:r>
        <w:rPr>
          <w:rFonts w:ascii="Arial" w:cs="Arial" w:eastAsia="Arial" w:hAnsi="Arial"/>
          <w:b/>
          <w:bCs/>
          <w:color w:val="42194E"/>
          <w:sz w:val="24"/>
          <w:szCs w:val="24"/>
        </w:rPr>
        <w:t xml:space="preserve">5. Documento 3 — Constitución de reserva de prima no devengada</w:t>
      </w:r>
    </w:p>
    <w:p>
      <w:pPr>
        <w:spacing w:after="110" w:line="270"/>
      </w:pPr>
      <w:r>
        <w:rPr>
          <w:rFonts w:ascii="Arial" w:cs="Arial" w:eastAsia="Arial" w:hAnsi="Arial"/>
          <w:color w:val="1A1A1A"/>
          <w:sz w:val="20"/>
          <w:szCs w:val="20"/>
        </w:rPr>
        <w:t xml:space="preserve">Traslada al pasivo la prima reconocida en el Documento 1 y el ingreso reconocido en el Documento 2. Es sobre ese pasivo que opera el reconocimiento de ingreso.</w:t>
      </w:r>
    </w:p>
    <w:p>
      <w:pPr>
        <w:spacing w:after="11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900"/>
        <w:gridCol w:w="7200"/>
      </w:tblGrid>
      <w:tr>
        <w:trPr>
          <w:tblHeader/>
        </w:trPr>
        <w:tc>
          <w:tcPr>
            <w:tcW w:type="dxa" w:w="1900"/>
            <w:shd w:fill="42194E" w:val="clear"/>
            <w:tcMar>
              <w:top w:type="dxa" w:w="60"/>
              <w:left w:type="dxa" w:w="90"/>
              <w:bottom w:type="dxa" w:w="60"/>
              <w:right w:type="dxa" w:w="90"/>
            </w:tcMar>
          </w:tcPr>
          <w:p>
            <w:pPr>
              <w:spacing w:after="0" w:line="245"/>
            </w:pPr>
            <w:r>
              <w:rPr>
                <w:rFonts w:ascii="Arial" w:cs="Arial" w:eastAsia="Arial" w:hAnsi="Arial"/>
                <w:b/>
                <w:bCs/>
                <w:color w:val="FFFFFF"/>
                <w:sz w:val="17"/>
                <w:szCs w:val="17"/>
              </w:rPr>
              <w:t xml:space="preserve">Requisito</w:t>
            </w:r>
          </w:p>
        </w:tc>
        <w:tc>
          <w:tcPr>
            <w:tcW w:type="dxa" w:w="7200"/>
            <w:shd w:fill="42194E" w:val="clear"/>
            <w:tcMar>
              <w:top w:type="dxa" w:w="60"/>
              <w:left w:type="dxa" w:w="90"/>
              <w:bottom w:type="dxa" w:w="60"/>
              <w:right w:type="dxa" w:w="90"/>
            </w:tcMar>
          </w:tcPr>
          <w:p>
            <w:pPr>
              <w:spacing w:after="0" w:line="245"/>
            </w:pPr>
            <w:r>
              <w:rPr>
                <w:rFonts w:ascii="Arial" w:cs="Arial" w:eastAsia="Arial" w:hAnsi="Arial"/>
                <w:b/>
                <w:bCs/>
                <w:color w:val="FFFFFF"/>
                <w:sz w:val="17"/>
                <w:szCs w:val="17"/>
              </w:rPr>
              <w:t xml:space="preserve">Definición</w:t>
            </w:r>
          </w:p>
        </w:tc>
      </w:tr>
      <w:tr>
        <w:tc>
          <w:tcPr>
            <w:tcW w:type="dxa" w:w="1900"/>
            <w:tcMar>
              <w:top w:type="dxa" w:w="60"/>
              <w:left w:type="dxa" w:w="90"/>
              <w:bottom w:type="dxa" w:w="60"/>
              <w:right w:type="dxa" w:w="90"/>
            </w:tcMar>
          </w:tcPr>
          <w:p>
            <w:pPr>
              <w:spacing w:after="0" w:line="245"/>
            </w:pPr>
            <w:r>
              <w:rPr>
                <w:rFonts w:ascii="Arial" w:cs="Arial" w:eastAsia="Arial" w:hAnsi="Arial"/>
                <w:color w:val="1A1A1A"/>
                <w:sz w:val="17"/>
                <w:szCs w:val="17"/>
              </w:rPr>
              <w:t xml:space="preserve">Tipo de documento</w:t>
            </w:r>
          </w:p>
        </w:tc>
        <w:tc>
          <w:tcPr>
            <w:tcW w:type="dxa" w:w="7200"/>
            <w:tcMar>
              <w:top w:type="dxa" w:w="60"/>
              <w:left w:type="dxa" w:w="90"/>
              <w:bottom w:type="dxa" w:w="60"/>
              <w:right w:type="dxa" w:w="90"/>
            </w:tcMar>
          </w:tcPr>
          <w:p>
            <w:pPr>
              <w:spacing w:after="0" w:line="245"/>
            </w:pPr>
            <w:r>
              <w:rPr>
                <w:rFonts w:ascii="Arial" w:cs="Arial" w:eastAsia="Arial" w:hAnsi="Arial"/>
                <w:color w:val="1A1A1A"/>
                <w:sz w:val="17"/>
                <w:szCs w:val="17"/>
              </w:rPr>
              <w:t xml:space="preserve">Transacción de venta. No puede ser un asiento contable manual, porque el módulo de reconocimiento de ingresos opera sobre líneas de artículo de transacciones de venta y no sobre asientos.</w:t>
            </w:r>
          </w:p>
        </w:tc>
      </w:tr>
      <w:tr>
        <w:tc>
          <w:tcPr>
            <w:tcW w:type="dxa" w:w="19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Formulario</w:t>
            </w:r>
          </w:p>
        </w:tc>
        <w:tc>
          <w:tcPr>
            <w:tcW w:type="dxa" w:w="72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Formulario de transacción propio, sin plantilla de facturación electrónica asociada. Este documento no se transmite a la DIAN.</w:t>
            </w:r>
          </w:p>
        </w:tc>
      </w:tr>
      <w:tr>
        <w:tc>
          <w:tcPr>
            <w:tcW w:type="dxa" w:w="1900"/>
            <w:tcMar>
              <w:top w:type="dxa" w:w="60"/>
              <w:left w:type="dxa" w:w="90"/>
              <w:bottom w:type="dxa" w:w="60"/>
              <w:right w:type="dxa" w:w="90"/>
            </w:tcMar>
          </w:tcPr>
          <w:p>
            <w:pPr>
              <w:spacing w:after="0" w:line="245"/>
            </w:pPr>
            <w:r>
              <w:rPr>
                <w:rFonts w:ascii="Arial" w:cs="Arial" w:eastAsia="Arial" w:hAnsi="Arial"/>
                <w:color w:val="1A1A1A"/>
                <w:sz w:val="17"/>
                <w:szCs w:val="17"/>
              </w:rPr>
              <w:t xml:space="preserve">Valor total</w:t>
            </w:r>
          </w:p>
        </w:tc>
        <w:tc>
          <w:tcPr>
            <w:tcW w:type="dxa" w:w="7200"/>
            <w:tcMar>
              <w:top w:type="dxa" w:w="60"/>
              <w:left w:type="dxa" w:w="90"/>
              <w:bottom w:type="dxa" w:w="60"/>
              <w:right w:type="dxa" w:w="90"/>
            </w:tcMar>
          </w:tcPr>
          <w:p>
            <w:pPr>
              <w:spacing w:after="0" w:line="245"/>
            </w:pPr>
            <w:r>
              <w:rPr>
                <w:rFonts w:ascii="Arial" w:cs="Arial" w:eastAsia="Arial" w:hAnsi="Arial"/>
                <w:color w:val="1A1A1A"/>
                <w:sz w:val="17"/>
                <w:szCs w:val="17"/>
              </w:rPr>
              <w:t xml:space="preserve">Cero. Dos líneas que se compensan entre sí.</w:t>
            </w:r>
          </w:p>
        </w:tc>
      </w:tr>
    </w:tbl>
    <w:p>
      <w:pPr>
        <w:spacing w:after="11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700"/>
      </w:tblGrid>
      <w:tr>
        <w:trPr>
          <w:tblHeader/>
        </w:trPr>
        <w:tc>
          <w:tcPr>
            <w:tcW w:type="dxa" w:w="2200"/>
            <w:shd w:fill="42194E" w:val="clear"/>
            <w:tcMar>
              <w:top w:type="dxa" w:w="60"/>
              <w:left w:type="dxa" w:w="90"/>
              <w:bottom w:type="dxa" w:w="60"/>
              <w:right w:type="dxa" w:w="90"/>
            </w:tcMar>
          </w:tcPr>
          <w:p>
            <w:pPr>
              <w:spacing w:after="0" w:line="245"/>
            </w:pPr>
            <w:r>
              <w:rPr>
                <w:rFonts w:ascii="Arial" w:cs="Arial" w:eastAsia="Arial" w:hAnsi="Arial"/>
                <w:b/>
                <w:bCs/>
                <w:color w:val="FFFFFF"/>
                <w:sz w:val="17"/>
                <w:szCs w:val="17"/>
              </w:rPr>
              <w:t xml:space="preserve">Línea</w:t>
            </w:r>
          </w:p>
        </w:tc>
        <w:tc>
          <w:tcPr>
            <w:tcW w:type="dxa" w:w="2200"/>
            <w:shd w:fill="42194E" w:val="clear"/>
            <w:tcMar>
              <w:top w:type="dxa" w:w="60"/>
              <w:left w:type="dxa" w:w="90"/>
              <w:bottom w:type="dxa" w:w="60"/>
              <w:right w:type="dxa" w:w="90"/>
            </w:tcMar>
          </w:tcPr>
          <w:p>
            <w:pPr>
              <w:spacing w:after="0" w:line="245"/>
            </w:pPr>
            <w:r>
              <w:rPr>
                <w:rFonts w:ascii="Arial" w:cs="Arial" w:eastAsia="Arial" w:hAnsi="Arial"/>
                <w:b/>
                <w:bCs/>
                <w:color w:val="FFFFFF"/>
                <w:sz w:val="17"/>
                <w:szCs w:val="17"/>
              </w:rPr>
              <w:t xml:space="preserve">Cuenta</w:t>
            </w:r>
          </w:p>
        </w:tc>
        <w:tc>
          <w:tcPr>
            <w:tcW w:type="dxa" w:w="4700"/>
            <w:shd w:fill="42194E" w:val="clear"/>
            <w:tcMar>
              <w:top w:type="dxa" w:w="60"/>
              <w:left w:type="dxa" w:w="90"/>
              <w:bottom w:type="dxa" w:w="60"/>
              <w:right w:type="dxa" w:w="90"/>
            </w:tcMar>
          </w:tcPr>
          <w:p>
            <w:pPr>
              <w:spacing w:after="0" w:line="245"/>
            </w:pPr>
            <w:r>
              <w:rPr>
                <w:rFonts w:ascii="Arial" w:cs="Arial" w:eastAsia="Arial" w:hAnsi="Arial"/>
                <w:b/>
                <w:bCs/>
                <w:color w:val="FFFFFF"/>
                <w:sz w:val="17"/>
                <w:szCs w:val="17"/>
              </w:rPr>
              <w:t xml:space="preserve">Movimiento</w:t>
            </w:r>
          </w:p>
        </w:tc>
      </w:tr>
      <w:tr>
        <w:tc>
          <w:tcPr>
            <w:tcW w:type="dxa" w:w="2200"/>
            <w:tcMar>
              <w:top w:type="dxa" w:w="60"/>
              <w:left w:type="dxa" w:w="90"/>
              <w:bottom w:type="dxa" w:w="60"/>
              <w:right w:type="dxa" w:w="90"/>
            </w:tcMar>
          </w:tcPr>
          <w:p>
            <w:pPr>
              <w:spacing w:after="0" w:line="245"/>
            </w:pPr>
            <w:r>
              <w:rPr>
                <w:rFonts w:ascii="Arial" w:cs="Arial" w:eastAsia="Arial" w:hAnsi="Arial"/>
                <w:color w:val="1A1A1A"/>
                <w:sz w:val="17"/>
                <w:szCs w:val="17"/>
              </w:rPr>
              <w:t xml:space="preserve">Línea 1 (positiva)</w:t>
            </w:r>
          </w:p>
        </w:tc>
        <w:tc>
          <w:tcPr>
            <w:tcW w:type="dxa" w:w="2200"/>
            <w:tcMar>
              <w:top w:type="dxa" w:w="60"/>
              <w:left w:type="dxa" w:w="90"/>
              <w:bottom w:type="dxa" w:w="60"/>
              <w:right w:type="dxa" w:w="90"/>
            </w:tcMar>
          </w:tcPr>
          <w:p>
            <w:pPr>
              <w:spacing w:after="0" w:line="245"/>
            </w:pPr>
            <w:r>
              <w:rPr>
                <w:rFonts w:ascii="Arial" w:cs="Arial" w:eastAsia="Arial" w:hAnsi="Arial"/>
                <w:color w:val="1A1A1A"/>
                <w:sz w:val="17"/>
                <w:szCs w:val="17"/>
              </w:rPr>
              <w:t xml:space="preserve">2601030101</w:t>
            </w:r>
          </w:p>
        </w:tc>
        <w:tc>
          <w:tcPr>
            <w:tcW w:type="dxa" w:w="4700"/>
            <w:tcMar>
              <w:top w:type="dxa" w:w="60"/>
              <w:left w:type="dxa" w:w="90"/>
              <w:bottom w:type="dxa" w:w="60"/>
              <w:right w:type="dxa" w:w="90"/>
            </w:tcMar>
          </w:tcPr>
          <w:p>
            <w:pPr>
              <w:spacing w:after="0" w:line="245"/>
            </w:pPr>
            <w:r>
              <w:rPr>
                <w:rFonts w:ascii="Arial" w:cs="Arial" w:eastAsia="Arial" w:hAnsi="Arial"/>
                <w:color w:val="1A1A1A"/>
                <w:sz w:val="17"/>
                <w:szCs w:val="17"/>
              </w:rPr>
              <w:t xml:space="preserve">Crédito · Pasivo — reserva de prima no devengada</w:t>
            </w:r>
          </w:p>
        </w:tc>
      </w:tr>
      <w:tr>
        <w:tc>
          <w:tcPr>
            <w:tcW w:type="dxa" w:w="22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Línea 2 (negativa)</w:t>
            </w:r>
          </w:p>
        </w:tc>
        <w:tc>
          <w:tcPr>
            <w:tcW w:type="dxa" w:w="22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5191101001</w:t>
            </w:r>
          </w:p>
        </w:tc>
        <w:tc>
          <w:tcPr>
            <w:tcW w:type="dxa" w:w="47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Débito · Gasto — constitución de reserva</w:t>
            </w:r>
          </w:p>
        </w:tc>
      </w:tr>
    </w:tbl>
    <w:p>
      <w:pPr>
        <w:pBdr>
          <w:left w:val="single" w:color="42194E" w:sz="16" w:space="7"/>
        </w:pBdr>
        <w:shd w:fill="F2ECF4" w:val="clear"/>
        <w:spacing w:after="150" w:before="110"/>
        <w:ind w:left="110" w:right="110"/>
      </w:pPr>
      <w:r>
        <w:rPr>
          <w:rFonts w:ascii="Arial" w:cs="Arial" w:eastAsia="Arial" w:hAnsi="Arial"/>
          <w:color w:val="3A2540"/>
          <w:sz w:val="18"/>
          <w:szCs w:val="18"/>
        </w:rPr>
        <w:t xml:space="preserve">Una transacción de venta en NetSuite debita obligatoriamente cuentas por cobrar o fondos no depositados: el débito lo impone el tipo de transacción, no el artículo. La construcción a valor neto cero es lo que evita que este documento infle la cartera. Debe validarse en Sandbox que el flujo de aprobación y el módulo de reconocimiento de ingresos procesan correctamente una transacción de valor cero.</w:t>
      </w:r>
    </w:p>
    <w:p>
      <w:pPr>
        <w:pStyle w:val="Heading1"/>
        <w:pBdr>
          <w:bottom w:val="single" w:color="42194E" w:sz="8" w:space="5"/>
        </w:pBdr>
        <w:spacing w:after="150" w:before="300"/>
      </w:pPr>
      <w:r>
        <w:rPr>
          <w:rFonts w:ascii="Arial" w:cs="Arial" w:eastAsia="Arial" w:hAnsi="Arial"/>
          <w:b/>
          <w:bCs/>
          <w:color w:val="42194E"/>
          <w:sz w:val="24"/>
          <w:szCs w:val="24"/>
        </w:rPr>
        <w:t xml:space="preserve">6. Reconocimiento de ingreso</w:t>
      </w:r>
    </w:p>
    <w:p>
      <w:pPr>
        <w:spacing w:after="110" w:line="270"/>
      </w:pPr>
      <w:r>
        <w:rPr>
          <w:rFonts w:ascii="Arial" w:cs="Arial" w:eastAsia="Arial" w:hAnsi="Arial"/>
          <w:color w:val="1A1A1A"/>
          <w:sz w:val="20"/>
          <w:szCs w:val="20"/>
        </w:rPr>
        <w:t xml:space="preserve">Opera sobre el pasivo constituido en el Documento 3.</w:t>
      </w:r>
    </w:p>
    <w:p>
      <w:pPr>
        <w:spacing w:after="11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400"/>
        <w:gridCol w:w="6700"/>
      </w:tblGrid>
      <w:tr>
        <w:trPr>
          <w:tblHeader/>
        </w:trPr>
        <w:tc>
          <w:tcPr>
            <w:tcW w:type="dxa" w:w="2400"/>
            <w:shd w:fill="42194E" w:val="clear"/>
            <w:tcMar>
              <w:top w:type="dxa" w:w="60"/>
              <w:left w:type="dxa" w:w="90"/>
              <w:bottom w:type="dxa" w:w="60"/>
              <w:right w:type="dxa" w:w="90"/>
            </w:tcMar>
          </w:tcPr>
          <w:p>
            <w:pPr>
              <w:spacing w:after="0" w:line="245"/>
            </w:pPr>
            <w:r>
              <w:rPr>
                <w:rFonts w:ascii="Arial" w:cs="Arial" w:eastAsia="Arial" w:hAnsi="Arial"/>
                <w:b/>
                <w:bCs/>
                <w:color w:val="FFFFFF"/>
                <w:sz w:val="17"/>
                <w:szCs w:val="17"/>
              </w:rPr>
              <w:t xml:space="preserve">Parámetro</w:t>
            </w:r>
          </w:p>
        </w:tc>
        <w:tc>
          <w:tcPr>
            <w:tcW w:type="dxa" w:w="6700"/>
            <w:shd w:fill="42194E" w:val="clear"/>
            <w:tcMar>
              <w:top w:type="dxa" w:w="60"/>
              <w:left w:type="dxa" w:w="90"/>
              <w:bottom w:type="dxa" w:w="60"/>
              <w:right w:type="dxa" w:w="90"/>
            </w:tcMar>
          </w:tcPr>
          <w:p>
            <w:pPr>
              <w:spacing w:after="0" w:line="245"/>
            </w:pPr>
            <w:r>
              <w:rPr>
                <w:rFonts w:ascii="Arial" w:cs="Arial" w:eastAsia="Arial" w:hAnsi="Arial"/>
                <w:b/>
                <w:bCs/>
                <w:color w:val="FFFFFF"/>
                <w:sz w:val="17"/>
                <w:szCs w:val="17"/>
              </w:rPr>
              <w:t xml:space="preserve">Valor</w:t>
            </w:r>
          </w:p>
        </w:tc>
      </w:tr>
      <w:tr>
        <w:tc>
          <w:tcPr>
            <w:tcW w:type="dxa" w:w="2400"/>
            <w:tcMar>
              <w:top w:type="dxa" w:w="60"/>
              <w:left w:type="dxa" w:w="90"/>
              <w:bottom w:type="dxa" w:w="60"/>
              <w:right w:type="dxa" w:w="90"/>
            </w:tcMar>
          </w:tcPr>
          <w:p>
            <w:pPr>
              <w:spacing w:after="0" w:line="245"/>
            </w:pPr>
            <w:r>
              <w:rPr>
                <w:rFonts w:ascii="Arial" w:cs="Arial" w:eastAsia="Arial" w:hAnsi="Arial"/>
                <w:color w:val="1A1A1A"/>
                <w:sz w:val="17"/>
                <w:szCs w:val="17"/>
              </w:rPr>
              <w:t xml:space="preserve">Base</w:t>
            </w:r>
          </w:p>
        </w:tc>
        <w:tc>
          <w:tcPr>
            <w:tcW w:type="dxa" w:w="6700"/>
            <w:tcMar>
              <w:top w:type="dxa" w:w="60"/>
              <w:left w:type="dxa" w:w="90"/>
              <w:bottom w:type="dxa" w:w="60"/>
              <w:right w:type="dxa" w:w="90"/>
            </w:tcMar>
          </w:tcPr>
          <w:p>
            <w:pPr>
              <w:spacing w:after="0" w:line="245"/>
            </w:pPr>
            <w:r>
              <w:rPr>
                <w:rFonts w:ascii="Arial" w:cs="Arial" w:eastAsia="Arial" w:hAnsi="Arial"/>
                <w:color w:val="1A1A1A"/>
                <w:sz w:val="17"/>
                <w:szCs w:val="17"/>
              </w:rPr>
              <w:t xml:space="preserve">2601030101 — Reserva de prima no devengada</w:t>
            </w:r>
          </w:p>
        </w:tc>
      </w:tr>
      <w:tr>
        <w:tc>
          <w:tcPr>
            <w:tcW w:type="dxa" w:w="24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Destino del devengo</w:t>
            </w:r>
          </w:p>
        </w:tc>
        <w:tc>
          <w:tcPr>
            <w:tcW w:type="dxa" w:w="67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4159030101 — Primas asignadas al periodo</w:t>
            </w:r>
          </w:p>
        </w:tc>
      </w:tr>
      <w:tr>
        <w:tc>
          <w:tcPr>
            <w:tcW w:type="dxa" w:w="2400"/>
            <w:tcMar>
              <w:top w:type="dxa" w:w="60"/>
              <w:left w:type="dxa" w:w="90"/>
              <w:bottom w:type="dxa" w:w="60"/>
              <w:right w:type="dxa" w:w="90"/>
            </w:tcMar>
          </w:tcPr>
          <w:p>
            <w:pPr>
              <w:spacing w:after="0" w:line="245"/>
            </w:pPr>
            <w:r>
              <w:rPr>
                <w:rFonts w:ascii="Arial" w:cs="Arial" w:eastAsia="Arial" w:hAnsi="Arial"/>
                <w:color w:val="1A1A1A"/>
                <w:sz w:val="17"/>
                <w:szCs w:val="17"/>
              </w:rPr>
              <w:t xml:space="preserve">Método</w:t>
            </w:r>
          </w:p>
        </w:tc>
        <w:tc>
          <w:tcPr>
            <w:tcW w:type="dxa" w:w="6700"/>
            <w:tcMar>
              <w:top w:type="dxa" w:w="60"/>
              <w:left w:type="dxa" w:w="90"/>
              <w:bottom w:type="dxa" w:w="60"/>
              <w:right w:type="dxa" w:w="90"/>
            </w:tcMar>
          </w:tcPr>
          <w:p>
            <w:pPr>
              <w:spacing w:after="0" w:line="245"/>
            </w:pPr>
            <w:r>
              <w:rPr>
                <w:rFonts w:ascii="Arial" w:cs="Arial" w:eastAsia="Arial" w:hAnsi="Arial"/>
                <w:color w:val="1A1A1A"/>
                <w:sz w:val="17"/>
                <w:szCs w:val="17"/>
              </w:rPr>
              <w:t xml:space="preserve">Lineal, devengamiento diario</w:t>
            </w:r>
          </w:p>
        </w:tc>
      </w:tr>
      <w:tr>
        <w:tc>
          <w:tcPr>
            <w:tcW w:type="dxa" w:w="24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Plazo</w:t>
            </w:r>
          </w:p>
        </w:tc>
        <w:tc>
          <w:tcPr>
            <w:tcW w:type="dxa" w:w="67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365 días</w:t>
            </w:r>
          </w:p>
        </w:tc>
      </w:tr>
      <w:tr>
        <w:tc>
          <w:tcPr>
            <w:tcW w:type="dxa" w:w="2400"/>
            <w:tcMar>
              <w:top w:type="dxa" w:w="60"/>
              <w:left w:type="dxa" w:w="90"/>
              <w:bottom w:type="dxa" w:w="60"/>
              <w:right w:type="dxa" w:w="90"/>
            </w:tcMar>
          </w:tcPr>
          <w:p>
            <w:pPr>
              <w:spacing w:after="0" w:line="245"/>
            </w:pPr>
            <w:r>
              <w:rPr>
                <w:rFonts w:ascii="Arial" w:cs="Arial" w:eastAsia="Arial" w:hAnsi="Arial"/>
                <w:color w:val="1A1A1A"/>
                <w:sz w:val="17"/>
                <w:szCs w:val="17"/>
              </w:rPr>
              <w:t xml:space="preserve">Inicio</w:t>
            </w:r>
          </w:p>
        </w:tc>
        <w:tc>
          <w:tcPr>
            <w:tcW w:type="dxa" w:w="6700"/>
            <w:tcMar>
              <w:top w:type="dxa" w:w="60"/>
              <w:left w:type="dxa" w:w="90"/>
              <w:bottom w:type="dxa" w:w="60"/>
              <w:right w:type="dxa" w:w="90"/>
            </w:tcMar>
          </w:tcPr>
          <w:p>
            <w:pPr>
              <w:spacing w:after="0" w:line="245"/>
            </w:pPr>
            <w:r>
              <w:rPr>
                <w:rFonts w:ascii="Arial" w:cs="Arial" w:eastAsia="Arial" w:hAnsi="Arial"/>
                <w:color w:val="1A1A1A"/>
                <w:sz w:val="17"/>
                <w:szCs w:val="17"/>
              </w:rPr>
              <w:t xml:space="preserve">Fecha de inicio de vigencia de la póliza</w:t>
            </w:r>
          </w:p>
        </w:tc>
      </w:tr>
    </w:tbl>
    <w:p>
      <w:pPr>
        <w:pBdr>
          <w:left w:val="single" w:color="42194E" w:sz="16" w:space="7"/>
        </w:pBdr>
        <w:shd w:fill="F2ECF4" w:val="clear"/>
        <w:spacing w:after="150" w:before="110"/>
        <w:ind w:left="110" w:right="110"/>
      </w:pPr>
      <w:r>
        <w:rPr>
          <w:rFonts w:ascii="Arial" w:cs="Arial" w:eastAsia="Arial" w:hAnsi="Arial"/>
          <w:color w:val="3A2540"/>
          <w:sz w:val="18"/>
          <w:szCs w:val="18"/>
        </w:rPr>
        <w:t xml:space="preserve">La liberación no puede dirigirse a la cuenta de primas emitidas. Si lo hiciera, la prima se reconocería dos veces: una en la emisión y otra en el devengo. La presentación técnica correcta es primas emitidas, menos constitución de reservas, más liberación de reservas, igual a primas devengadas.</w:t>
      </w:r>
    </w:p>
    <w:p>
      <w:pPr>
        <w:pBdr>
          <w:left w:val="single" w:color="A6446B" w:sz="16" w:space="7"/>
        </w:pBdr>
        <w:spacing w:after="140" w:before="100"/>
        <w:ind w:left="110"/>
      </w:pPr>
      <w:r>
        <w:rPr>
          <w:rFonts w:ascii="Arial" w:cs="Arial" w:eastAsia="Arial" w:hAnsi="Arial"/>
          <w:b/>
          <w:bCs/>
          <w:color w:val="A6446B"/>
          <w:sz w:val="18"/>
          <w:szCs w:val="18"/>
        </w:rPr>
        <w:t xml:space="preserve">Brecha detectada (sesión E2E 27-jul): </w:t>
      </w:r>
      <w:r>
        <w:rPr>
          <w:rFonts w:ascii="Arial" w:cs="Arial" w:eastAsia="Arial" w:hAnsi="Arial"/>
          <w:color w:val="3A2540"/>
          <w:sz w:val="18"/>
          <w:szCs w:val="18"/>
        </w:rPr>
        <w:t xml:space="preserve">la configuración actual está a 12 meses. Debe ajustarse a devengamiento diario, y verificarse que el inicio tome la fecha de vigencia de la póliza y no la fecha de la factura.</w:t>
      </w:r>
    </w:p>
    <w:p>
      <w:pPr>
        <w:pStyle w:val="Heading1"/>
        <w:pBdr>
          <w:bottom w:val="single" w:color="42194E" w:sz="8" w:space="5"/>
        </w:pBdr>
        <w:spacing w:after="150" w:before="300"/>
      </w:pPr>
      <w:r>
        <w:rPr>
          <w:rFonts w:ascii="Arial" w:cs="Arial" w:eastAsia="Arial" w:hAnsi="Arial"/>
          <w:b/>
          <w:bCs/>
          <w:color w:val="42194E"/>
          <w:sz w:val="24"/>
          <w:szCs w:val="24"/>
        </w:rPr>
        <w:t xml:space="preserve">7. Costos de adquisición y comisiones</w:t>
      </w:r>
    </w:p>
    <w:p>
      <w:pPr>
        <w:spacing w:after="110" w:line="270"/>
      </w:pPr>
      <w:r>
        <w:rPr>
          <w:rFonts w:ascii="Arial" w:cs="Arial" w:eastAsia="Arial" w:hAnsi="Arial"/>
          <w:color w:val="1A1A1A"/>
          <w:sz w:val="20"/>
          <w:szCs w:val="20"/>
        </w:rPr>
        <w:t xml:space="preserve">Manta Seguros aplica la política de gasto inmediato para los costos de adquisición. En consecuencia, la comisión de intermediación se reconoce directamente como gasto: no se difiere, no se amortiza y no se neta contra la reserva. El Documento 3 no la incluye.</w:t>
      </w:r>
    </w:p>
    <w:p>
      <w:pPr>
        <w:spacing w:after="110" w:line="270"/>
      </w:pPr>
      <w:r>
        <w:rPr>
          <w:rFonts w:ascii="Arial" w:cs="Arial" w:eastAsia="Arial" w:hAnsi="Arial"/>
          <w:color w:val="1A1A1A"/>
          <w:sz w:val="20"/>
          <w:szCs w:val="20"/>
        </w:rPr>
        <w:t xml:space="preserve">La comisión se liquida mensualmente y su valor a nivel de póliza viaja al custom record desde el PAS. No genera asientos contables hasta que se ejecute el proceso de comisión procesada al cierre del mes.</w:t>
      </w:r>
    </w:p>
    <w:p>
      <w:pPr>
        <w:pBdr>
          <w:left w:val="single" w:color="A6446B" w:sz="16" w:space="7"/>
        </w:pBdr>
        <w:spacing w:after="140" w:before="100"/>
        <w:ind w:left="110"/>
      </w:pPr>
      <w:r>
        <w:rPr>
          <w:rFonts w:ascii="Arial" w:cs="Arial" w:eastAsia="Arial" w:hAnsi="Arial"/>
          <w:b/>
          <w:bCs/>
          <w:color w:val="A6446B"/>
          <w:sz w:val="18"/>
          <w:szCs w:val="18"/>
        </w:rPr>
        <w:t xml:space="preserve">Brecha detectada (sesión E2E 27-jul): </w:t>
      </w:r>
      <w:r>
        <w:rPr>
          <w:rFonts w:ascii="Arial" w:cs="Arial" w:eastAsia="Arial" w:hAnsi="Arial"/>
          <w:color w:val="3A2540"/>
          <w:sz w:val="18"/>
          <w:szCs w:val="18"/>
        </w:rPr>
        <w:t xml:space="preserve">la liquidación debe procesar únicamente transacciones dentro de una ventana de tiempo definida, para evitar pagos anteriores a la conciliación.</w:t>
      </w:r>
    </w:p>
    <w:p>
      <w:r>
        <w:br w:type="page"/>
      </w:r>
    </w:p>
    <w:p>
      <w:pPr>
        <w:pStyle w:val="Heading1"/>
        <w:pBdr>
          <w:bottom w:val="single" w:color="42194E" w:sz="8" w:space="5"/>
        </w:pBdr>
        <w:spacing w:after="150" w:before="300"/>
      </w:pPr>
      <w:r>
        <w:rPr>
          <w:rFonts w:ascii="Arial" w:cs="Arial" w:eastAsia="Arial" w:hAnsi="Arial"/>
          <w:b/>
          <w:bCs/>
          <w:color w:val="42194E"/>
          <w:sz w:val="24"/>
          <w:szCs w:val="24"/>
        </w:rPr>
        <w:t xml:space="preserve">8. Reglas que no se pueden omitir</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500"/>
        <w:gridCol w:w="4600"/>
        <w:gridCol w:w="4000"/>
      </w:tblGrid>
      <w:tr>
        <w:trPr>
          <w:tblHeader/>
        </w:trPr>
        <w:tc>
          <w:tcPr>
            <w:tcW w:type="dxa" w:w="500"/>
            <w:shd w:fill="42194E" w:val="clear"/>
            <w:tcMar>
              <w:top w:type="dxa" w:w="60"/>
              <w:left w:type="dxa" w:w="90"/>
              <w:bottom w:type="dxa" w:w="60"/>
              <w:right w:type="dxa" w:w="90"/>
            </w:tcMar>
          </w:tcPr>
          <w:p>
            <w:pPr>
              <w:spacing w:after="0" w:line="245"/>
            </w:pPr>
            <w:r>
              <w:rPr>
                <w:rFonts w:ascii="Arial" w:cs="Arial" w:eastAsia="Arial" w:hAnsi="Arial"/>
                <w:b/>
                <w:bCs/>
                <w:color w:val="FFFFFF"/>
                <w:sz w:val="17"/>
                <w:szCs w:val="17"/>
              </w:rPr>
              <w:t xml:space="preserve">#</w:t>
            </w:r>
          </w:p>
        </w:tc>
        <w:tc>
          <w:tcPr>
            <w:tcW w:type="dxa" w:w="4600"/>
            <w:shd w:fill="42194E" w:val="clear"/>
            <w:tcMar>
              <w:top w:type="dxa" w:w="60"/>
              <w:left w:type="dxa" w:w="90"/>
              <w:bottom w:type="dxa" w:w="60"/>
              <w:right w:type="dxa" w:w="90"/>
            </w:tcMar>
          </w:tcPr>
          <w:p>
            <w:pPr>
              <w:spacing w:after="0" w:line="245"/>
            </w:pPr>
            <w:r>
              <w:rPr>
                <w:rFonts w:ascii="Arial" w:cs="Arial" w:eastAsia="Arial" w:hAnsi="Arial"/>
                <w:b/>
                <w:bCs/>
                <w:color w:val="FFFFFF"/>
                <w:sz w:val="17"/>
                <w:szCs w:val="17"/>
              </w:rPr>
              <w:t xml:space="preserve">Regla</w:t>
            </w:r>
          </w:p>
        </w:tc>
        <w:tc>
          <w:tcPr>
            <w:tcW w:type="dxa" w:w="4000"/>
            <w:shd w:fill="42194E" w:val="clear"/>
            <w:tcMar>
              <w:top w:type="dxa" w:w="60"/>
              <w:left w:type="dxa" w:w="90"/>
              <w:bottom w:type="dxa" w:w="60"/>
              <w:right w:type="dxa" w:w="90"/>
            </w:tcMar>
          </w:tcPr>
          <w:p>
            <w:pPr>
              <w:spacing w:after="0" w:line="245"/>
            </w:pPr>
            <w:r>
              <w:rPr>
                <w:rFonts w:ascii="Arial" w:cs="Arial" w:eastAsia="Arial" w:hAnsi="Arial"/>
                <w:b/>
                <w:bCs/>
                <w:color w:val="FFFFFF"/>
                <w:sz w:val="17"/>
                <w:szCs w:val="17"/>
              </w:rPr>
              <w:t xml:space="preserve">Qué pasa si se omite</w:t>
            </w:r>
          </w:p>
        </w:tc>
      </w:tr>
      <w:tr>
        <w:tc>
          <w:tcPr>
            <w:tcW w:type="dxa" w:w="500"/>
            <w:tcMar>
              <w:top w:type="dxa" w:w="60"/>
              <w:left w:type="dxa" w:w="90"/>
              <w:bottom w:type="dxa" w:w="60"/>
              <w:right w:type="dxa" w:w="90"/>
            </w:tcMar>
          </w:tcPr>
          <w:p>
            <w:pPr>
              <w:spacing w:after="0" w:line="245"/>
            </w:pPr>
            <w:r>
              <w:rPr>
                <w:rFonts w:ascii="Arial" w:cs="Arial" w:eastAsia="Arial" w:hAnsi="Arial"/>
                <w:color w:val="1A1A1A"/>
                <w:sz w:val="17"/>
                <w:szCs w:val="17"/>
              </w:rPr>
              <w:t xml:space="preserve">1</w:t>
            </w:r>
          </w:p>
        </w:tc>
        <w:tc>
          <w:tcPr>
            <w:tcW w:type="dxa" w:w="4600"/>
            <w:tcMar>
              <w:top w:type="dxa" w:w="60"/>
              <w:left w:type="dxa" w:w="90"/>
              <w:bottom w:type="dxa" w:w="60"/>
              <w:right w:type="dxa" w:w="90"/>
            </w:tcMar>
          </w:tcPr>
          <w:p>
            <w:pPr>
              <w:spacing w:after="0" w:line="245"/>
            </w:pPr>
            <w:r>
              <w:rPr>
                <w:rFonts w:ascii="Arial" w:cs="Arial" w:eastAsia="Arial" w:hAnsi="Arial"/>
                <w:color w:val="1A1A1A"/>
                <w:sz w:val="17"/>
                <w:szCs w:val="17"/>
              </w:rPr>
              <w:t xml:space="preserve">Idempotencia por número de póliza.</w:t>
            </w:r>
          </w:p>
        </w:tc>
        <w:tc>
          <w:tcPr>
            <w:tcW w:type="dxa" w:w="4000"/>
            <w:tcMar>
              <w:top w:type="dxa" w:w="60"/>
              <w:left w:type="dxa" w:w="90"/>
              <w:bottom w:type="dxa" w:w="60"/>
              <w:right w:type="dxa" w:w="90"/>
            </w:tcMar>
          </w:tcPr>
          <w:p>
            <w:pPr>
              <w:spacing w:after="0" w:line="245"/>
            </w:pPr>
            <w:r>
              <w:rPr>
                <w:rFonts w:ascii="Arial" w:cs="Arial" w:eastAsia="Arial" w:hAnsi="Arial"/>
                <w:color w:val="1A1A1A"/>
                <w:sz w:val="17"/>
                <w:szCs w:val="17"/>
              </w:rPr>
              <w:t xml:space="preserve">Factura duplicada ante la DIAN y en NetSuite tras un reproceso.</w:t>
            </w:r>
          </w:p>
        </w:tc>
      </w:tr>
      <w:tr>
        <w:tc>
          <w:tcPr>
            <w:tcW w:type="dxa" w:w="5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2</w:t>
            </w:r>
          </w:p>
        </w:tc>
        <w:tc>
          <w:tcPr>
            <w:tcW w:type="dxa" w:w="46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Los registros en cola deben reprocesarse sin pérdida de datos ni intervención manual. Cada registro lleva estado.</w:t>
            </w:r>
          </w:p>
        </w:tc>
        <w:tc>
          <w:tcPr>
            <w:tcW w:type="dxa" w:w="40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Pólizas emitidas en el PAS sin registro contable.</w:t>
            </w:r>
          </w:p>
        </w:tc>
      </w:tr>
      <w:tr>
        <w:tc>
          <w:tcPr>
            <w:tcW w:type="dxa" w:w="500"/>
            <w:tcMar>
              <w:top w:type="dxa" w:w="60"/>
              <w:left w:type="dxa" w:w="90"/>
              <w:bottom w:type="dxa" w:w="60"/>
              <w:right w:type="dxa" w:w="90"/>
            </w:tcMar>
          </w:tcPr>
          <w:p>
            <w:pPr>
              <w:spacing w:after="0" w:line="245"/>
            </w:pPr>
            <w:r>
              <w:rPr>
                <w:rFonts w:ascii="Arial" w:cs="Arial" w:eastAsia="Arial" w:hAnsi="Arial"/>
                <w:color w:val="1A1A1A"/>
                <w:sz w:val="17"/>
                <w:szCs w:val="17"/>
              </w:rPr>
              <w:t xml:space="preserve">3</w:t>
            </w:r>
          </w:p>
        </w:tc>
        <w:tc>
          <w:tcPr>
            <w:tcW w:type="dxa" w:w="4600"/>
            <w:tcMar>
              <w:top w:type="dxa" w:w="60"/>
              <w:left w:type="dxa" w:w="90"/>
              <w:bottom w:type="dxa" w:w="60"/>
              <w:right w:type="dxa" w:w="90"/>
            </w:tcMar>
          </w:tcPr>
          <w:p>
            <w:pPr>
              <w:spacing w:after="0" w:line="245"/>
            </w:pPr>
            <w:r>
              <w:rPr>
                <w:rFonts w:ascii="Arial" w:cs="Arial" w:eastAsia="Arial" w:hAnsi="Arial"/>
                <w:color w:val="1A1A1A"/>
                <w:sz w:val="17"/>
                <w:szCs w:val="17"/>
              </w:rPr>
              <w:t xml:space="preserve">Cron escalonado, sin ejecuciones concurrentes sobre la misma cola.</w:t>
            </w:r>
          </w:p>
        </w:tc>
        <w:tc>
          <w:tcPr>
            <w:tcW w:type="dxa" w:w="4000"/>
            <w:tcMar>
              <w:top w:type="dxa" w:w="60"/>
              <w:left w:type="dxa" w:w="90"/>
              <w:bottom w:type="dxa" w:w="60"/>
              <w:right w:type="dxa" w:w="90"/>
            </w:tcMar>
          </w:tcPr>
          <w:p>
            <w:pPr>
              <w:spacing w:after="0" w:line="245"/>
            </w:pPr>
            <w:r>
              <w:rPr>
                <w:rFonts w:ascii="Arial" w:cs="Arial" w:eastAsia="Arial" w:hAnsi="Arial"/>
                <w:color w:val="1A1A1A"/>
                <w:sz w:val="17"/>
                <w:szCs w:val="17"/>
              </w:rPr>
              <w:t xml:space="preserve">Doble procesamiento del mismo evento.</w:t>
            </w:r>
          </w:p>
        </w:tc>
      </w:tr>
      <w:tr>
        <w:tc>
          <w:tcPr>
            <w:tcW w:type="dxa" w:w="5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4</w:t>
            </w:r>
          </w:p>
        </w:tc>
        <w:tc>
          <w:tcPr>
            <w:tcW w:type="dxa" w:w="46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El Documento 3 queda en cero y no toca cuentas por cobrar.</w:t>
            </w:r>
          </w:p>
        </w:tc>
        <w:tc>
          <w:tcPr>
            <w:tcW w:type="dxa" w:w="40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Cartera duplicada y aging distorsionado.</w:t>
            </w:r>
          </w:p>
        </w:tc>
      </w:tr>
      <w:tr>
        <w:tc>
          <w:tcPr>
            <w:tcW w:type="dxa" w:w="500"/>
            <w:tcMar>
              <w:top w:type="dxa" w:w="60"/>
              <w:left w:type="dxa" w:w="90"/>
              <w:bottom w:type="dxa" w:w="60"/>
              <w:right w:type="dxa" w:w="90"/>
            </w:tcMar>
          </w:tcPr>
          <w:p>
            <w:pPr>
              <w:spacing w:after="0" w:line="245"/>
            </w:pPr>
            <w:r>
              <w:rPr>
                <w:rFonts w:ascii="Arial" w:cs="Arial" w:eastAsia="Arial" w:hAnsi="Arial"/>
                <w:color w:val="1A1A1A"/>
                <w:sz w:val="17"/>
                <w:szCs w:val="17"/>
              </w:rPr>
              <w:t xml:space="preserve">5</w:t>
            </w:r>
          </w:p>
        </w:tc>
        <w:tc>
          <w:tcPr>
            <w:tcW w:type="dxa" w:w="4600"/>
            <w:tcMar>
              <w:top w:type="dxa" w:w="60"/>
              <w:left w:type="dxa" w:w="90"/>
              <w:bottom w:type="dxa" w:w="60"/>
              <w:right w:type="dxa" w:w="90"/>
            </w:tcMar>
          </w:tcPr>
          <w:p>
            <w:pPr>
              <w:spacing w:after="0" w:line="245"/>
            </w:pPr>
            <w:r>
              <w:rPr>
                <w:rFonts w:ascii="Arial" w:cs="Arial" w:eastAsia="Arial" w:hAnsi="Arial"/>
                <w:color w:val="1A1A1A"/>
                <w:sz w:val="17"/>
                <w:szCs w:val="17"/>
              </w:rPr>
              <w:t xml:space="preserve">El efecto neto de los Documentos 1 y 3 sobre el resultado es cero.</w:t>
            </w:r>
          </w:p>
        </w:tc>
        <w:tc>
          <w:tcPr>
            <w:tcW w:type="dxa" w:w="4000"/>
            <w:tcMar>
              <w:top w:type="dxa" w:w="60"/>
              <w:left w:type="dxa" w:w="90"/>
              <w:bottom w:type="dxa" w:w="60"/>
              <w:right w:type="dxa" w:w="90"/>
            </w:tcMar>
          </w:tcPr>
          <w:p>
            <w:pPr>
              <w:spacing w:after="0" w:line="245"/>
            </w:pPr>
            <w:r>
              <w:rPr>
                <w:rFonts w:ascii="Arial" w:cs="Arial" w:eastAsia="Arial" w:hAnsi="Arial"/>
                <w:color w:val="1A1A1A"/>
                <w:sz w:val="17"/>
                <w:szCs w:val="17"/>
              </w:rPr>
              <w:t xml:space="preserve">El estado de resultados técnico queda inflado.</w:t>
            </w:r>
          </w:p>
        </w:tc>
      </w:tr>
      <w:tr>
        <w:tc>
          <w:tcPr>
            <w:tcW w:type="dxa" w:w="5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6</w:t>
            </w:r>
          </w:p>
        </w:tc>
        <w:tc>
          <w:tcPr>
            <w:tcW w:type="dxa" w:w="46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El devengo va a 4159030101, nunca a primas emitidas.</w:t>
            </w:r>
          </w:p>
        </w:tc>
        <w:tc>
          <w:tcPr>
            <w:tcW w:type="dxa" w:w="40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Ingreso reconocido dos veces.</w:t>
            </w:r>
          </w:p>
        </w:tc>
      </w:tr>
      <w:tr>
        <w:tc>
          <w:tcPr>
            <w:tcW w:type="dxa" w:w="500"/>
            <w:tcMar>
              <w:top w:type="dxa" w:w="60"/>
              <w:left w:type="dxa" w:w="90"/>
              <w:bottom w:type="dxa" w:w="60"/>
              <w:right w:type="dxa" w:w="90"/>
            </w:tcMar>
          </w:tcPr>
          <w:p>
            <w:pPr>
              <w:spacing w:after="0" w:line="245"/>
            </w:pPr>
            <w:r>
              <w:rPr>
                <w:rFonts w:ascii="Arial" w:cs="Arial" w:eastAsia="Arial" w:hAnsi="Arial"/>
                <w:color w:val="1A1A1A"/>
                <w:sz w:val="17"/>
                <w:szCs w:val="17"/>
              </w:rPr>
              <w:t xml:space="preserve">7</w:t>
            </w:r>
          </w:p>
        </w:tc>
        <w:tc>
          <w:tcPr>
            <w:tcW w:type="dxa" w:w="4600"/>
            <w:tcMar>
              <w:top w:type="dxa" w:w="60"/>
              <w:left w:type="dxa" w:w="90"/>
              <w:bottom w:type="dxa" w:w="60"/>
              <w:right w:type="dxa" w:w="90"/>
            </w:tcMar>
          </w:tcPr>
          <w:p>
            <w:pPr>
              <w:spacing w:after="0" w:line="245"/>
            </w:pPr>
            <w:r>
              <w:rPr>
                <w:rFonts w:ascii="Arial" w:cs="Arial" w:eastAsia="Arial" w:hAnsi="Arial"/>
                <w:color w:val="1A1A1A"/>
                <w:sz w:val="17"/>
                <w:szCs w:val="17"/>
              </w:rPr>
              <w:t xml:space="preserve">External ID de cliente = tipo + número de documento, con actualización.</w:t>
            </w:r>
          </w:p>
        </w:tc>
        <w:tc>
          <w:tcPr>
            <w:tcW w:type="dxa" w:w="4000"/>
            <w:tcMar>
              <w:top w:type="dxa" w:w="60"/>
              <w:left w:type="dxa" w:w="90"/>
              <w:bottom w:type="dxa" w:w="60"/>
              <w:right w:type="dxa" w:w="90"/>
            </w:tcMar>
          </w:tcPr>
          <w:p>
            <w:pPr>
              <w:spacing w:after="0" w:line="245"/>
            </w:pPr>
            <w:r>
              <w:rPr>
                <w:rFonts w:ascii="Arial" w:cs="Arial" w:eastAsia="Arial" w:hAnsi="Arial"/>
                <w:color w:val="1A1A1A"/>
                <w:sz w:val="17"/>
                <w:szCs w:val="17"/>
              </w:rPr>
              <w:t xml:space="preserve">Terceros duplicados de forma masiva.</w:t>
            </w:r>
          </w:p>
        </w:tc>
      </w:tr>
      <w:tr>
        <w:tc>
          <w:tcPr>
            <w:tcW w:type="dxa" w:w="5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8</w:t>
            </w:r>
          </w:p>
        </w:tc>
        <w:tc>
          <w:tcPr>
            <w:tcW w:type="dxa" w:w="46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La liquidación de comisiones respeta la ventana de tiempo definida.</w:t>
            </w:r>
          </w:p>
        </w:tc>
        <w:tc>
          <w:tcPr>
            <w:tcW w:type="dxa" w:w="40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Pagos a intermediarios antes de conciliar.</w:t>
            </w:r>
          </w:p>
        </w:tc>
      </w:tr>
    </w:tbl>
    <w:p>
      <w:pPr>
        <w:pStyle w:val="Heading1"/>
        <w:pBdr>
          <w:bottom w:val="single" w:color="42194E" w:sz="8" w:space="5"/>
        </w:pBdr>
        <w:spacing w:after="150" w:before="300"/>
      </w:pPr>
      <w:r>
        <w:rPr>
          <w:rFonts w:ascii="Arial" w:cs="Arial" w:eastAsia="Arial" w:hAnsi="Arial"/>
          <w:b/>
          <w:bCs/>
          <w:color w:val="42194E"/>
          <w:sz w:val="24"/>
          <w:szCs w:val="24"/>
        </w:rPr>
        <w:t xml:space="preserve">9. Criterios de aceptación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600"/>
        <w:gridCol w:w="8500"/>
      </w:tblGrid>
      <w:tr>
        <w:trPr>
          <w:tblHeader/>
        </w:trPr>
        <w:tc>
          <w:tcPr>
            <w:tcW w:type="dxa" w:w="600"/>
            <w:shd w:fill="42194E" w:val="clear"/>
            <w:tcMar>
              <w:top w:type="dxa" w:w="60"/>
              <w:left w:type="dxa" w:w="90"/>
              <w:bottom w:type="dxa" w:w="60"/>
              <w:right w:type="dxa" w:w="90"/>
            </w:tcMar>
          </w:tcPr>
          <w:p>
            <w:pPr>
              <w:spacing w:after="0" w:line="245"/>
            </w:pPr>
            <w:r>
              <w:rPr>
                <w:rFonts w:ascii="Arial" w:cs="Arial" w:eastAsia="Arial" w:hAnsi="Arial"/>
                <w:b/>
                <w:bCs/>
                <w:color w:val="FFFFFF"/>
                <w:sz w:val="17"/>
                <w:szCs w:val="17"/>
              </w:rPr>
              <w:t xml:space="preserve">#</w:t>
            </w:r>
          </w:p>
        </w:tc>
        <w:tc>
          <w:tcPr>
            <w:tcW w:type="dxa" w:w="8500"/>
            <w:shd w:fill="42194E" w:val="clear"/>
            <w:tcMar>
              <w:top w:type="dxa" w:w="60"/>
              <w:left w:type="dxa" w:w="90"/>
              <w:bottom w:type="dxa" w:w="60"/>
              <w:right w:type="dxa" w:w="90"/>
            </w:tcMar>
          </w:tcPr>
          <w:p>
            <w:pPr>
              <w:spacing w:after="0" w:line="245"/>
            </w:pPr>
            <w:r>
              <w:rPr>
                <w:rFonts w:ascii="Arial" w:cs="Arial" w:eastAsia="Arial" w:hAnsi="Arial"/>
                <w:b/>
                <w:bCs/>
                <w:color w:val="FFFFFF"/>
                <w:sz w:val="17"/>
                <w:szCs w:val="17"/>
              </w:rPr>
              <w:t xml:space="preserve">Criterio</w:t>
            </w:r>
          </w:p>
        </w:tc>
      </w:tr>
      <w:tr>
        <w:tc>
          <w:tcPr>
            <w:tcW w:type="dxa" w:w="600"/>
            <w:tcMar>
              <w:top w:type="dxa" w:w="60"/>
              <w:left w:type="dxa" w:w="90"/>
              <w:bottom w:type="dxa" w:w="60"/>
              <w:right w:type="dxa" w:w="90"/>
            </w:tcMar>
          </w:tcPr>
          <w:p>
            <w:pPr>
              <w:spacing w:after="0" w:line="245"/>
            </w:pPr>
            <w:r>
              <w:rPr>
                <w:rFonts w:ascii="Arial" w:cs="Arial" w:eastAsia="Arial" w:hAnsi="Arial"/>
                <w:color w:val="1A1A1A"/>
                <w:sz w:val="17"/>
                <w:szCs w:val="17"/>
              </w:rPr>
              <w:t xml:space="preserve">1</w:t>
            </w:r>
          </w:p>
        </w:tc>
        <w:tc>
          <w:tcPr>
            <w:tcW w:type="dxa" w:w="8500"/>
            <w:tcMar>
              <w:top w:type="dxa" w:w="60"/>
              <w:left w:type="dxa" w:w="90"/>
              <w:bottom w:type="dxa" w:w="60"/>
              <w:right w:type="dxa" w:w="90"/>
            </w:tcMar>
          </w:tcPr>
          <w:p>
            <w:pPr>
              <w:spacing w:after="0" w:line="245"/>
            </w:pPr>
            <w:r>
              <w:rPr>
                <w:rFonts w:ascii="Arial" w:cs="Arial" w:eastAsia="Arial" w:hAnsi="Arial"/>
                <w:color w:val="1A1A1A"/>
                <w:sz w:val="17"/>
                <w:szCs w:val="17"/>
              </w:rPr>
              <w:t xml:space="preserve">El cliente se crea o actualiza sin duplicar el tercero, con todos los campos fiscales y de documento electrónico diligenciados.</w:t>
            </w:r>
          </w:p>
        </w:tc>
      </w:tr>
      <w:tr>
        <w:tc>
          <w:tcPr>
            <w:tcW w:type="dxa" w:w="6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2</w:t>
            </w:r>
          </w:p>
        </w:tc>
        <w:tc>
          <w:tcPr>
            <w:tcW w:type="dxa" w:w="85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El custom record se crea completo, incluidos tarifa, valor RUNT y los campos de trazabilidad.</w:t>
            </w:r>
          </w:p>
        </w:tc>
      </w:tr>
      <w:tr>
        <w:tc>
          <w:tcPr>
            <w:tcW w:type="dxa" w:w="600"/>
            <w:tcMar>
              <w:top w:type="dxa" w:w="60"/>
              <w:left w:type="dxa" w:w="90"/>
              <w:bottom w:type="dxa" w:w="60"/>
              <w:right w:type="dxa" w:w="90"/>
            </w:tcMar>
          </w:tcPr>
          <w:p>
            <w:pPr>
              <w:spacing w:after="0" w:line="245"/>
            </w:pPr>
            <w:r>
              <w:rPr>
                <w:rFonts w:ascii="Arial" w:cs="Arial" w:eastAsia="Arial" w:hAnsi="Arial"/>
                <w:color w:val="1A1A1A"/>
                <w:sz w:val="17"/>
                <w:szCs w:val="17"/>
              </w:rPr>
              <w:t xml:space="preserve">3</w:t>
            </w:r>
          </w:p>
        </w:tc>
        <w:tc>
          <w:tcPr>
            <w:tcW w:type="dxa" w:w="8500"/>
            <w:tcMar>
              <w:top w:type="dxa" w:w="60"/>
              <w:left w:type="dxa" w:w="90"/>
              <w:bottom w:type="dxa" w:w="60"/>
              <w:right w:type="dxa" w:w="90"/>
            </w:tcMar>
          </w:tcPr>
          <w:p>
            <w:pPr>
              <w:spacing w:after="0" w:line="245"/>
            </w:pPr>
            <w:r>
              <w:rPr>
                <w:rFonts w:ascii="Arial" w:cs="Arial" w:eastAsia="Arial" w:hAnsi="Arial"/>
                <w:color w:val="1A1A1A"/>
                <w:sz w:val="17"/>
                <w:szCs w:val="17"/>
              </w:rPr>
              <w:t xml:space="preserve">La factura reproduce los valores exactos de la póliza en sus tres artículos, con la fecha de emisión correcta.</w:t>
            </w:r>
          </w:p>
        </w:tc>
      </w:tr>
      <w:tr>
        <w:tc>
          <w:tcPr>
            <w:tcW w:type="dxa" w:w="6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4</w:t>
            </w:r>
          </w:p>
        </w:tc>
        <w:tc>
          <w:tcPr>
            <w:tcW w:type="dxa" w:w="85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El número de póliza aparece en las líneas de la factura.</w:t>
            </w:r>
          </w:p>
        </w:tc>
      </w:tr>
      <w:tr>
        <w:tc>
          <w:tcPr>
            <w:tcW w:type="dxa" w:w="600"/>
            <w:tcMar>
              <w:top w:type="dxa" w:w="60"/>
              <w:left w:type="dxa" w:w="90"/>
              <w:bottom w:type="dxa" w:w="60"/>
              <w:right w:type="dxa" w:w="90"/>
            </w:tcMar>
          </w:tcPr>
          <w:p>
            <w:pPr>
              <w:spacing w:after="0" w:line="245"/>
            </w:pPr>
            <w:r>
              <w:rPr>
                <w:rFonts w:ascii="Arial" w:cs="Arial" w:eastAsia="Arial" w:hAnsi="Arial"/>
                <w:color w:val="1A1A1A"/>
                <w:sz w:val="17"/>
                <w:szCs w:val="17"/>
              </w:rPr>
              <w:t xml:space="preserve">5</w:t>
            </w:r>
          </w:p>
        </w:tc>
        <w:tc>
          <w:tcPr>
            <w:tcW w:type="dxa" w:w="8500"/>
            <w:tcMar>
              <w:top w:type="dxa" w:w="60"/>
              <w:left w:type="dxa" w:w="90"/>
              <w:bottom w:type="dxa" w:w="60"/>
              <w:right w:type="dxa" w:w="90"/>
            </w:tcMar>
          </w:tcPr>
          <w:p>
            <w:pPr>
              <w:spacing w:after="0" w:line="245"/>
            </w:pPr>
            <w:r>
              <w:rPr>
                <w:rFonts w:ascii="Arial" w:cs="Arial" w:eastAsia="Arial" w:hAnsi="Arial"/>
                <w:color w:val="1A1A1A"/>
                <w:sz w:val="17"/>
                <w:szCs w:val="17"/>
              </w:rPr>
              <w:t xml:space="preserve">La factura se transmite a la DIAN y se obtiene la representación gráfica en PDF.</w:t>
            </w:r>
          </w:p>
        </w:tc>
      </w:tr>
      <w:tr>
        <w:tc>
          <w:tcPr>
            <w:tcW w:type="dxa" w:w="6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6</w:t>
            </w:r>
          </w:p>
        </w:tc>
        <w:tc>
          <w:tcPr>
            <w:tcW w:type="dxa" w:w="85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El canal se identifica correctamente y el saldo se dirige a la cuenta que corresponde.</w:t>
            </w:r>
          </w:p>
        </w:tc>
      </w:tr>
      <w:tr>
        <w:tc>
          <w:tcPr>
            <w:tcW w:type="dxa" w:w="600"/>
            <w:tcMar>
              <w:top w:type="dxa" w:w="60"/>
              <w:left w:type="dxa" w:w="90"/>
              <w:bottom w:type="dxa" w:w="60"/>
              <w:right w:type="dxa" w:w="90"/>
            </w:tcMar>
          </w:tcPr>
          <w:p>
            <w:pPr>
              <w:spacing w:after="0" w:line="245"/>
            </w:pPr>
            <w:r>
              <w:rPr>
                <w:rFonts w:ascii="Arial" w:cs="Arial" w:eastAsia="Arial" w:hAnsi="Arial"/>
                <w:color w:val="1A1A1A"/>
                <w:sz w:val="17"/>
                <w:szCs w:val="17"/>
              </w:rPr>
              <w:t xml:space="preserve">7</w:t>
            </w:r>
          </w:p>
        </w:tc>
        <w:tc>
          <w:tcPr>
            <w:tcW w:type="dxa" w:w="8500"/>
            <w:tcMar>
              <w:top w:type="dxa" w:w="60"/>
              <w:left w:type="dxa" w:w="90"/>
              <w:bottom w:type="dxa" w:w="60"/>
              <w:right w:type="dxa" w:w="90"/>
            </w:tcMar>
          </w:tcPr>
          <w:p>
            <w:pPr>
              <w:spacing w:after="0" w:line="245"/>
            </w:pPr>
            <w:r>
              <w:rPr>
                <w:rFonts w:ascii="Arial" w:cs="Arial" w:eastAsia="Arial" w:hAnsi="Arial"/>
                <w:color w:val="1A1A1A"/>
                <w:sz w:val="17"/>
                <w:szCs w:val="17"/>
              </w:rPr>
              <w:t xml:space="preserve">El Documento 3 se genera con valor total cero y no afecta cuentas por cobrar.</w:t>
            </w:r>
          </w:p>
        </w:tc>
      </w:tr>
      <w:tr>
        <w:tc>
          <w:tcPr>
            <w:tcW w:type="dxa" w:w="6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8</w:t>
            </w:r>
          </w:p>
        </w:tc>
        <w:tc>
          <w:tcPr>
            <w:tcW w:type="dxa" w:w="85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El efecto neto de los Documentos 1 y 3 sobre el estado de resultados es cero.</w:t>
            </w:r>
          </w:p>
        </w:tc>
      </w:tr>
      <w:tr>
        <w:tc>
          <w:tcPr>
            <w:tcW w:type="dxa" w:w="600"/>
            <w:tcMar>
              <w:top w:type="dxa" w:w="60"/>
              <w:left w:type="dxa" w:w="90"/>
              <w:bottom w:type="dxa" w:w="60"/>
              <w:right w:type="dxa" w:w="90"/>
            </w:tcMar>
          </w:tcPr>
          <w:p>
            <w:pPr>
              <w:spacing w:after="0" w:line="245"/>
            </w:pPr>
            <w:r>
              <w:rPr>
                <w:rFonts w:ascii="Arial" w:cs="Arial" w:eastAsia="Arial" w:hAnsi="Arial"/>
                <w:color w:val="1A1A1A"/>
                <w:sz w:val="17"/>
                <w:szCs w:val="17"/>
              </w:rPr>
              <w:t xml:space="preserve">9</w:t>
            </w:r>
          </w:p>
        </w:tc>
        <w:tc>
          <w:tcPr>
            <w:tcW w:type="dxa" w:w="8500"/>
            <w:tcMar>
              <w:top w:type="dxa" w:w="60"/>
              <w:left w:type="dxa" w:w="90"/>
              <w:bottom w:type="dxa" w:w="60"/>
              <w:right w:type="dxa" w:w="90"/>
            </w:tcMar>
          </w:tcPr>
          <w:p>
            <w:pPr>
              <w:spacing w:after="0" w:line="245"/>
            </w:pPr>
            <w:r>
              <w:rPr>
                <w:rFonts w:ascii="Arial" w:cs="Arial" w:eastAsia="Arial" w:hAnsi="Arial"/>
                <w:color w:val="1A1A1A"/>
                <w:sz w:val="17"/>
                <w:szCs w:val="17"/>
              </w:rPr>
              <w:t xml:space="preserve">El cronograma de devengo es diario, a 365 días, iniciando en la vigencia de la póliza.</w:t>
            </w:r>
          </w:p>
        </w:tc>
      </w:tr>
      <w:tr>
        <w:tc>
          <w:tcPr>
            <w:tcW w:type="dxa" w:w="6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10</w:t>
            </w:r>
          </w:p>
        </w:tc>
        <w:tc>
          <w:tcPr>
            <w:tcW w:type="dxa" w:w="85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Un reproceso de la cola no genera documentos duplicados.</w:t>
            </w:r>
          </w:p>
        </w:tc>
      </w:tr>
      <w:tr>
        <w:tc>
          <w:tcPr>
            <w:tcW w:type="dxa" w:w="600"/>
            <w:tcMar>
              <w:top w:type="dxa" w:w="60"/>
              <w:left w:type="dxa" w:w="90"/>
              <w:bottom w:type="dxa" w:w="60"/>
              <w:right w:type="dxa" w:w="90"/>
            </w:tcMar>
          </w:tcPr>
          <w:p>
            <w:pPr>
              <w:spacing w:after="0" w:line="245"/>
            </w:pPr>
            <w:r>
              <w:rPr>
                <w:rFonts w:ascii="Arial" w:cs="Arial" w:eastAsia="Arial" w:hAnsi="Arial"/>
                <w:color w:val="1A1A1A"/>
                <w:sz w:val="17"/>
                <w:szCs w:val="17"/>
              </w:rPr>
              <w:t xml:space="preserve">11</w:t>
            </w:r>
          </w:p>
        </w:tc>
        <w:tc>
          <w:tcPr>
            <w:tcW w:type="dxa" w:w="8500"/>
            <w:tcMar>
              <w:top w:type="dxa" w:w="60"/>
              <w:left w:type="dxa" w:w="90"/>
              <w:bottom w:type="dxa" w:w="60"/>
              <w:right w:type="dxa" w:w="90"/>
            </w:tcMar>
          </w:tcPr>
          <w:p>
            <w:pPr>
              <w:spacing w:after="0" w:line="245"/>
            </w:pPr>
            <w:r>
              <w:rPr>
                <w:rFonts w:ascii="Arial" w:cs="Arial" w:eastAsia="Arial" w:hAnsi="Arial"/>
                <w:color w:val="1A1A1A"/>
                <w:sz w:val="17"/>
                <w:szCs w:val="17"/>
              </w:rPr>
              <w:t xml:space="preserve">Los asientos se reflejan correctamente en ambos libros a través de la columna CONTEXTO.</w:t>
            </w:r>
          </w:p>
        </w:tc>
      </w:tr>
    </w:tbl>
    <w:p>
      <w:pPr>
        <w:pStyle w:val="Heading1"/>
        <w:pBdr>
          <w:bottom w:val="single" w:color="42194E" w:sz="8" w:space="5"/>
        </w:pBdr>
        <w:spacing w:after="150" w:before="300"/>
      </w:pPr>
      <w:r>
        <w:rPr>
          <w:rFonts w:ascii="Arial" w:cs="Arial" w:eastAsia="Arial" w:hAnsi="Arial"/>
          <w:b/>
          <w:bCs/>
          <w:color w:val="42194E"/>
          <w:sz w:val="24"/>
          <w:szCs w:val="24"/>
        </w:rPr>
        <w:t xml:space="preserve">10. Decisiones cerradas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400"/>
        <w:gridCol w:w="6700"/>
      </w:tblGrid>
      <w:tr>
        <w:trPr>
          <w:tblHeader/>
        </w:trPr>
        <w:tc>
          <w:tcPr>
            <w:tcW w:type="dxa" w:w="2400"/>
            <w:shd w:fill="42194E" w:val="clear"/>
            <w:tcMar>
              <w:top w:type="dxa" w:w="60"/>
              <w:left w:type="dxa" w:w="90"/>
              <w:bottom w:type="dxa" w:w="60"/>
              <w:right w:type="dxa" w:w="90"/>
            </w:tcMar>
          </w:tcPr>
          <w:p>
            <w:pPr>
              <w:spacing w:after="0" w:line="245"/>
            </w:pPr>
            <w:r>
              <w:rPr>
                <w:rFonts w:ascii="Arial" w:cs="Arial" w:eastAsia="Arial" w:hAnsi="Arial"/>
                <w:b/>
                <w:bCs/>
                <w:color w:val="FFFFFF"/>
                <w:sz w:val="17"/>
                <w:szCs w:val="17"/>
              </w:rPr>
              <w:t xml:space="preserve">Tema</w:t>
            </w:r>
          </w:p>
        </w:tc>
        <w:tc>
          <w:tcPr>
            <w:tcW w:type="dxa" w:w="6700"/>
            <w:shd w:fill="42194E" w:val="clear"/>
            <w:tcMar>
              <w:top w:type="dxa" w:w="60"/>
              <w:left w:type="dxa" w:w="90"/>
              <w:bottom w:type="dxa" w:w="60"/>
              <w:right w:type="dxa" w:w="90"/>
            </w:tcMar>
          </w:tcPr>
          <w:p>
            <w:pPr>
              <w:spacing w:after="0" w:line="245"/>
            </w:pPr>
            <w:r>
              <w:rPr>
                <w:rFonts w:ascii="Arial" w:cs="Arial" w:eastAsia="Arial" w:hAnsi="Arial"/>
                <w:b/>
                <w:bCs/>
                <w:color w:val="FFFFFF"/>
                <w:sz w:val="17"/>
                <w:szCs w:val="17"/>
              </w:rPr>
              <w:t xml:space="preserve">Decisión</w:t>
            </w:r>
          </w:p>
        </w:tc>
      </w:tr>
      <w:tr>
        <w:tc>
          <w:tcPr>
            <w:tcW w:type="dxa" w:w="2400"/>
            <w:tcMar>
              <w:top w:type="dxa" w:w="60"/>
              <w:left w:type="dxa" w:w="90"/>
              <w:bottom w:type="dxa" w:w="60"/>
              <w:right w:type="dxa" w:w="90"/>
            </w:tcMar>
          </w:tcPr>
          <w:p>
            <w:pPr>
              <w:spacing w:after="0" w:line="245"/>
            </w:pPr>
            <w:r>
              <w:rPr>
                <w:rFonts w:ascii="Arial" w:cs="Arial" w:eastAsia="Arial" w:hAnsi="Arial"/>
                <w:color w:val="1A1A1A"/>
                <w:sz w:val="17"/>
                <w:szCs w:val="17"/>
              </w:rPr>
              <w:t xml:space="preserve">Cliente</w:t>
            </w:r>
          </w:p>
        </w:tc>
        <w:tc>
          <w:tcPr>
            <w:tcW w:type="dxa" w:w="6700"/>
            <w:tcMar>
              <w:top w:type="dxa" w:w="60"/>
              <w:left w:type="dxa" w:w="90"/>
              <w:bottom w:type="dxa" w:w="60"/>
              <w:right w:type="dxa" w:w="90"/>
            </w:tcMar>
          </w:tcPr>
          <w:p>
            <w:pPr>
              <w:spacing w:after="0" w:line="245"/>
            </w:pPr>
            <w:r>
              <w:rPr>
                <w:rFonts w:ascii="Arial" w:cs="Arial" w:eastAsia="Arial" w:hAnsi="Arial"/>
                <w:color w:val="1A1A1A"/>
                <w:sz w:val="17"/>
                <w:szCs w:val="17"/>
              </w:rPr>
              <w:t xml:space="preserve">El propietario del vehículo. Sin excepciones.</w:t>
            </w:r>
          </w:p>
        </w:tc>
      </w:tr>
      <w:tr>
        <w:tc>
          <w:tcPr>
            <w:tcW w:type="dxa" w:w="24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Costos de adquisición</w:t>
            </w:r>
          </w:p>
        </w:tc>
        <w:tc>
          <w:tcPr>
            <w:tcW w:type="dxa" w:w="67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Gasto inmediato.</w:t>
            </w:r>
          </w:p>
        </w:tc>
      </w:tr>
      <w:tr>
        <w:tc>
          <w:tcPr>
            <w:tcW w:type="dxa" w:w="2400"/>
            <w:tcMar>
              <w:top w:type="dxa" w:w="60"/>
              <w:left w:type="dxa" w:w="90"/>
              <w:bottom w:type="dxa" w:w="60"/>
              <w:right w:type="dxa" w:w="90"/>
            </w:tcMar>
          </w:tcPr>
          <w:p>
            <w:pPr>
              <w:spacing w:after="0" w:line="245"/>
            </w:pPr>
            <w:r>
              <w:rPr>
                <w:rFonts w:ascii="Arial" w:cs="Arial" w:eastAsia="Arial" w:hAnsi="Arial"/>
                <w:color w:val="1A1A1A"/>
                <w:sz w:val="17"/>
                <w:szCs w:val="17"/>
              </w:rPr>
              <w:t xml:space="preserve">Cámara de compensación</w:t>
            </w:r>
          </w:p>
        </w:tc>
        <w:tc>
          <w:tcPr>
            <w:tcW w:type="dxa" w:w="6700"/>
            <w:tcMar>
              <w:top w:type="dxa" w:w="60"/>
              <w:left w:type="dxa" w:w="90"/>
              <w:bottom w:type="dxa" w:w="60"/>
              <w:right w:type="dxa" w:w="90"/>
            </w:tcMar>
          </w:tcPr>
          <w:p>
            <w:pPr>
              <w:spacing w:after="0" w:line="245"/>
            </w:pPr>
            <w:r>
              <w:rPr>
                <w:rFonts w:ascii="Arial" w:cs="Arial" w:eastAsia="Arial" w:hAnsi="Arial"/>
                <w:color w:val="1A1A1A"/>
                <w:sz w:val="17"/>
                <w:szCs w:val="17"/>
              </w:rPr>
              <w:t xml:space="preserve">La emisión dispara el motor actuarial. Manta no calcula el valor.</w:t>
            </w:r>
          </w:p>
        </w:tc>
      </w:tr>
      <w:tr>
        <w:tc>
          <w:tcPr>
            <w:tcW w:type="dxa" w:w="24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Documento 3</w:t>
            </w:r>
          </w:p>
        </w:tc>
        <w:tc>
          <w:tcPr>
            <w:tcW w:type="dxa" w:w="67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Transacción de venta, no asiento contable manual.</w:t>
            </w:r>
          </w:p>
        </w:tc>
      </w:tr>
      <w:tr>
        <w:tc>
          <w:tcPr>
            <w:tcW w:type="dxa" w:w="2400"/>
            <w:tcMar>
              <w:top w:type="dxa" w:w="60"/>
              <w:left w:type="dxa" w:w="90"/>
              <w:bottom w:type="dxa" w:w="60"/>
              <w:right w:type="dxa" w:w="90"/>
            </w:tcMar>
          </w:tcPr>
          <w:p>
            <w:pPr>
              <w:spacing w:after="0" w:line="245"/>
            </w:pPr>
            <w:r>
              <w:rPr>
                <w:rFonts w:ascii="Arial" w:cs="Arial" w:eastAsia="Arial" w:hAnsi="Arial"/>
                <w:color w:val="1A1A1A"/>
                <w:sz w:val="17"/>
                <w:szCs w:val="17"/>
              </w:rPr>
              <w:t xml:space="preserve">Libro de posteo</w:t>
            </w:r>
          </w:p>
        </w:tc>
        <w:tc>
          <w:tcPr>
            <w:tcW w:type="dxa" w:w="6700"/>
            <w:tcMar>
              <w:top w:type="dxa" w:w="60"/>
              <w:left w:type="dxa" w:w="90"/>
              <w:bottom w:type="dxa" w:w="60"/>
              <w:right w:type="dxa" w:w="90"/>
            </w:tcMar>
          </w:tcPr>
          <w:p>
            <w:pPr>
              <w:spacing w:after="0" w:line="245"/>
            </w:pPr>
            <w:r>
              <w:rPr>
                <w:rFonts w:ascii="Arial" w:cs="Arial" w:eastAsia="Arial" w:hAnsi="Arial"/>
                <w:color w:val="1A1A1A"/>
                <w:sz w:val="17"/>
                <w:szCs w:val="17"/>
              </w:rPr>
              <w:t xml:space="preserve">NIIF 17 como principal; NIIF 4 / CUIF por contexto.</w:t>
            </w:r>
          </w:p>
        </w:tc>
      </w:tr>
      <w:tr>
        <w:tc>
          <w:tcPr>
            <w:tcW w:type="dxa" w:w="24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Devengamiento</w:t>
            </w:r>
          </w:p>
        </w:tc>
        <w:tc>
          <w:tcPr>
            <w:tcW w:type="dxa" w:w="67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Diario, 365 días.</w:t>
            </w:r>
          </w:p>
        </w:tc>
      </w:tr>
    </w:tbl>
    <w:p>
      <w:pPr>
        <w:pStyle w:val="Heading1"/>
        <w:pBdr>
          <w:bottom w:val="single" w:color="42194E" w:sz="8" w:space="5"/>
        </w:pBdr>
        <w:spacing w:after="150" w:before="300"/>
      </w:pPr>
      <w:r>
        <w:rPr>
          <w:rFonts w:ascii="Arial" w:cs="Arial" w:eastAsia="Arial" w:hAnsi="Arial"/>
          <w:b/>
          <w:bCs/>
          <w:color w:val="42194E"/>
          <w:sz w:val="24"/>
          <w:szCs w:val="24"/>
        </w:rPr>
        <w:t xml:space="preserve">11. Fuera de alcance</w:t>
      </w:r>
    </w:p>
    <w:p>
      <w:pPr>
        <w:pStyle w:val="ListParagraph"/>
        <w:numPr>
          <w:ilvl w:val="0"/>
          <w:numId w:val="1"/>
        </w:numPr>
        <w:spacing w:after="80" w:line="270"/>
      </w:pPr>
      <w:r>
        <w:rPr>
          <w:rFonts w:ascii="Arial" w:cs="Arial" w:eastAsia="Arial" w:hAnsi="Arial"/>
          <w:sz w:val="20"/>
          <w:szCs w:val="20"/>
        </w:rPr>
        <w:t xml:space="preserve">Reaseguro — se opera manualmente mediante procedimiento de cierre.</w:t>
      </w:r>
    </w:p>
    <w:p>
      <w:pPr>
        <w:pStyle w:val="ListParagraph"/>
        <w:numPr>
          <w:ilvl w:val="0"/>
          <w:numId w:val="1"/>
        </w:numPr>
        <w:spacing w:after="80" w:line="270"/>
      </w:pPr>
      <w:r>
        <w:rPr>
          <w:rFonts w:ascii="Arial" w:cs="Arial" w:eastAsia="Arial" w:hAnsi="Arial"/>
          <w:sz w:val="20"/>
          <w:szCs w:val="20"/>
        </w:rPr>
        <w:t xml:space="preserve">Anulaciones y notas crédito.</w:t>
      </w:r>
    </w:p>
    <w:p>
      <w:pPr>
        <w:pStyle w:val="ListParagraph"/>
        <w:numPr>
          <w:ilvl w:val="0"/>
          <w:numId w:val="1"/>
        </w:numPr>
        <w:spacing w:after="80" w:line="270"/>
      </w:pPr>
      <w:r>
        <w:rPr>
          <w:rFonts w:ascii="Arial" w:cs="Arial" w:eastAsia="Arial" w:hAnsi="Arial"/>
          <w:sz w:val="20"/>
          <w:szCs w:val="20"/>
        </w:rPr>
        <w:t xml:space="preserve">Reservas de siniestros — provienen del Motor Actuarial.</w:t>
      </w:r>
    </w:p>
    <w:p>
      <w:pPr>
        <w:pStyle w:val="Heading1"/>
        <w:pBdr>
          <w:bottom w:val="single" w:color="42194E" w:sz="8" w:space="5"/>
        </w:pBdr>
        <w:spacing w:after="150" w:before="300"/>
      </w:pPr>
      <w:r>
        <w:rPr>
          <w:rFonts w:ascii="Arial" w:cs="Arial" w:eastAsia="Arial" w:hAnsi="Arial"/>
          <w:b/>
          <w:bCs/>
          <w:color w:val="42194E"/>
          <w:sz w:val="24"/>
          <w:szCs w:val="24"/>
        </w:rPr>
        <w:t xml:space="preserve">12. Pendientes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500"/>
        <w:gridCol w:w="6800"/>
        <w:gridCol w:w="1800"/>
      </w:tblGrid>
      <w:tr>
        <w:trPr>
          <w:tblHeader/>
        </w:trPr>
        <w:tc>
          <w:tcPr>
            <w:tcW w:type="dxa" w:w="500"/>
            <w:shd w:fill="42194E" w:val="clear"/>
            <w:tcMar>
              <w:top w:type="dxa" w:w="60"/>
              <w:left w:type="dxa" w:w="90"/>
              <w:bottom w:type="dxa" w:w="60"/>
              <w:right w:type="dxa" w:w="90"/>
            </w:tcMar>
          </w:tcPr>
          <w:p>
            <w:pPr>
              <w:spacing w:after="0" w:line="245"/>
            </w:pPr>
            <w:r>
              <w:rPr>
                <w:rFonts w:ascii="Arial" w:cs="Arial" w:eastAsia="Arial" w:hAnsi="Arial"/>
                <w:b/>
                <w:bCs/>
                <w:color w:val="FFFFFF"/>
                <w:sz w:val="17"/>
                <w:szCs w:val="17"/>
              </w:rPr>
              <w:t xml:space="preserve">#</w:t>
            </w:r>
          </w:p>
        </w:tc>
        <w:tc>
          <w:tcPr>
            <w:tcW w:type="dxa" w:w="6800"/>
            <w:shd w:fill="42194E" w:val="clear"/>
            <w:tcMar>
              <w:top w:type="dxa" w:w="60"/>
              <w:left w:type="dxa" w:w="90"/>
              <w:bottom w:type="dxa" w:w="60"/>
              <w:right w:type="dxa" w:w="90"/>
            </w:tcMar>
          </w:tcPr>
          <w:p>
            <w:pPr>
              <w:spacing w:after="0" w:line="245"/>
            </w:pPr>
            <w:r>
              <w:rPr>
                <w:rFonts w:ascii="Arial" w:cs="Arial" w:eastAsia="Arial" w:hAnsi="Arial"/>
                <w:b/>
                <w:bCs/>
                <w:color w:val="FFFFFF"/>
                <w:sz w:val="17"/>
                <w:szCs w:val="17"/>
              </w:rPr>
              <w:t xml:space="preserve">Pendiente</w:t>
            </w:r>
          </w:p>
        </w:tc>
        <w:tc>
          <w:tcPr>
            <w:tcW w:type="dxa" w:w="1800"/>
            <w:shd w:fill="42194E" w:val="clear"/>
            <w:tcMar>
              <w:top w:type="dxa" w:w="60"/>
              <w:left w:type="dxa" w:w="90"/>
              <w:bottom w:type="dxa" w:w="60"/>
              <w:right w:type="dxa" w:w="90"/>
            </w:tcMar>
          </w:tcPr>
          <w:p>
            <w:pPr>
              <w:spacing w:after="0" w:line="245"/>
            </w:pPr>
            <w:r>
              <w:rPr>
                <w:rFonts w:ascii="Arial" w:cs="Arial" w:eastAsia="Arial" w:hAnsi="Arial"/>
                <w:b/>
                <w:bCs/>
                <w:color w:val="FFFFFF"/>
                <w:sz w:val="17"/>
                <w:szCs w:val="17"/>
              </w:rPr>
              <w:t xml:space="preserve">Responsable</w:t>
            </w:r>
          </w:p>
        </w:tc>
      </w:tr>
      <w:tr>
        <w:tc>
          <w:tcPr>
            <w:tcW w:type="dxa" w:w="500"/>
            <w:tcMar>
              <w:top w:type="dxa" w:w="60"/>
              <w:left w:type="dxa" w:w="90"/>
              <w:bottom w:type="dxa" w:w="60"/>
              <w:right w:type="dxa" w:w="90"/>
            </w:tcMar>
          </w:tcPr>
          <w:p>
            <w:pPr>
              <w:spacing w:after="0" w:line="245"/>
            </w:pPr>
            <w:r>
              <w:rPr>
                <w:rFonts w:ascii="Arial" w:cs="Arial" w:eastAsia="Arial" w:hAnsi="Arial"/>
                <w:color w:val="1A1A1A"/>
                <w:sz w:val="17"/>
                <w:szCs w:val="17"/>
              </w:rPr>
              <w:t xml:space="preserve">1</w:t>
            </w:r>
          </w:p>
        </w:tc>
        <w:tc>
          <w:tcPr>
            <w:tcW w:type="dxa" w:w="6800"/>
            <w:tcMar>
              <w:top w:type="dxa" w:w="60"/>
              <w:left w:type="dxa" w:w="90"/>
              <w:bottom w:type="dxa" w:w="60"/>
              <w:right w:type="dxa" w:w="90"/>
            </w:tcMar>
          </w:tcPr>
          <w:p>
            <w:pPr>
              <w:spacing w:after="0" w:line="245"/>
            </w:pPr>
            <w:r>
              <w:rPr>
                <w:rFonts w:ascii="Arial" w:cs="Arial" w:eastAsia="Arial" w:hAnsi="Arial"/>
                <w:color w:val="1A1A1A"/>
                <w:sz w:val="17"/>
                <w:szCs w:val="17"/>
              </w:rPr>
              <w:t xml:space="preserve">Crear las cuentas nuevas en Sandbox (ver documento Ajustes al Plan de Cuentas).</w:t>
            </w:r>
          </w:p>
        </w:tc>
        <w:tc>
          <w:tcPr>
            <w:tcW w:type="dxa" w:w="1800"/>
            <w:tcMar>
              <w:top w:type="dxa" w:w="60"/>
              <w:left w:type="dxa" w:w="90"/>
              <w:bottom w:type="dxa" w:w="60"/>
              <w:right w:type="dxa" w:w="90"/>
            </w:tcMar>
          </w:tcPr>
          <w:p>
            <w:pPr>
              <w:spacing w:after="0" w:line="245"/>
            </w:pPr>
            <w:r>
              <w:rPr>
                <w:rFonts w:ascii="Arial" w:cs="Arial" w:eastAsia="Arial" w:hAnsi="Arial"/>
                <w:color w:val="1A1A1A"/>
                <w:sz w:val="17"/>
                <w:szCs w:val="17"/>
              </w:rPr>
              <w:t xml:space="preserve">Ricardo Rojas</w:t>
            </w:r>
          </w:p>
        </w:tc>
      </w:tr>
      <w:tr>
        <w:tc>
          <w:tcPr>
            <w:tcW w:type="dxa" w:w="5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2</w:t>
            </w:r>
          </w:p>
        </w:tc>
        <w:tc>
          <w:tcPr>
            <w:tcW w:type="dxa" w:w="68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Confirmar que Advanced Revenue Management está habilitado y validar que procesa una transacción de valor cero.</w:t>
            </w:r>
          </w:p>
        </w:tc>
        <w:tc>
          <w:tcPr>
            <w:tcW w:type="dxa" w:w="18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Ricardo Rojas</w:t>
            </w:r>
          </w:p>
        </w:tc>
      </w:tr>
      <w:tr>
        <w:tc>
          <w:tcPr>
            <w:tcW w:type="dxa" w:w="500"/>
            <w:tcMar>
              <w:top w:type="dxa" w:w="60"/>
              <w:left w:type="dxa" w:w="90"/>
              <w:bottom w:type="dxa" w:w="60"/>
              <w:right w:type="dxa" w:w="90"/>
            </w:tcMar>
          </w:tcPr>
          <w:p>
            <w:pPr>
              <w:spacing w:after="0" w:line="245"/>
            </w:pPr>
            <w:r>
              <w:rPr>
                <w:rFonts w:ascii="Arial" w:cs="Arial" w:eastAsia="Arial" w:hAnsi="Arial"/>
                <w:color w:val="1A1A1A"/>
                <w:sz w:val="17"/>
                <w:szCs w:val="17"/>
              </w:rPr>
              <w:t xml:space="preserve">3</w:t>
            </w:r>
          </w:p>
        </w:tc>
        <w:tc>
          <w:tcPr>
            <w:tcW w:type="dxa" w:w="6800"/>
            <w:tcMar>
              <w:top w:type="dxa" w:w="60"/>
              <w:left w:type="dxa" w:w="90"/>
              <w:bottom w:type="dxa" w:w="60"/>
              <w:right w:type="dxa" w:w="90"/>
            </w:tcMar>
          </w:tcPr>
          <w:p>
            <w:pPr>
              <w:spacing w:after="0" w:line="245"/>
            </w:pPr>
            <w:r>
              <w:rPr>
                <w:rFonts w:ascii="Arial" w:cs="Arial" w:eastAsia="Arial" w:hAnsi="Arial"/>
                <w:color w:val="1A1A1A"/>
                <w:sz w:val="17"/>
                <w:szCs w:val="17"/>
              </w:rPr>
              <w:t xml:space="preserve">Corregir la identificación de canal en el PAS y definir el recaudo delegado sin intermediario.</w:t>
            </w:r>
          </w:p>
        </w:tc>
        <w:tc>
          <w:tcPr>
            <w:tcW w:type="dxa" w:w="1800"/>
            <w:tcMar>
              <w:top w:type="dxa" w:w="60"/>
              <w:left w:type="dxa" w:w="90"/>
              <w:bottom w:type="dxa" w:w="60"/>
              <w:right w:type="dxa" w:w="90"/>
            </w:tcMar>
          </w:tcPr>
          <w:p>
            <w:pPr>
              <w:spacing w:after="0" w:line="245"/>
            </w:pPr>
            <w:r>
              <w:rPr>
                <w:rFonts w:ascii="Arial" w:cs="Arial" w:eastAsia="Arial" w:hAnsi="Arial"/>
                <w:color w:val="1A1A1A"/>
                <w:sz w:val="17"/>
                <w:szCs w:val="17"/>
              </w:rPr>
              <w:t xml:space="preserve">Jefferson Paz</w:t>
            </w:r>
          </w:p>
        </w:tc>
      </w:tr>
      <w:tr>
        <w:tc>
          <w:tcPr>
            <w:tcW w:type="dxa" w:w="5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4</w:t>
            </w:r>
          </w:p>
        </w:tc>
        <w:tc>
          <w:tcPr>
            <w:tcW w:type="dxa" w:w="68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Bajar el número de póliza a las líneas de la factura.</w:t>
            </w:r>
          </w:p>
        </w:tc>
        <w:tc>
          <w:tcPr>
            <w:tcW w:type="dxa" w:w="18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Jefferson Paz</w:t>
            </w:r>
          </w:p>
        </w:tc>
      </w:tr>
      <w:tr>
        <w:tc>
          <w:tcPr>
            <w:tcW w:type="dxa" w:w="500"/>
            <w:tcMar>
              <w:top w:type="dxa" w:w="60"/>
              <w:left w:type="dxa" w:w="90"/>
              <w:bottom w:type="dxa" w:w="60"/>
              <w:right w:type="dxa" w:w="90"/>
            </w:tcMar>
          </w:tcPr>
          <w:p>
            <w:pPr>
              <w:spacing w:after="0" w:line="245"/>
            </w:pPr>
            <w:r>
              <w:rPr>
                <w:rFonts w:ascii="Arial" w:cs="Arial" w:eastAsia="Arial" w:hAnsi="Arial"/>
                <w:color w:val="1A1A1A"/>
                <w:sz w:val="17"/>
                <w:szCs w:val="17"/>
              </w:rPr>
              <w:t xml:space="preserve">5</w:t>
            </w:r>
          </w:p>
        </w:tc>
        <w:tc>
          <w:tcPr>
            <w:tcW w:type="dxa" w:w="6800"/>
            <w:tcMar>
              <w:top w:type="dxa" w:w="60"/>
              <w:left w:type="dxa" w:w="90"/>
              <w:bottom w:type="dxa" w:w="60"/>
              <w:right w:type="dxa" w:w="90"/>
            </w:tcMar>
          </w:tcPr>
          <w:p>
            <w:pPr>
              <w:spacing w:after="0" w:line="245"/>
            </w:pPr>
            <w:r>
              <w:rPr>
                <w:rFonts w:ascii="Arial" w:cs="Arial" w:eastAsia="Arial" w:hAnsi="Arial"/>
                <w:color w:val="1A1A1A"/>
                <w:sz w:val="17"/>
                <w:szCs w:val="17"/>
              </w:rPr>
              <w:t xml:space="preserve">Poblar tarifa y valor RUNT en el custom record.</w:t>
            </w:r>
          </w:p>
        </w:tc>
        <w:tc>
          <w:tcPr>
            <w:tcW w:type="dxa" w:w="1800"/>
            <w:tcMar>
              <w:top w:type="dxa" w:w="60"/>
              <w:left w:type="dxa" w:w="90"/>
              <w:bottom w:type="dxa" w:w="60"/>
              <w:right w:type="dxa" w:w="90"/>
            </w:tcMar>
          </w:tcPr>
          <w:p>
            <w:pPr>
              <w:spacing w:after="0" w:line="245"/>
            </w:pPr>
            <w:r>
              <w:rPr>
                <w:rFonts w:ascii="Arial" w:cs="Arial" w:eastAsia="Arial" w:hAnsi="Arial"/>
                <w:color w:val="1A1A1A"/>
                <w:sz w:val="17"/>
                <w:szCs w:val="17"/>
              </w:rPr>
              <w:t xml:space="preserve">Jefferson Paz</w:t>
            </w:r>
          </w:p>
        </w:tc>
      </w:tr>
      <w:tr>
        <w:tc>
          <w:tcPr>
            <w:tcW w:type="dxa" w:w="5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6</w:t>
            </w:r>
          </w:p>
        </w:tc>
        <w:tc>
          <w:tcPr>
            <w:tcW w:type="dxa" w:w="68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Ajustar el reconocimiento de ingreso a devengamiento diario.</w:t>
            </w:r>
          </w:p>
        </w:tc>
        <w:tc>
          <w:tcPr>
            <w:tcW w:type="dxa" w:w="18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Daniel Iriarte</w:t>
            </w:r>
          </w:p>
        </w:tc>
      </w:tr>
      <w:tr>
        <w:tc>
          <w:tcPr>
            <w:tcW w:type="dxa" w:w="500"/>
            <w:tcMar>
              <w:top w:type="dxa" w:w="60"/>
              <w:left w:type="dxa" w:w="90"/>
              <w:bottom w:type="dxa" w:w="60"/>
              <w:right w:type="dxa" w:w="90"/>
            </w:tcMar>
          </w:tcPr>
          <w:p>
            <w:pPr>
              <w:spacing w:after="0" w:line="245"/>
            </w:pPr>
            <w:r>
              <w:rPr>
                <w:rFonts w:ascii="Arial" w:cs="Arial" w:eastAsia="Arial" w:hAnsi="Arial"/>
                <w:color w:val="1A1A1A"/>
                <w:sz w:val="17"/>
                <w:szCs w:val="17"/>
              </w:rPr>
              <w:t xml:space="preserve">7</w:t>
            </w:r>
          </w:p>
        </w:tc>
        <w:tc>
          <w:tcPr>
            <w:tcW w:type="dxa" w:w="6800"/>
            <w:tcMar>
              <w:top w:type="dxa" w:w="60"/>
              <w:left w:type="dxa" w:w="90"/>
              <w:bottom w:type="dxa" w:w="60"/>
              <w:right w:type="dxa" w:w="90"/>
            </w:tcMar>
          </w:tcPr>
          <w:p>
            <w:pPr>
              <w:spacing w:after="0" w:line="245"/>
            </w:pPr>
            <w:r>
              <w:rPr>
                <w:rFonts w:ascii="Arial" w:cs="Arial" w:eastAsia="Arial" w:hAnsi="Arial"/>
                <w:color w:val="1A1A1A"/>
                <w:sz w:val="17"/>
                <w:szCs w:val="17"/>
              </w:rPr>
              <w:t xml:space="preserve">Restablecer la conexión del servicio de la calculadora actuarial.</w:t>
            </w:r>
          </w:p>
        </w:tc>
        <w:tc>
          <w:tcPr>
            <w:tcW w:type="dxa" w:w="1800"/>
            <w:tcMar>
              <w:top w:type="dxa" w:w="60"/>
              <w:left w:type="dxa" w:w="90"/>
              <w:bottom w:type="dxa" w:w="60"/>
              <w:right w:type="dxa" w:w="90"/>
            </w:tcMar>
          </w:tcPr>
          <w:p>
            <w:pPr>
              <w:spacing w:after="0" w:line="245"/>
            </w:pPr>
            <w:r>
              <w:rPr>
                <w:rFonts w:ascii="Arial" w:cs="Arial" w:eastAsia="Arial" w:hAnsi="Arial"/>
                <w:color w:val="1A1A1A"/>
                <w:sz w:val="17"/>
                <w:szCs w:val="17"/>
              </w:rPr>
              <w:t xml:space="preserve">Khristian Robayo</w:t>
            </w:r>
          </w:p>
        </w:tc>
      </w:tr>
      <w:tr>
        <w:tc>
          <w:tcPr>
            <w:tcW w:type="dxa" w:w="5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8</w:t>
            </w:r>
          </w:p>
        </w:tc>
        <w:tc>
          <w:tcPr>
            <w:tcW w:type="dxa" w:w="68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Definir tratamiento tributario y retenciones sobre la prima (afecta SuiteTax y el formulario de FE).</w:t>
            </w:r>
          </w:p>
        </w:tc>
        <w:tc>
          <w:tcPr>
            <w:tcW w:type="dxa" w:w="18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Daniel Iriarte</w:t>
            </w:r>
          </w:p>
        </w:tc>
      </w:tr>
      <w:tr>
        <w:tc>
          <w:tcPr>
            <w:tcW w:type="dxa" w:w="500"/>
            <w:tcMar>
              <w:top w:type="dxa" w:w="60"/>
              <w:left w:type="dxa" w:w="90"/>
              <w:bottom w:type="dxa" w:w="60"/>
              <w:right w:type="dxa" w:w="90"/>
            </w:tcMar>
          </w:tcPr>
          <w:p>
            <w:pPr>
              <w:spacing w:after="0" w:line="245"/>
            </w:pPr>
            <w:r>
              <w:rPr>
                <w:rFonts w:ascii="Arial" w:cs="Arial" w:eastAsia="Arial" w:hAnsi="Arial"/>
                <w:color w:val="1A1A1A"/>
                <w:sz w:val="17"/>
                <w:szCs w:val="17"/>
              </w:rPr>
              <w:t xml:space="preserve">9</w:t>
            </w:r>
          </w:p>
        </w:tc>
        <w:tc>
          <w:tcPr>
            <w:tcW w:type="dxa" w:w="6800"/>
            <w:tcMar>
              <w:top w:type="dxa" w:w="60"/>
              <w:left w:type="dxa" w:w="90"/>
              <w:bottom w:type="dxa" w:w="60"/>
              <w:right w:type="dxa" w:w="90"/>
            </w:tcMar>
          </w:tcPr>
          <w:p>
            <w:pPr>
              <w:spacing w:after="0" w:line="245"/>
            </w:pPr>
            <w:r>
              <w:rPr>
                <w:rFonts w:ascii="Arial" w:cs="Arial" w:eastAsia="Arial" w:hAnsi="Arial"/>
                <w:color w:val="1A1A1A"/>
                <w:sz w:val="17"/>
                <w:szCs w:val="17"/>
              </w:rPr>
              <w:t xml:space="preserve">Evaluar API frente al módulo nativo de Oracle para facturación electrónica en volumen.</w:t>
            </w:r>
          </w:p>
        </w:tc>
        <w:tc>
          <w:tcPr>
            <w:tcW w:type="dxa" w:w="1800"/>
            <w:tcMar>
              <w:top w:type="dxa" w:w="60"/>
              <w:left w:type="dxa" w:w="90"/>
              <w:bottom w:type="dxa" w:w="60"/>
              <w:right w:type="dxa" w:w="90"/>
            </w:tcMar>
          </w:tcPr>
          <w:p>
            <w:pPr>
              <w:spacing w:after="0" w:line="245"/>
            </w:pPr>
            <w:r>
              <w:rPr>
                <w:rFonts w:ascii="Arial" w:cs="Arial" w:eastAsia="Arial" w:hAnsi="Arial"/>
                <w:color w:val="1A1A1A"/>
                <w:sz w:val="17"/>
                <w:szCs w:val="17"/>
              </w:rPr>
              <w:t xml:space="preserve">Daniel Iriarte / Ricardo Rojas</w:t>
            </w:r>
          </w:p>
        </w:tc>
      </w:tr>
      <w:tr>
        <w:tc>
          <w:tcPr>
            <w:tcW w:type="dxa" w:w="5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10</w:t>
            </w:r>
          </w:p>
        </w:tc>
        <w:tc>
          <w:tcPr>
            <w:tcW w:type="dxa" w:w="68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Controlar versiones de librerías para evitar regresiones.</w:t>
            </w:r>
          </w:p>
        </w:tc>
        <w:tc>
          <w:tcPr>
            <w:tcW w:type="dxa" w:w="1800"/>
            <w:shd w:fill="F7F7F7" w:val="clear"/>
            <w:tcMar>
              <w:top w:type="dxa" w:w="60"/>
              <w:left w:type="dxa" w:w="90"/>
              <w:bottom w:type="dxa" w:w="60"/>
              <w:right w:type="dxa" w:w="90"/>
            </w:tcMar>
          </w:tcPr>
          <w:p>
            <w:pPr>
              <w:spacing w:after="0" w:line="245"/>
            </w:pPr>
            <w:r>
              <w:rPr>
                <w:rFonts w:ascii="Arial" w:cs="Arial" w:eastAsia="Arial" w:hAnsi="Arial"/>
                <w:color w:val="1A1A1A"/>
                <w:sz w:val="17"/>
                <w:szCs w:val="17"/>
              </w:rPr>
              <w:t xml:space="preserve">Jefferson Paz</w:t>
            </w:r>
          </w:p>
        </w:tc>
      </w:tr>
      <w:tr>
        <w:tc>
          <w:tcPr>
            <w:tcW w:type="dxa" w:w="500"/>
            <w:tcMar>
              <w:top w:type="dxa" w:w="60"/>
              <w:left w:type="dxa" w:w="90"/>
              <w:bottom w:type="dxa" w:w="60"/>
              <w:right w:type="dxa" w:w="90"/>
            </w:tcMar>
          </w:tcPr>
          <w:p>
            <w:pPr>
              <w:spacing w:after="0" w:line="245"/>
            </w:pPr>
            <w:r>
              <w:rPr>
                <w:rFonts w:ascii="Arial" w:cs="Arial" w:eastAsia="Arial" w:hAnsi="Arial"/>
                <w:color w:val="1A1A1A"/>
                <w:sz w:val="17"/>
                <w:szCs w:val="17"/>
              </w:rPr>
              <w:t xml:space="preserve">11</w:t>
            </w:r>
          </w:p>
        </w:tc>
        <w:tc>
          <w:tcPr>
            <w:tcW w:type="dxa" w:w="6800"/>
            <w:tcMar>
              <w:top w:type="dxa" w:w="60"/>
              <w:left w:type="dxa" w:w="90"/>
              <w:bottom w:type="dxa" w:w="60"/>
              <w:right w:type="dxa" w:w="90"/>
            </w:tcMar>
          </w:tcPr>
          <w:p>
            <w:pPr>
              <w:spacing w:after="0" w:line="245"/>
            </w:pPr>
            <w:r>
              <w:rPr>
                <w:rFonts w:ascii="Arial" w:cs="Arial" w:eastAsia="Arial" w:hAnsi="Arial"/>
                <w:color w:val="1A1A1A"/>
                <w:sz w:val="17"/>
                <w:szCs w:val="17"/>
              </w:rPr>
              <w:t xml:space="preserve">Definir el plan de continuidad de la integración: fallos, reproceso y contingencia.</w:t>
            </w:r>
          </w:p>
        </w:tc>
        <w:tc>
          <w:tcPr>
            <w:tcW w:type="dxa" w:w="1800"/>
            <w:tcMar>
              <w:top w:type="dxa" w:w="60"/>
              <w:left w:type="dxa" w:w="90"/>
              <w:bottom w:type="dxa" w:w="60"/>
              <w:right w:type="dxa" w:w="90"/>
            </w:tcMar>
          </w:tcPr>
          <w:p>
            <w:pPr>
              <w:spacing w:after="0" w:line="245"/>
            </w:pPr>
            <w:r>
              <w:rPr>
                <w:rFonts w:ascii="Arial" w:cs="Arial" w:eastAsia="Arial" w:hAnsi="Arial"/>
                <w:color w:val="1A1A1A"/>
                <w:sz w:val="17"/>
                <w:szCs w:val="17"/>
              </w:rPr>
              <w:t xml:space="preserve">Ricardo Rojas</w:t>
            </w:r>
          </w:p>
        </w:tc>
      </w:tr>
    </w:tbl>
    <w:sectPr>
      <w:headerReference w:type="default" r:id="rId7"/>
      <w:footerReference w:type="default" r:id="rId8"/>
      <w:pgSz w:w="12240" w:h="15840" w:orient="portrait"/>
      <w:pgMar w:top="10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5"/>
        <w:szCs w:val="15"/>
      </w:rPr>
      <w:t xml:space="preserve">Documento de control interno — SGC  ·  Ambiente Sandbox  ·  Página </w:t>
    </w:r>
    <w:r>
      <w:rPr>
        <w:rFonts w:ascii="Arial" w:cs="Arial" w:eastAsia="Arial" w:hAnsi="Arial"/>
        <w:color w:val="8080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2194E" w:sz="6" w:space="4"/>
      </w:pBdr>
      <w:spacing w:after="0"/>
      <w:jc w:val="right"/>
    </w:pPr>
    <w:r>
      <w:rPr>
        <w:rFonts w:ascii="Arial" w:cs="Arial" w:eastAsia="Arial" w:hAnsi="Arial"/>
        <w:b/>
        <w:bCs/>
        <w:color w:val="42194E"/>
        <w:sz w:val="15"/>
        <w:szCs w:val="15"/>
      </w:rPr>
      <w:t xml:space="preserve">MANTA SEGUROS S.A.  ·  Emisión de póliza SOAT  ·  Especificación de desarrollo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Emisión de póliza SOAT — Especificación de desarrollo</dc:title>
  <dc:creator>Manta Seguros S.A.</dc:creator>
  <cp:lastModifiedBy>Un-named</cp:lastModifiedBy>
  <cp:revision>1</cp:revision>
  <dcterms:created xsi:type="dcterms:W3CDTF">2026-07-28T00:59:39.953Z</dcterms:created>
  <dcterms:modified xsi:type="dcterms:W3CDTF">2026-07-28T00:59:39.966Z</dcterms:modified>
</cp:coreProperties>
</file>

<file path=docProps/custom.xml><?xml version="1.0" encoding="utf-8"?>
<Properties xmlns="http://schemas.openxmlformats.org/officeDocument/2006/custom-properties" xmlns:vt="http://schemas.openxmlformats.org/officeDocument/2006/docPropsVTypes"/>
</file>