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b w:val="1"/>
          <w:sz w:val="68"/>
          <w:szCs w:val="6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8"/>
          <w:szCs w:val="68"/>
          <w:rtl w:val="0"/>
        </w:rPr>
        <w:t xml:space="preserve">FisioGame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exend Light" w:cs="Lexend Light" w:eastAsia="Lexend Light" w:hAnsi="Lexend Light"/>
          <w:i w:val="1"/>
          <w:sz w:val="24"/>
          <w:szCs w:val="24"/>
        </w:rPr>
      </w:pPr>
      <w:r w:rsidDel="00000000" w:rsidR="00000000" w:rsidRPr="00000000">
        <w:rPr>
          <w:rFonts w:ascii="Lexend Light" w:cs="Lexend Light" w:eastAsia="Lexend Light" w:hAnsi="Lexend Light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exend Light" w:cs="Lexend Light" w:eastAsia="Lexend Light" w:hAnsi="Lexend Light"/>
          <w:i w:val="1"/>
          <w:sz w:val="24"/>
          <w:szCs w:val="24"/>
          <w:rtl w:val="0"/>
        </w:rPr>
        <w:t xml:space="preserve">umenta l’aderenza terapeutica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Un’app che affianca i fisioterapisti nella gestione dei pazienti, che aumenta l’aderenza terapeutica grazie all’utilizzo della gamification.</w:t>
        <w:br w:type="textWrapping"/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servizio è composto da due applicazioni, una desktop per i Fisioterapisti, e una Mobile per i pazienti. I fisioterapisti possono assegnare dei task dalla loro dashboard e gestire i pazienti, gli appuntamenti e i calendari di lavoro.</w:t>
        <w:br w:type="textWrapping"/>
        <w:br w:type="textWrapping"/>
        <w:t xml:space="preserve">I pazienti sulla loro app riceveranno quindi delle “missioni da compiere”, con i compiti da svolgere quotidianamente per ottenere i risultati che hanno stabilito di raggiungere con il loro fisioterapista.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Target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Fisioterapisti caratterizzati da una visione innovativa e orientata alla prevenzione e al mantenimento del benessere dei pazienti.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Professionisti (30 - 50 anni) con esperienza consolidata o in fase di espansione della loro carriera, non ci sono differenze significative di genere nell’adozione della tecnologia in fisioterapia, ma il target tende ad avere una mentalità aperta all’innovazione.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x3nhsgijjoz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6ea4p6htdu96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Interessi e Valori: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Interesse per l’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innovazione in fisioterapia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 le nuove tecnologie per il trattamento dei pazienti.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Orientamento alla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medicina preventiva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 alla cura a lungo termine.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Attenzione alla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Customer Experience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 alla fidelizzazione del paziente.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Interesse per il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monitoraggio dei progressi terapeutici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attraverso dati misurabili.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Sensibilità verso la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digitalizzazione e l’efficienza nella gestione dello studio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6"/>
          <w:szCs w:val="26"/>
        </w:rPr>
      </w:pPr>
      <w:bookmarkStart w:colFirst="0" w:colLast="0" w:name="_22f9m5eas54s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sz w:val="26"/>
          <w:szCs w:val="26"/>
          <w:rtl w:val="0"/>
        </w:rPr>
        <w:t xml:space="preserve">Comportamento d’Acquisto: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Cerca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soluzioni scalabili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 strumenti che possano migliorare l’efficienza lavorativa.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Disposto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investire in tecnologie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che migliorano il servizio offerto ai pazienti.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Propenso a valutare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demo e prove gratuite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prima di acquistare un software.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Sensibile alle recensioni e al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passaparola di altri fisioterapisti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prima di adottare un nuovo strumento.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Predilige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piani di abbonamento o licenze annuali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per un investimento a lungo termine.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Bisogni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Migliorare l’organizzazione e la gestione del tempo;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Ottimizzare la customer experience;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Aumentare l’aderenza terapeutica dei pazienti e la soddisfazione globale;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Far parte di un gruppo di professionisti che credono nella prevenzione e non solo nel trattamento;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Avere formazione continua di soft skill e non solo tecnica;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Ottenere un sistema scalabile ma personalizzato per la gestione dei pazienti.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Competitor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App per l’assegnazione di esercizi: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Physiapp, Corpore, Physitrack 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Punti di forza: quantità di video-esercizi caricati, esercizi assistiti AI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Punti di debolezza: nessuna ha un sistema per incentivare i pazienti a continuare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differenziazione per Fisiogame sta nella gamification lato paziente, che accumula punti e vince premi completando le missioni. Lato Professionista ha un sistema completo, con cui gestisce tutte le operazioni burocratiche dello studio, fissa gli appuntamenti, riceve remind e controlla il paziente anche a distanza. Un sistema completo pensato per migliorare la customer experience.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Branding e Posizionamento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FisioGame aiuta i fisioterapisti ad aumentare l’aderenza terapeutica dei pazienti attraverso un’app che offre l’ottimizzazione della customer experience dei pazienti, una migliore e completa organizzazione del tempo e formazione continua live e online.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Identità e Valori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Due brand distinti che operano in sinergia, con un’identità visiva e comunicativa differenziata per rispondere alle esigenze di due target specifici: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fisioterapisti (B2B)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pazienti (B2C)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Questo permetterà una comunicazione più specifica e diretta, e sarà utile per il futuro quando l’app per i clienti verrà aperta al pubblico.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FISIOGAME (B2B) – Il Brand per i Fisioterapisti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Colori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Blu scuro → Affidabilità, professionalità, competenza. È il colore predominante nella dashboard, trasmette sicurezza e serietà.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Verde brillante → Crescita, innovazione, tecnologia. Evidenzia gli aspetti legati alla modernità del software e alla gamification.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Tipografia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Font moderno e leggibile → Deve trasmettere serietà e chiarezza, senza risultare troppo rigido o tecnico.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Nell’app viene utilizzato Lato, un font pulito e versatile per garantire una UX chiara e intuitiva.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Logo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Design essenziale e istituzionale, con un'icona circolare che richiama connessione, innovazione e continuo miglioramento.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Può includere un monogramma "FG" o un brandmark astratto che esprima i valori del brand.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Tono di Voce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Professionale, autorevole, collaborativo.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linguaggio è diretto, chiaro e rassicurante, con focus sui benefici pratici per il fisioterapista.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 storytelling è orientato ai dati e alle opportunità di crescita professionale.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 stile della comunicazione è formale ma non distante, per creare fiducia e avvicinare i professionisti all’uso della tecnologia.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BUDDY (B2C) – Il Brand dell’app mobile per i Pazienti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Colori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Arancione e Giallo → Energia, positività, coinvolgimento. Sono colori caldi e accoglienti, che trasmettono entusiasmo e dinamismo.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Tipografia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Font morbidi e leggibili → Devono trasmettere empatia e accessibilità.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testo nell’app segue una logica user-friendly, con elementi visivi chiari e comprensibili.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Logo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Stile più giocoso e accogliente rispetto a FisioGame.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L’icona richiama l’idea di un “buddy” (amico), che guida e supporta il paziente nel percorso terapeutico. Può includere un elemento grafico che richiama il concetto di crescita e supporto.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Tono di Voce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Motivante, amichevole e accessibile.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linguaggio è semplice e incoraggiante, senza termini troppo tecnici.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comunicazione si basa su empatia, supporto e motivazione, per far sentire il paziente accolto e compreso.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focus è sull’esperienza utente, con un linguaggio che enfatizza il divertimento e il coinvolgimento.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Posizionamento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Innovazione e tecnologia al servizio del benessere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Marketing Mix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Oltre ad avere un ufficio virtuale che funziona da CRM, il professionista avrà la possibilità di far scaricare l’app ai pazienti per assegnare degli esercizi e verificarne l’esecuzione, l’obiettivo è quello di avere un controllo dei pazienti anche a distanza e aumentare quindi aderenza delle terapie di esercizi prescritti grazie all’implementazione della gamification.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Price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Servizio a prezzo variabile con piani di abbonamento mensile e annuale</w:t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Place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Online ma anche offline con le fiere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Promotion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Inizialmente per la validazione l’app verrà divulgata solo tramite i fisioterapisti, attraverso partnership con aziende che offrono servizi e macchinari ai fisioterapisti, come fisiotools e altre. Sponsorizzate sui social e raccolta lead con materiale da scaricare per approfondimento sull’utilizzo della gamification in fisioterapia.</w:t>
        <w:br w:type="textWrapping"/>
        <w:br w:type="textWrapping"/>
        <w:t xml:space="preserve">Successivamente l’app per i pazienti verrà aperta al pubblico e sponsorizzata separatamente come app di allenamento certificata dai fisioterapisti, all’interno si potranno trovare i fisioterapisti più vicini che lavorano con l’app.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Nuni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Nunito-regular.ttf"/><Relationship Id="rId4" Type="http://schemas.openxmlformats.org/officeDocument/2006/relationships/font" Target="fonts/Nunito-bold.ttf"/><Relationship Id="rId11" Type="http://schemas.openxmlformats.org/officeDocument/2006/relationships/font" Target="fonts/NovaMono-regular.ttf"/><Relationship Id="rId10" Type="http://schemas.openxmlformats.org/officeDocument/2006/relationships/font" Target="fonts/Montserrat-boldItalic.ttf"/><Relationship Id="rId9" Type="http://schemas.openxmlformats.org/officeDocument/2006/relationships/font" Target="fonts/Montserrat-italic.ttf"/><Relationship Id="rId5" Type="http://schemas.openxmlformats.org/officeDocument/2006/relationships/font" Target="fonts/Nunito-italic.ttf"/><Relationship Id="rId6" Type="http://schemas.openxmlformats.org/officeDocument/2006/relationships/font" Target="fonts/Nunito-boldItalic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