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D11A6" w14:textId="77777777" w:rsidR="00847432" w:rsidRPr="00847432" w:rsidRDefault="00847432" w:rsidP="00847432">
      <w:pPr>
        <w:shd w:val="clear" w:color="auto" w:fill="FEFEFE"/>
        <w:spacing w:before="100" w:beforeAutospacing="1" w:after="100" w:afterAutospacing="1" w:line="240" w:lineRule="auto"/>
        <w:jc w:val="center"/>
        <w:outlineLvl w:val="0"/>
        <w:rPr>
          <w:rFonts w:ascii="Times New Roman" w:eastAsia="Times New Roman" w:hAnsi="Times New Roman" w:cs="Times New Roman"/>
          <w:b/>
          <w:bCs/>
          <w:color w:val="0A0A0A"/>
          <w:kern w:val="36"/>
          <w:sz w:val="24"/>
          <w:szCs w:val="24"/>
          <w:lang w:eastAsia="es-CO"/>
        </w:rPr>
      </w:pPr>
      <w:r w:rsidRPr="00847432">
        <w:rPr>
          <w:rFonts w:ascii="Times New Roman" w:eastAsia="Times New Roman" w:hAnsi="Times New Roman" w:cs="Times New Roman"/>
          <w:b/>
          <w:bCs/>
          <w:color w:val="0A0A0A"/>
          <w:kern w:val="36"/>
          <w:sz w:val="24"/>
          <w:szCs w:val="24"/>
          <w:lang w:eastAsia="es-CO"/>
        </w:rPr>
        <w:t>Asamblea Nacional Constituyente - Archivo</w:t>
      </w:r>
    </w:p>
    <w:p w14:paraId="1C0AEA25" w14:textId="77777777" w:rsidR="00847432" w:rsidRPr="00847432" w:rsidRDefault="00847432" w:rsidP="00847432">
      <w:pPr>
        <w:shd w:val="clear" w:color="auto" w:fill="FEFEFE"/>
        <w:spacing w:before="100" w:beforeAutospacing="1" w:after="100" w:afterAutospacing="1" w:line="240" w:lineRule="auto"/>
        <w:jc w:val="both"/>
        <w:rPr>
          <w:rFonts w:ascii="Times New Roman" w:eastAsia="Times New Roman" w:hAnsi="Times New Roman" w:cs="Times New Roman"/>
          <w:color w:val="0A0A0A"/>
          <w:sz w:val="24"/>
          <w:szCs w:val="24"/>
          <w:lang w:eastAsia="es-CO"/>
        </w:rPr>
      </w:pPr>
      <w:r w:rsidRPr="00847432">
        <w:rPr>
          <w:rFonts w:ascii="Times New Roman" w:eastAsia="Times New Roman" w:hAnsi="Times New Roman" w:cs="Times New Roman"/>
          <w:color w:val="0A0A0A"/>
          <w:sz w:val="24"/>
          <w:szCs w:val="24"/>
          <w:lang w:eastAsia="es-CO"/>
        </w:rPr>
        <w:t>En 1985, luego del fracaso del Diálogo Nacional por la Paz, se retomó la idea de establecer una </w:t>
      </w:r>
      <w:hyperlink r:id="rId5" w:tgtFrame="_blank" w:history="1">
        <w:r w:rsidRPr="00847432">
          <w:rPr>
            <w:rFonts w:ascii="Times New Roman" w:eastAsia="Times New Roman" w:hAnsi="Times New Roman" w:cs="Times New Roman"/>
            <w:color w:val="1779BA"/>
            <w:sz w:val="24"/>
            <w:szCs w:val="24"/>
            <w:u w:val="single"/>
            <w:lang w:eastAsia="es-CO"/>
          </w:rPr>
          <w:t>Asamblea Nacional Constituyente</w:t>
        </w:r>
      </w:hyperlink>
      <w:r w:rsidRPr="00847432">
        <w:rPr>
          <w:rFonts w:ascii="Times New Roman" w:eastAsia="Times New Roman" w:hAnsi="Times New Roman" w:cs="Times New Roman"/>
          <w:color w:val="0A0A0A"/>
          <w:sz w:val="24"/>
          <w:szCs w:val="24"/>
          <w:lang w:eastAsia="es-CO"/>
        </w:rPr>
        <w:t>, con miras a reformar la centenaria </w:t>
      </w:r>
      <w:hyperlink r:id="rId6" w:tgtFrame="_blank" w:history="1">
        <w:r w:rsidRPr="00847432">
          <w:rPr>
            <w:rFonts w:ascii="Times New Roman" w:eastAsia="Times New Roman" w:hAnsi="Times New Roman" w:cs="Times New Roman"/>
            <w:color w:val="1779BA"/>
            <w:sz w:val="24"/>
            <w:szCs w:val="24"/>
            <w:u w:val="single"/>
            <w:lang w:eastAsia="es-CO"/>
          </w:rPr>
          <w:t>Constitución política de 1886</w:t>
        </w:r>
      </w:hyperlink>
      <w:r w:rsidRPr="00847432">
        <w:rPr>
          <w:rFonts w:ascii="Times New Roman" w:eastAsia="Times New Roman" w:hAnsi="Times New Roman" w:cs="Times New Roman"/>
          <w:color w:val="0A0A0A"/>
          <w:sz w:val="24"/>
          <w:szCs w:val="24"/>
          <w:lang w:eastAsia="es-CO"/>
        </w:rPr>
        <w:t>, que a pesar de las múltiples reformas parciales que se le habían realizado, no reflejaba las necesidades del pueblo colombiano. El proyecto, que contó con la participación de varios sectores del país, fue acogido por el gobierno de </w:t>
      </w:r>
      <w:hyperlink r:id="rId7" w:tgtFrame="_blank" w:history="1">
        <w:r w:rsidRPr="00847432">
          <w:rPr>
            <w:rFonts w:ascii="Times New Roman" w:eastAsia="Times New Roman" w:hAnsi="Times New Roman" w:cs="Times New Roman"/>
            <w:color w:val="1779BA"/>
            <w:sz w:val="24"/>
            <w:szCs w:val="24"/>
            <w:u w:val="single"/>
            <w:lang w:eastAsia="es-CO"/>
          </w:rPr>
          <w:t>Virgilio Barco Vargas </w:t>
        </w:r>
      </w:hyperlink>
      <w:r w:rsidRPr="00847432">
        <w:rPr>
          <w:rFonts w:ascii="Times New Roman" w:eastAsia="Times New Roman" w:hAnsi="Times New Roman" w:cs="Times New Roman"/>
          <w:color w:val="0A0A0A"/>
          <w:sz w:val="24"/>
          <w:szCs w:val="24"/>
          <w:lang w:eastAsia="es-CO"/>
        </w:rPr>
        <w:t>en 1988, como una medida que pretendía disminuir el impacto de la violencia social, política y económica de Colombia, agudizada por el auge del narcotráfico y el escalamiento de la violencia promovida por grupos guerrilleros y paramilitares.</w:t>
      </w:r>
    </w:p>
    <w:p w14:paraId="69C542F0" w14:textId="77777777" w:rsidR="00847432" w:rsidRPr="00847432" w:rsidRDefault="00847432" w:rsidP="00847432">
      <w:pPr>
        <w:shd w:val="clear" w:color="auto" w:fill="FEFEFE"/>
        <w:spacing w:before="100" w:beforeAutospacing="1" w:after="100" w:afterAutospacing="1" w:line="240" w:lineRule="auto"/>
        <w:jc w:val="both"/>
        <w:rPr>
          <w:rFonts w:ascii="Times New Roman" w:eastAsia="Times New Roman" w:hAnsi="Times New Roman" w:cs="Times New Roman"/>
          <w:color w:val="0A0A0A"/>
          <w:sz w:val="24"/>
          <w:szCs w:val="24"/>
          <w:lang w:eastAsia="es-CO"/>
        </w:rPr>
      </w:pPr>
      <w:r w:rsidRPr="00847432">
        <w:rPr>
          <w:rFonts w:ascii="Times New Roman" w:eastAsia="Times New Roman" w:hAnsi="Times New Roman" w:cs="Times New Roman"/>
          <w:color w:val="0A0A0A"/>
          <w:sz w:val="24"/>
          <w:szCs w:val="24"/>
          <w:lang w:eastAsia="es-CO"/>
        </w:rPr>
        <w:t>De parte del gobierno se propuso una reforma constitucional con miras al reordenamiento de la política pública y la posibilidad de que los grupos armados ilegales pudieran reformular las bases de su subordinación en el marco de una nueva institucionalidad. La propuesta fue acogida de forma positiva por parte de la oposición política del momento, encabezada por el ex presidente </w:t>
      </w:r>
      <w:hyperlink r:id="rId8" w:tgtFrame="_blank" w:history="1">
        <w:r w:rsidRPr="00847432">
          <w:rPr>
            <w:rFonts w:ascii="Times New Roman" w:eastAsia="Times New Roman" w:hAnsi="Times New Roman" w:cs="Times New Roman"/>
            <w:color w:val="1779BA"/>
            <w:sz w:val="24"/>
            <w:szCs w:val="24"/>
            <w:u w:val="single"/>
            <w:lang w:eastAsia="es-CO"/>
          </w:rPr>
          <w:t>Misael Pastrana Borrero</w:t>
        </w:r>
      </w:hyperlink>
      <w:r w:rsidRPr="00847432">
        <w:rPr>
          <w:rFonts w:ascii="Times New Roman" w:eastAsia="Times New Roman" w:hAnsi="Times New Roman" w:cs="Times New Roman"/>
          <w:color w:val="0A0A0A"/>
          <w:sz w:val="24"/>
          <w:szCs w:val="24"/>
          <w:lang w:eastAsia="es-CO"/>
        </w:rPr>
        <w:t>, quien logró un acuerdo con Barco para dar inicio a la reforma. A esta propuesta se unió el Partido Liberal, que para ese entonces buscaba una modernización de su ideología, fundamentados en las ideas de </w:t>
      </w:r>
      <w:hyperlink r:id="rId9" w:tgtFrame="_blank" w:history="1">
        <w:r w:rsidRPr="00847432">
          <w:rPr>
            <w:rFonts w:ascii="Times New Roman" w:eastAsia="Times New Roman" w:hAnsi="Times New Roman" w:cs="Times New Roman"/>
            <w:color w:val="1779BA"/>
            <w:sz w:val="24"/>
            <w:szCs w:val="24"/>
            <w:u w:val="single"/>
            <w:lang w:eastAsia="es-CO"/>
          </w:rPr>
          <w:t>Luis Carlos Galán</w:t>
        </w:r>
      </w:hyperlink>
      <w:r w:rsidRPr="00847432">
        <w:rPr>
          <w:rFonts w:ascii="Times New Roman" w:eastAsia="Times New Roman" w:hAnsi="Times New Roman" w:cs="Times New Roman"/>
          <w:color w:val="0A0A0A"/>
          <w:sz w:val="24"/>
          <w:szCs w:val="24"/>
          <w:lang w:eastAsia="es-CO"/>
        </w:rPr>
        <w:t>, asesinado en 1989, y quienes vieron en la Constituyente la oportunidad para recomponer el estado crítico en el que se encontraba el país, luego de la agudización de la violencia.</w:t>
      </w:r>
    </w:p>
    <w:p w14:paraId="4FA5E58D" w14:textId="77777777" w:rsidR="00847432" w:rsidRPr="00847432" w:rsidRDefault="00847432" w:rsidP="00847432">
      <w:pPr>
        <w:shd w:val="clear" w:color="auto" w:fill="FEFEFE"/>
        <w:spacing w:before="100" w:beforeAutospacing="1" w:after="100" w:afterAutospacing="1" w:line="240" w:lineRule="auto"/>
        <w:jc w:val="both"/>
        <w:rPr>
          <w:rFonts w:ascii="Times New Roman" w:eastAsia="Times New Roman" w:hAnsi="Times New Roman" w:cs="Times New Roman"/>
          <w:color w:val="0A0A0A"/>
          <w:sz w:val="24"/>
          <w:szCs w:val="24"/>
          <w:lang w:eastAsia="es-CO"/>
        </w:rPr>
      </w:pPr>
      <w:r w:rsidRPr="00847432">
        <w:rPr>
          <w:rFonts w:ascii="Times New Roman" w:eastAsia="Times New Roman" w:hAnsi="Times New Roman" w:cs="Times New Roman"/>
          <w:color w:val="0A0A0A"/>
          <w:sz w:val="24"/>
          <w:szCs w:val="24"/>
          <w:lang w:eastAsia="es-CO"/>
        </w:rPr>
        <w:t xml:space="preserve">La iniciativa también hizo eco en varios sectores y líderes sociales y universitarios, quienes manifestaron su interés en el desarrollo de una Asamblea Nacional, que permitiera superar la etapa de violencia perpetrada por los narcotraficantes y paramilitares, que para este entonces habían alcanzado su punto más álgido. Así, se dio inicio al movimiento estudiantil “Todavía podemos salvar a Colombia”, de donde surgió la reconocida propuesta de la Séptima papeleta, proposición estudiantil que buscaba la inclusión de un voto extraoficial en las elecciones parlamentarias de 1990, con el objetivo de conocer el interés de la ciudadanía en la convocatoria de una Constituyente. Este movimiento fue apoyado por los medios de comunicación impresos del país, principalmente los diarios El Tiempo y El Espectador, además de simpatizantes políticos del </w:t>
      </w:r>
      <w:proofErr w:type="spellStart"/>
      <w:r w:rsidRPr="00847432">
        <w:rPr>
          <w:rFonts w:ascii="Times New Roman" w:eastAsia="Times New Roman" w:hAnsi="Times New Roman" w:cs="Times New Roman"/>
          <w:color w:val="0A0A0A"/>
          <w:sz w:val="24"/>
          <w:szCs w:val="24"/>
          <w:lang w:eastAsia="es-CO"/>
        </w:rPr>
        <w:t>galanismo</w:t>
      </w:r>
      <w:proofErr w:type="spellEnd"/>
      <w:r w:rsidRPr="00847432">
        <w:rPr>
          <w:rFonts w:ascii="Times New Roman" w:eastAsia="Times New Roman" w:hAnsi="Times New Roman" w:cs="Times New Roman"/>
          <w:color w:val="0A0A0A"/>
          <w:sz w:val="24"/>
          <w:szCs w:val="24"/>
          <w:lang w:eastAsia="es-CO"/>
        </w:rPr>
        <w:t>, algunas comunidades religiosas y del partido Alianza Democrática M-19.</w:t>
      </w:r>
    </w:p>
    <w:p w14:paraId="2A642F6F" w14:textId="77777777" w:rsidR="00847432" w:rsidRPr="00847432" w:rsidRDefault="00847432" w:rsidP="00847432">
      <w:pPr>
        <w:shd w:val="clear" w:color="auto" w:fill="FEFEFE"/>
        <w:spacing w:after="0" w:line="360" w:lineRule="atLeast"/>
        <w:jc w:val="both"/>
        <w:rPr>
          <w:rFonts w:ascii="Times New Roman" w:eastAsia="Times New Roman" w:hAnsi="Times New Roman" w:cs="Times New Roman"/>
          <w:color w:val="0A0A0A"/>
          <w:sz w:val="24"/>
          <w:szCs w:val="24"/>
          <w:lang w:eastAsia="es-CO"/>
        </w:rPr>
      </w:pPr>
      <w:r w:rsidRPr="00847432">
        <w:rPr>
          <w:rFonts w:ascii="Times New Roman" w:eastAsia="Times New Roman" w:hAnsi="Times New Roman" w:cs="Times New Roman"/>
          <w:color w:val="0A0A0A"/>
          <w:sz w:val="24"/>
          <w:szCs w:val="24"/>
          <w:lang w:eastAsia="es-CO"/>
        </w:rPr>
        <w:t>En el proceso electoral, se eligieron setenta constituyentes con voz y voto en la Asamblea, pertenecientes a diferentes partidos políticos, entre los cuales se encontraban el Liberal, el Conservador, la </w:t>
      </w:r>
      <w:hyperlink r:id="rId10" w:tgtFrame="_blank" w:history="1">
        <w:r w:rsidRPr="00847432">
          <w:rPr>
            <w:rFonts w:ascii="Times New Roman" w:eastAsia="Times New Roman" w:hAnsi="Times New Roman" w:cs="Times New Roman"/>
            <w:color w:val="1779BA"/>
            <w:sz w:val="24"/>
            <w:szCs w:val="24"/>
            <w:u w:val="single"/>
            <w:lang w:eastAsia="es-CO"/>
          </w:rPr>
          <w:t>Unión Patriótica</w:t>
        </w:r>
      </w:hyperlink>
      <w:r w:rsidRPr="00847432">
        <w:rPr>
          <w:rFonts w:ascii="Times New Roman" w:eastAsia="Times New Roman" w:hAnsi="Times New Roman" w:cs="Times New Roman"/>
          <w:color w:val="0A0A0A"/>
          <w:sz w:val="24"/>
          <w:szCs w:val="24"/>
          <w:lang w:eastAsia="es-CO"/>
        </w:rPr>
        <w:t xml:space="preserve">; el Movimiento de Salvación Nacional (MSN), el Movimiento Unión Cristiano, la Alianza Democrática M-19 (AD-M19) y los movimientos indígenas ONIC y AICO. Además de lo anterior, también se pactó la participación de cuatro constituyentes más que participaron con </w:t>
      </w:r>
      <w:proofErr w:type="gramStart"/>
      <w:r w:rsidRPr="00847432">
        <w:rPr>
          <w:rFonts w:ascii="Times New Roman" w:eastAsia="Times New Roman" w:hAnsi="Times New Roman" w:cs="Times New Roman"/>
          <w:color w:val="0A0A0A"/>
          <w:sz w:val="24"/>
          <w:szCs w:val="24"/>
          <w:lang w:eastAsia="es-CO"/>
        </w:rPr>
        <w:t>voz</w:t>
      </w:r>
      <w:proofErr w:type="gramEnd"/>
      <w:r w:rsidRPr="00847432">
        <w:rPr>
          <w:rFonts w:ascii="Times New Roman" w:eastAsia="Times New Roman" w:hAnsi="Times New Roman" w:cs="Times New Roman"/>
          <w:color w:val="0A0A0A"/>
          <w:sz w:val="24"/>
          <w:szCs w:val="24"/>
          <w:lang w:eastAsia="es-CO"/>
        </w:rPr>
        <w:t xml:space="preserve"> pero sin voto en la Asamblea, quienes pertenecían a movimientos como el Ejército Popular de Liberación, el Partido Revolucionario de los Trabajadores y el </w:t>
      </w:r>
      <w:hyperlink r:id="rId11" w:tgtFrame="_blank" w:history="1">
        <w:r w:rsidRPr="00847432">
          <w:rPr>
            <w:rFonts w:ascii="Times New Roman" w:eastAsia="Times New Roman" w:hAnsi="Times New Roman" w:cs="Times New Roman"/>
            <w:color w:val="1779BA"/>
            <w:sz w:val="24"/>
            <w:szCs w:val="24"/>
            <w:u w:val="single"/>
            <w:lang w:eastAsia="es-CO"/>
          </w:rPr>
          <w:t>Movimiento Armado Quintín Lame</w:t>
        </w:r>
      </w:hyperlink>
      <w:r w:rsidRPr="00847432">
        <w:rPr>
          <w:rFonts w:ascii="Times New Roman" w:eastAsia="Times New Roman" w:hAnsi="Times New Roman" w:cs="Times New Roman"/>
          <w:color w:val="0A0A0A"/>
          <w:sz w:val="24"/>
          <w:szCs w:val="24"/>
          <w:lang w:eastAsia="es-CO"/>
        </w:rPr>
        <w:t xml:space="preserve">. Debido a la pluralidad de partidos participantes en la Asamblea Nacional Constituyente, instalada el 5 de febrero de 1991, se acordó la formulación de una presidencia tripartita, conformada </w:t>
      </w:r>
      <w:r w:rsidRPr="00847432">
        <w:rPr>
          <w:rFonts w:ascii="Times New Roman" w:eastAsia="Times New Roman" w:hAnsi="Times New Roman" w:cs="Times New Roman"/>
          <w:color w:val="0A0A0A"/>
          <w:sz w:val="24"/>
          <w:szCs w:val="24"/>
          <w:lang w:eastAsia="es-CO"/>
        </w:rPr>
        <w:lastRenderedPageBreak/>
        <w:t>por </w:t>
      </w:r>
      <w:hyperlink r:id="rId12" w:tgtFrame="_blank" w:history="1">
        <w:r w:rsidRPr="00847432">
          <w:rPr>
            <w:rFonts w:ascii="Times New Roman" w:eastAsia="Times New Roman" w:hAnsi="Times New Roman" w:cs="Times New Roman"/>
            <w:color w:val="1779BA"/>
            <w:sz w:val="24"/>
            <w:szCs w:val="24"/>
            <w:u w:val="single"/>
            <w:lang w:eastAsia="es-CO"/>
          </w:rPr>
          <w:t>Álvaro Gómez Hurtado</w:t>
        </w:r>
      </w:hyperlink>
      <w:r w:rsidRPr="00847432">
        <w:rPr>
          <w:rFonts w:ascii="Times New Roman" w:eastAsia="Times New Roman" w:hAnsi="Times New Roman" w:cs="Times New Roman"/>
          <w:color w:val="0A0A0A"/>
          <w:sz w:val="24"/>
          <w:szCs w:val="24"/>
          <w:lang w:eastAsia="es-CO"/>
        </w:rPr>
        <w:t> (MSN), </w:t>
      </w:r>
      <w:hyperlink r:id="rId13" w:tgtFrame="_blank" w:history="1">
        <w:r w:rsidRPr="00847432">
          <w:rPr>
            <w:rFonts w:ascii="Times New Roman" w:eastAsia="Times New Roman" w:hAnsi="Times New Roman" w:cs="Times New Roman"/>
            <w:color w:val="1779BA"/>
            <w:sz w:val="24"/>
            <w:szCs w:val="24"/>
            <w:u w:val="single"/>
            <w:lang w:eastAsia="es-CO"/>
          </w:rPr>
          <w:t>Antonio Navarro Wolf</w:t>
        </w:r>
      </w:hyperlink>
      <w:r w:rsidRPr="00847432">
        <w:rPr>
          <w:rFonts w:ascii="Times New Roman" w:eastAsia="Times New Roman" w:hAnsi="Times New Roman" w:cs="Times New Roman"/>
          <w:color w:val="0A0A0A"/>
          <w:sz w:val="24"/>
          <w:szCs w:val="24"/>
          <w:lang w:eastAsia="es-CO"/>
        </w:rPr>
        <w:t>  (AD-M-19) y Horacio Serpa Uribe (Partido Liberal).</w:t>
      </w:r>
    </w:p>
    <w:p w14:paraId="607C8DAA" w14:textId="6D193950" w:rsidR="00847432" w:rsidRPr="00847432" w:rsidRDefault="00847432" w:rsidP="00847432">
      <w:pPr>
        <w:shd w:val="clear" w:color="auto" w:fill="FEFEFE"/>
        <w:spacing w:before="100" w:beforeAutospacing="1" w:after="100" w:afterAutospacing="1" w:line="240" w:lineRule="auto"/>
        <w:jc w:val="both"/>
        <w:rPr>
          <w:rFonts w:ascii="Times New Roman" w:eastAsia="Times New Roman" w:hAnsi="Times New Roman" w:cs="Times New Roman"/>
          <w:color w:val="0A0A0A"/>
          <w:sz w:val="24"/>
          <w:szCs w:val="24"/>
          <w:lang w:eastAsia="es-CO"/>
        </w:rPr>
      </w:pPr>
      <w:r w:rsidRPr="00847432">
        <w:rPr>
          <w:rFonts w:ascii="Times New Roman" w:eastAsia="Times New Roman" w:hAnsi="Times New Roman" w:cs="Times New Roman"/>
          <w:color w:val="0A0A0A"/>
          <w:sz w:val="24"/>
          <w:szCs w:val="24"/>
          <w:lang w:eastAsia="es-CO"/>
        </w:rPr>
        <w:t>Para el correcto funcionamiento de la Asamblea se instauraron cinco comisiones permanentes, encargadas de su reglamentación y organización, cada una de las cuales estuvo</w:t>
      </w:r>
      <w:r w:rsidR="00E53319">
        <w:rPr>
          <w:rFonts w:ascii="Times New Roman" w:eastAsia="Times New Roman" w:hAnsi="Times New Roman" w:cs="Times New Roman"/>
          <w:color w:val="0A0A0A"/>
          <w:sz w:val="24"/>
          <w:szCs w:val="24"/>
          <w:lang w:eastAsia="es-CO"/>
        </w:rPr>
        <w:t xml:space="preserve"> </w:t>
      </w:r>
      <w:r w:rsidRPr="00847432">
        <w:rPr>
          <w:rFonts w:ascii="Times New Roman" w:eastAsia="Times New Roman" w:hAnsi="Times New Roman" w:cs="Times New Roman"/>
          <w:color w:val="0A0A0A"/>
          <w:sz w:val="24"/>
          <w:szCs w:val="24"/>
          <w:lang w:eastAsia="es-CO"/>
        </w:rPr>
        <w:t>a cargo de diferentes temas:</w:t>
      </w:r>
    </w:p>
    <w:p w14:paraId="25539285" w14:textId="77777777" w:rsidR="00847432" w:rsidRPr="00847432" w:rsidRDefault="00847432" w:rsidP="00847432">
      <w:pPr>
        <w:numPr>
          <w:ilvl w:val="0"/>
          <w:numId w:val="1"/>
        </w:numPr>
        <w:shd w:val="clear" w:color="auto" w:fill="FEFEFE"/>
        <w:spacing w:before="100" w:beforeAutospacing="1" w:after="100" w:afterAutospacing="1" w:line="240" w:lineRule="auto"/>
        <w:jc w:val="both"/>
        <w:rPr>
          <w:rFonts w:ascii="Times New Roman" w:eastAsia="Times New Roman" w:hAnsi="Times New Roman" w:cs="Times New Roman"/>
          <w:color w:val="0A0A0A"/>
          <w:sz w:val="24"/>
          <w:szCs w:val="24"/>
          <w:lang w:eastAsia="es-CO"/>
        </w:rPr>
      </w:pPr>
      <w:hyperlink r:id="rId14" w:tgtFrame="_blank" w:history="1">
        <w:r w:rsidRPr="00847432">
          <w:rPr>
            <w:rFonts w:ascii="Times New Roman" w:eastAsia="Times New Roman" w:hAnsi="Times New Roman" w:cs="Times New Roman"/>
            <w:b/>
            <w:bCs/>
            <w:color w:val="0000FF"/>
            <w:sz w:val="24"/>
            <w:szCs w:val="24"/>
            <w:u w:val="single"/>
            <w:lang w:eastAsia="es-CO"/>
          </w:rPr>
          <w:t>Comisión primera</w:t>
        </w:r>
      </w:hyperlink>
      <w:r w:rsidRPr="00847432">
        <w:rPr>
          <w:rFonts w:ascii="Times New Roman" w:eastAsia="Times New Roman" w:hAnsi="Times New Roman" w:cs="Times New Roman"/>
          <w:color w:val="0A0A0A"/>
          <w:sz w:val="24"/>
          <w:szCs w:val="24"/>
          <w:lang w:eastAsia="es-CO"/>
        </w:rPr>
        <w:t>: Dedicada al estudio de los principios, derechos, deberes, garantías y libertades fundamentales. También se encargó de los mecanismos de participación democrática, el sistema electoral, los partidos políticos y el estatuto de oposición. Esta comisión contó con 16 miembros.</w:t>
      </w:r>
    </w:p>
    <w:p w14:paraId="1228B10A" w14:textId="77777777" w:rsidR="00847432" w:rsidRPr="00847432" w:rsidRDefault="00847432" w:rsidP="00847432">
      <w:pPr>
        <w:numPr>
          <w:ilvl w:val="0"/>
          <w:numId w:val="1"/>
        </w:numPr>
        <w:shd w:val="clear" w:color="auto" w:fill="FEFEFE"/>
        <w:spacing w:before="100" w:beforeAutospacing="1" w:after="100" w:afterAutospacing="1" w:line="240" w:lineRule="auto"/>
        <w:jc w:val="both"/>
        <w:rPr>
          <w:rFonts w:ascii="Times New Roman" w:eastAsia="Times New Roman" w:hAnsi="Times New Roman" w:cs="Times New Roman"/>
          <w:color w:val="0A0A0A"/>
          <w:sz w:val="24"/>
          <w:szCs w:val="24"/>
          <w:lang w:eastAsia="es-CO"/>
        </w:rPr>
      </w:pPr>
      <w:hyperlink r:id="rId15" w:tgtFrame="_blank" w:history="1">
        <w:r w:rsidRPr="00847432">
          <w:rPr>
            <w:rFonts w:ascii="Times New Roman" w:eastAsia="Times New Roman" w:hAnsi="Times New Roman" w:cs="Times New Roman"/>
            <w:b/>
            <w:bCs/>
            <w:color w:val="0000FF"/>
            <w:sz w:val="24"/>
            <w:szCs w:val="24"/>
            <w:u w:val="single"/>
            <w:lang w:eastAsia="es-CO"/>
          </w:rPr>
          <w:t>Comisión segunda</w:t>
        </w:r>
      </w:hyperlink>
      <w:r w:rsidRPr="00847432">
        <w:rPr>
          <w:rFonts w:ascii="Times New Roman" w:eastAsia="Times New Roman" w:hAnsi="Times New Roman" w:cs="Times New Roman"/>
          <w:color w:val="0A0A0A"/>
          <w:sz w:val="24"/>
          <w:szCs w:val="24"/>
          <w:lang w:eastAsia="es-CO"/>
        </w:rPr>
        <w:t>: Encargada del estudio del ordenamiento territorial y la autonomía regional y local. Esta comisión contó con 13 miembros.</w:t>
      </w:r>
    </w:p>
    <w:p w14:paraId="3E1C935E" w14:textId="77777777" w:rsidR="00847432" w:rsidRPr="00847432" w:rsidRDefault="00847432" w:rsidP="00847432">
      <w:pPr>
        <w:numPr>
          <w:ilvl w:val="0"/>
          <w:numId w:val="1"/>
        </w:numPr>
        <w:shd w:val="clear" w:color="auto" w:fill="FEFEFE"/>
        <w:spacing w:before="100" w:beforeAutospacing="1" w:after="100" w:afterAutospacing="1" w:line="240" w:lineRule="auto"/>
        <w:jc w:val="both"/>
        <w:rPr>
          <w:rFonts w:ascii="Times New Roman" w:eastAsia="Times New Roman" w:hAnsi="Times New Roman" w:cs="Times New Roman"/>
          <w:color w:val="0A0A0A"/>
          <w:sz w:val="24"/>
          <w:szCs w:val="24"/>
          <w:lang w:eastAsia="es-CO"/>
        </w:rPr>
      </w:pPr>
      <w:hyperlink r:id="rId16" w:tgtFrame="_blank" w:history="1">
        <w:r w:rsidRPr="00847432">
          <w:rPr>
            <w:rFonts w:ascii="Times New Roman" w:eastAsia="Times New Roman" w:hAnsi="Times New Roman" w:cs="Times New Roman"/>
            <w:b/>
            <w:bCs/>
            <w:color w:val="0000FF"/>
            <w:sz w:val="24"/>
            <w:szCs w:val="24"/>
            <w:u w:val="single"/>
            <w:lang w:eastAsia="es-CO"/>
          </w:rPr>
          <w:t>Comisión tercera</w:t>
        </w:r>
      </w:hyperlink>
      <w:r w:rsidRPr="00847432">
        <w:rPr>
          <w:rFonts w:ascii="Times New Roman" w:eastAsia="Times New Roman" w:hAnsi="Times New Roman" w:cs="Times New Roman"/>
          <w:color w:val="0A0A0A"/>
          <w:sz w:val="24"/>
          <w:szCs w:val="24"/>
          <w:lang w:eastAsia="es-CO"/>
        </w:rPr>
        <w:t>: Responsable de los debates sobre las reformas a la estructura del Estado, el Congreso, la fuerza pública, el régimen de estado de sitio y las relaciones internacionales. Esta comisión contó con 14 miembros.</w:t>
      </w:r>
    </w:p>
    <w:p w14:paraId="694E429B" w14:textId="77777777" w:rsidR="00847432" w:rsidRPr="00847432" w:rsidRDefault="00847432" w:rsidP="00847432">
      <w:pPr>
        <w:numPr>
          <w:ilvl w:val="0"/>
          <w:numId w:val="1"/>
        </w:numPr>
        <w:shd w:val="clear" w:color="auto" w:fill="FEFEFE"/>
        <w:spacing w:before="100" w:beforeAutospacing="1" w:after="100" w:afterAutospacing="1" w:line="240" w:lineRule="auto"/>
        <w:jc w:val="both"/>
        <w:rPr>
          <w:rFonts w:ascii="Times New Roman" w:eastAsia="Times New Roman" w:hAnsi="Times New Roman" w:cs="Times New Roman"/>
          <w:color w:val="0A0A0A"/>
          <w:sz w:val="24"/>
          <w:szCs w:val="24"/>
          <w:lang w:eastAsia="es-CO"/>
        </w:rPr>
      </w:pPr>
      <w:hyperlink r:id="rId17" w:tgtFrame="_blank" w:history="1">
        <w:r w:rsidRPr="00847432">
          <w:rPr>
            <w:rFonts w:ascii="Times New Roman" w:eastAsia="Times New Roman" w:hAnsi="Times New Roman" w:cs="Times New Roman"/>
            <w:b/>
            <w:bCs/>
            <w:color w:val="0000FF"/>
            <w:sz w:val="24"/>
            <w:szCs w:val="24"/>
            <w:u w:val="single"/>
            <w:lang w:eastAsia="es-CO"/>
          </w:rPr>
          <w:t>Comisión cuarta</w:t>
        </w:r>
      </w:hyperlink>
      <w:r w:rsidRPr="00847432">
        <w:rPr>
          <w:rFonts w:ascii="Times New Roman" w:eastAsia="Times New Roman" w:hAnsi="Times New Roman" w:cs="Times New Roman"/>
          <w:color w:val="0A0A0A"/>
          <w:sz w:val="24"/>
          <w:szCs w:val="24"/>
          <w:lang w:eastAsia="es-CO"/>
        </w:rPr>
        <w:t>: Responsable de los debates sobre las reformas a la estructura del Estado, el Congreso, la fuerza pública, el régimen de estado de sitio y las relaciones internacionales. Esta comisión contó con 8 miembros.</w:t>
      </w:r>
    </w:p>
    <w:p w14:paraId="7A5E1CC1" w14:textId="77777777" w:rsidR="00847432" w:rsidRPr="00847432" w:rsidRDefault="00847432" w:rsidP="00847432">
      <w:pPr>
        <w:numPr>
          <w:ilvl w:val="0"/>
          <w:numId w:val="1"/>
        </w:numPr>
        <w:shd w:val="clear" w:color="auto" w:fill="FEFEFE"/>
        <w:spacing w:before="100" w:beforeAutospacing="1" w:after="100" w:afterAutospacing="1" w:line="240" w:lineRule="auto"/>
        <w:jc w:val="both"/>
        <w:rPr>
          <w:rFonts w:ascii="Times New Roman" w:eastAsia="Times New Roman" w:hAnsi="Times New Roman" w:cs="Times New Roman"/>
          <w:color w:val="0A0A0A"/>
          <w:sz w:val="24"/>
          <w:szCs w:val="24"/>
          <w:lang w:eastAsia="es-CO"/>
        </w:rPr>
      </w:pPr>
      <w:hyperlink r:id="rId18" w:tgtFrame="_blank" w:history="1">
        <w:r w:rsidRPr="00847432">
          <w:rPr>
            <w:rFonts w:ascii="Times New Roman" w:eastAsia="Times New Roman" w:hAnsi="Times New Roman" w:cs="Times New Roman"/>
            <w:b/>
            <w:bCs/>
            <w:color w:val="0000FF"/>
            <w:sz w:val="24"/>
            <w:szCs w:val="24"/>
            <w:u w:val="single"/>
            <w:lang w:eastAsia="es-CO"/>
          </w:rPr>
          <w:t>Comisión quinta</w:t>
        </w:r>
      </w:hyperlink>
      <w:r w:rsidRPr="00847432">
        <w:rPr>
          <w:rFonts w:ascii="Times New Roman" w:eastAsia="Times New Roman" w:hAnsi="Times New Roman" w:cs="Times New Roman"/>
          <w:color w:val="0A0A0A"/>
          <w:sz w:val="24"/>
          <w:szCs w:val="24"/>
          <w:lang w:eastAsia="es-CO"/>
        </w:rPr>
        <w:t>: Comprometida con el debate de los asuntos económicos, sociales, ecológicos, de hacienda y servicios públicos. Esta comisión contó con 19 miembros.</w:t>
      </w:r>
    </w:p>
    <w:p w14:paraId="07822043" w14:textId="77777777" w:rsidR="00847432" w:rsidRPr="00847432" w:rsidRDefault="00847432" w:rsidP="00847432">
      <w:pPr>
        <w:numPr>
          <w:ilvl w:val="0"/>
          <w:numId w:val="1"/>
        </w:numPr>
        <w:shd w:val="clear" w:color="auto" w:fill="FEFEFE"/>
        <w:spacing w:before="100" w:beforeAutospacing="1" w:after="100" w:afterAutospacing="1" w:line="240" w:lineRule="auto"/>
        <w:jc w:val="both"/>
        <w:rPr>
          <w:rFonts w:ascii="Times New Roman" w:eastAsia="Times New Roman" w:hAnsi="Times New Roman" w:cs="Times New Roman"/>
          <w:color w:val="0A0A0A"/>
          <w:sz w:val="24"/>
          <w:szCs w:val="24"/>
          <w:lang w:eastAsia="es-CO"/>
        </w:rPr>
      </w:pPr>
      <w:hyperlink r:id="rId19" w:tgtFrame="_blank" w:history="1">
        <w:r w:rsidRPr="00847432">
          <w:rPr>
            <w:rFonts w:ascii="Times New Roman" w:eastAsia="Times New Roman" w:hAnsi="Times New Roman" w:cs="Times New Roman"/>
            <w:b/>
            <w:bCs/>
            <w:color w:val="0000FF"/>
            <w:sz w:val="24"/>
            <w:szCs w:val="24"/>
            <w:u w:val="single"/>
            <w:lang w:eastAsia="es-CO"/>
          </w:rPr>
          <w:t>Sesión Plenaria</w:t>
        </w:r>
      </w:hyperlink>
      <w:r w:rsidRPr="00847432">
        <w:rPr>
          <w:rFonts w:ascii="Times New Roman" w:eastAsia="Times New Roman" w:hAnsi="Times New Roman" w:cs="Times New Roman"/>
          <w:color w:val="0A0A0A"/>
          <w:sz w:val="24"/>
          <w:szCs w:val="24"/>
          <w:lang w:eastAsia="es-CO"/>
        </w:rPr>
        <w:t>: Participan todos los miembros de la asamblea (74 en total).</w:t>
      </w:r>
    </w:p>
    <w:p w14:paraId="261C5F77" w14:textId="77777777" w:rsidR="00847432" w:rsidRPr="00847432" w:rsidRDefault="00847432" w:rsidP="00847432">
      <w:pPr>
        <w:numPr>
          <w:ilvl w:val="0"/>
          <w:numId w:val="1"/>
        </w:numPr>
        <w:shd w:val="clear" w:color="auto" w:fill="FEFEFE"/>
        <w:spacing w:before="100" w:beforeAutospacing="1" w:after="100" w:afterAutospacing="1" w:line="240" w:lineRule="auto"/>
        <w:jc w:val="both"/>
        <w:rPr>
          <w:rFonts w:ascii="Times New Roman" w:eastAsia="Times New Roman" w:hAnsi="Times New Roman" w:cs="Times New Roman"/>
          <w:color w:val="0A0A0A"/>
          <w:sz w:val="24"/>
          <w:szCs w:val="24"/>
          <w:lang w:eastAsia="es-CO"/>
        </w:rPr>
      </w:pPr>
      <w:hyperlink r:id="rId20" w:tgtFrame="_blank" w:history="1">
        <w:r w:rsidRPr="00847432">
          <w:rPr>
            <w:rFonts w:ascii="Times New Roman" w:eastAsia="Times New Roman" w:hAnsi="Times New Roman" w:cs="Times New Roman"/>
            <w:b/>
            <w:bCs/>
            <w:color w:val="0000FF"/>
            <w:sz w:val="24"/>
            <w:szCs w:val="24"/>
            <w:u w:val="single"/>
            <w:lang w:eastAsia="es-CO"/>
          </w:rPr>
          <w:t>Comisión codificadora</w:t>
        </w:r>
      </w:hyperlink>
      <w:r w:rsidRPr="00847432">
        <w:rPr>
          <w:rFonts w:ascii="Times New Roman" w:eastAsia="Times New Roman" w:hAnsi="Times New Roman" w:cs="Times New Roman"/>
          <w:color w:val="0A0A0A"/>
          <w:sz w:val="24"/>
          <w:szCs w:val="24"/>
          <w:lang w:eastAsia="es-CO"/>
        </w:rPr>
        <w:t>: se encargó de organizar los artículos aprobados en el primer debate de la Plenaria y revisar su coherencia política y jurídica. Integrada por 9 miembros. </w:t>
      </w:r>
    </w:p>
    <w:p w14:paraId="298729C1" w14:textId="77777777" w:rsidR="00847432" w:rsidRPr="00847432" w:rsidRDefault="00847432" w:rsidP="00847432">
      <w:pPr>
        <w:shd w:val="clear" w:color="auto" w:fill="FEFEFE"/>
        <w:spacing w:before="100" w:beforeAutospacing="1" w:after="100" w:afterAutospacing="1" w:line="240" w:lineRule="auto"/>
        <w:jc w:val="both"/>
        <w:rPr>
          <w:rFonts w:ascii="Times New Roman" w:eastAsia="Times New Roman" w:hAnsi="Times New Roman" w:cs="Times New Roman"/>
          <w:color w:val="0A0A0A"/>
          <w:sz w:val="24"/>
          <w:szCs w:val="24"/>
          <w:lang w:eastAsia="es-CO"/>
        </w:rPr>
      </w:pPr>
      <w:r w:rsidRPr="00847432">
        <w:rPr>
          <w:rFonts w:ascii="Times New Roman" w:eastAsia="Times New Roman" w:hAnsi="Times New Roman" w:cs="Times New Roman"/>
          <w:color w:val="0A0A0A"/>
          <w:sz w:val="24"/>
          <w:szCs w:val="24"/>
          <w:lang w:eastAsia="es-CO"/>
        </w:rPr>
        <w:t>De esta forma, se dio apertura a los acuerdos políticos que cinco meses después, en julio, llevaron a la promulgación de la </w:t>
      </w:r>
      <w:hyperlink r:id="rId21" w:tgtFrame="_blank" w:history="1">
        <w:r w:rsidRPr="00847432">
          <w:rPr>
            <w:rFonts w:ascii="Times New Roman" w:eastAsia="Times New Roman" w:hAnsi="Times New Roman" w:cs="Times New Roman"/>
            <w:color w:val="1779BA"/>
            <w:sz w:val="24"/>
            <w:szCs w:val="24"/>
            <w:u w:val="single"/>
            <w:lang w:eastAsia="es-CO"/>
          </w:rPr>
          <w:t>Constitución Política de Colombia de 1991</w:t>
        </w:r>
      </w:hyperlink>
      <w:r w:rsidRPr="00847432">
        <w:rPr>
          <w:rFonts w:ascii="Times New Roman" w:eastAsia="Times New Roman" w:hAnsi="Times New Roman" w:cs="Times New Roman"/>
          <w:color w:val="0A0A0A"/>
          <w:sz w:val="24"/>
          <w:szCs w:val="24"/>
          <w:lang w:eastAsia="es-CO"/>
        </w:rPr>
        <w:t>. La nueva Carta Magna fue acogida por múltiples sectores del país y constituyó una de las más férreas esperanzas de consecución de paz en Colombia, por sus contenidos fundados en la convivencia pacífica de los ciudadanos, las garantías políticas y de aplicación de Derechos Humanos y el reconocimiento de la nación como una entidad diversa, pluricultural y pluriétnica (Centro Nacional de Memoria Histórica, 2013).</w:t>
      </w:r>
    </w:p>
    <w:p w14:paraId="7F601309" w14:textId="77777777" w:rsidR="00847432" w:rsidRPr="00847432" w:rsidRDefault="00847432" w:rsidP="00E53319">
      <w:pPr>
        <w:pStyle w:val="rtejustify"/>
        <w:shd w:val="clear" w:color="auto" w:fill="FEFEFE"/>
        <w:jc w:val="center"/>
        <w:rPr>
          <w:color w:val="0A0A0A"/>
        </w:rPr>
      </w:pPr>
      <w:r w:rsidRPr="00847432">
        <w:rPr>
          <w:b/>
          <w:bCs/>
          <w:color w:val="0A0A0A"/>
        </w:rPr>
        <w:t>REFERENDO CONSTITUCIONAL DE 1886</w:t>
      </w:r>
    </w:p>
    <w:p w14:paraId="23C74C9D" w14:textId="77777777" w:rsidR="00847432" w:rsidRPr="00847432" w:rsidRDefault="00847432" w:rsidP="00847432">
      <w:pPr>
        <w:pStyle w:val="rtejustify"/>
        <w:shd w:val="clear" w:color="auto" w:fill="FEFEFE"/>
        <w:jc w:val="both"/>
        <w:rPr>
          <w:color w:val="0A0A0A"/>
        </w:rPr>
      </w:pPr>
      <w:r w:rsidRPr="00847432">
        <w:rPr>
          <w:color w:val="0A0A0A"/>
        </w:rPr>
        <w:t>En septiembre de 1885 el gobierno convocó un consejo de delegatarios, dos por cada uno de los nueve Estados, para que preparase la nueva ley fundamental de la nación. Reunido el 11 de noviembre, escuchó del presidente Rafael Núñez una síntesis de las reformas que juzgaba debían consignarse en la Constitución. El día 30 de ese mes el Consejo expidió el "Acuerdo sobre reforma constitucional", que en 18 artículos conocidos como las </w:t>
      </w:r>
      <w:r w:rsidRPr="00847432">
        <w:rPr>
          <w:i/>
          <w:iCs/>
          <w:color w:val="0A0A0A"/>
        </w:rPr>
        <w:t>Bases de la reforma </w:t>
      </w:r>
      <w:r w:rsidRPr="00847432">
        <w:rPr>
          <w:color w:val="0A0A0A"/>
        </w:rPr>
        <w:t>recogía las</w:t>
      </w:r>
      <w:r w:rsidRPr="00847432">
        <w:rPr>
          <w:i/>
          <w:iCs/>
          <w:color w:val="0A0A0A"/>
        </w:rPr>
        <w:t> </w:t>
      </w:r>
      <w:r w:rsidRPr="00847432">
        <w:rPr>
          <w:color w:val="0A0A0A"/>
        </w:rPr>
        <w:t>propuestas de Núñez, y dispuso que el Acuerdo no tendría fuerza obligatoria sino después de haber sido "aprobado por el pueblo colombiano".</w:t>
      </w:r>
    </w:p>
    <w:p w14:paraId="2FD2DEC1" w14:textId="77777777" w:rsidR="00847432" w:rsidRPr="00847432" w:rsidRDefault="00847432" w:rsidP="00847432">
      <w:pPr>
        <w:pStyle w:val="rtejustify"/>
        <w:shd w:val="clear" w:color="auto" w:fill="FEFEFE"/>
        <w:jc w:val="both"/>
        <w:rPr>
          <w:color w:val="0A0A0A"/>
        </w:rPr>
      </w:pPr>
      <w:r w:rsidRPr="00847432">
        <w:rPr>
          <w:color w:val="0A0A0A"/>
        </w:rPr>
        <w:t>En </w:t>
      </w:r>
      <w:r w:rsidRPr="00847432">
        <w:rPr>
          <w:i/>
          <w:iCs/>
          <w:color w:val="0A0A0A"/>
        </w:rPr>
        <w:t>Capítulos de historia política de Colombia</w:t>
      </w:r>
      <w:r w:rsidRPr="00847432">
        <w:rPr>
          <w:color w:val="0A0A0A"/>
        </w:rPr>
        <w:t xml:space="preserve">" relata Carlos Martínez Silva: "El primer cuidado del consejo de delegatarios fue el de tratar de definir su carácter. Por una prudente </w:t>
      </w:r>
      <w:r w:rsidRPr="00847432">
        <w:rPr>
          <w:color w:val="0A0A0A"/>
        </w:rPr>
        <w:lastRenderedPageBreak/>
        <w:t>desconfianza no quiso asumir desde el principio de sus tareas las funciones de cuerpo constituyente, sino que se limitó a discutir y formular las bases fundamentales de la proyectada Constitución. Concluido ese trabajo, realizado con sumo esmero y con espíritu de grande elevación y patriotismo, las bases, unánimemente acordadas, fueron sometidas a la ratificación de las municipalidades de todos los Estados, que eran las entidades más genuinamente representativas que existían en la nación. Con absoluta libertad emitieron las municipalidades el voto que se les pedía. De 619 que votaron, lo hicieron afirmativamente 605, y 14 negativamente".</w:t>
      </w:r>
    </w:p>
    <w:p w14:paraId="47B86309" w14:textId="77777777" w:rsidR="00847432" w:rsidRPr="00847432" w:rsidRDefault="00847432" w:rsidP="00847432">
      <w:pPr>
        <w:pStyle w:val="rtejustify"/>
        <w:shd w:val="clear" w:color="auto" w:fill="FEFEFE"/>
        <w:jc w:val="both"/>
        <w:rPr>
          <w:color w:val="0A0A0A"/>
        </w:rPr>
      </w:pPr>
      <w:r w:rsidRPr="00847432">
        <w:rPr>
          <w:color w:val="0A0A0A"/>
        </w:rPr>
        <w:t>La consulta a las "municipalidades" no se dirigió únicamente a las autoridades locales, como suele afirmarse. A la Corte Suprema de Justicia, encargada de hacer el escrutinio, llegaron centenares de memoriales suscritos por los habitantes de todas las municipalidades. En la biblioteca del Congreso de la República se conservan en varios volúmenes estos mensajes, algunos de considerable extensión debido a la multitud de firmas que los respaldan.</w:t>
      </w:r>
    </w:p>
    <w:p w14:paraId="07BC30B5" w14:textId="77777777" w:rsidR="00847432" w:rsidRPr="00847432" w:rsidRDefault="00847432" w:rsidP="00847432">
      <w:pPr>
        <w:pStyle w:val="rtejustify"/>
        <w:shd w:val="clear" w:color="auto" w:fill="FEFEFE"/>
        <w:jc w:val="both"/>
        <w:rPr>
          <w:color w:val="0A0A0A"/>
        </w:rPr>
      </w:pPr>
      <w:r w:rsidRPr="00847432">
        <w:rPr>
          <w:color w:val="0A0A0A"/>
        </w:rPr>
        <w:t>El Preámbulo de la Constitución de 1886 destaca este hecho y lo convierte en fundamento de la legitimidad del nuevo orden político en considerando que reza así: "Vista la aprobación que impartieron las Municipalidades de Colombia a las bases de Constitución expedidas el día 1° de diciembre de 1885…"</w:t>
      </w:r>
    </w:p>
    <w:p w14:paraId="59A53A76" w14:textId="77777777" w:rsidR="00847432" w:rsidRPr="00847432" w:rsidRDefault="00847432" w:rsidP="00847432">
      <w:pPr>
        <w:pStyle w:val="rtejustify"/>
        <w:shd w:val="clear" w:color="auto" w:fill="FEFEFE"/>
        <w:jc w:val="both"/>
        <w:rPr>
          <w:color w:val="0A0A0A"/>
        </w:rPr>
      </w:pPr>
      <w:r w:rsidRPr="00847432">
        <w:rPr>
          <w:color w:val="0A0A0A"/>
        </w:rPr>
        <w:t>Fue este el primer referendo constitucional realizado a escala nacional en la historia de Colombia. Los votos fueron escrutados por circunscripciones municipales, es decir, por "municipalidades". En tiempo récord se verificaron algo más de seiscientos cabildos abiertos que permitieron activar el poder constituyente primario para decidir sobre una propuesta de reforma constitucional.</w:t>
      </w:r>
    </w:p>
    <w:p w14:paraId="32C0AF3D" w14:textId="77777777" w:rsidR="00847432" w:rsidRPr="00847432" w:rsidRDefault="00847432" w:rsidP="00847432">
      <w:pPr>
        <w:pStyle w:val="rtejustify"/>
        <w:shd w:val="clear" w:color="auto" w:fill="FEFEFE"/>
        <w:jc w:val="both"/>
        <w:rPr>
          <w:color w:val="0A0A0A"/>
        </w:rPr>
      </w:pPr>
      <w:r w:rsidRPr="00847432">
        <w:rPr>
          <w:b/>
          <w:bCs/>
          <w:color w:val="0A0A0A"/>
        </w:rPr>
        <w:t>PLEBISCITO O REFERENDO DE 1957</w:t>
      </w:r>
    </w:p>
    <w:p w14:paraId="250F7FFE" w14:textId="77777777" w:rsidR="00847432" w:rsidRPr="00847432" w:rsidRDefault="00847432" w:rsidP="00847432">
      <w:pPr>
        <w:pStyle w:val="rtejustify"/>
        <w:shd w:val="clear" w:color="auto" w:fill="FEFEFE"/>
        <w:jc w:val="both"/>
        <w:rPr>
          <w:color w:val="0A0A0A"/>
        </w:rPr>
      </w:pPr>
      <w:r w:rsidRPr="00847432">
        <w:rPr>
          <w:color w:val="0A0A0A"/>
        </w:rPr>
        <w:t xml:space="preserve">La Junta Militar de Gobierno que interinamente reemplazó al derrocado general Gustavo Rojas Pinilla, mediante decreto </w:t>
      </w:r>
      <w:proofErr w:type="spellStart"/>
      <w:r w:rsidRPr="00847432">
        <w:rPr>
          <w:color w:val="0A0A0A"/>
        </w:rPr>
        <w:t>N°</w:t>
      </w:r>
      <w:proofErr w:type="spellEnd"/>
      <w:r w:rsidRPr="00847432">
        <w:rPr>
          <w:color w:val="0A0A0A"/>
        </w:rPr>
        <w:t xml:space="preserve"> 0247 de 1957 "sobre plebiscito para una reforma constitucional" convocó para el primer domingo del mes de diciembre de 1957 a los varones y mujeres colombianos, mayores de 21 años, para que expresaran su aprobación o improbación a un "texto indivisible" formulado en catorce artículos que, aprobados por la ciudadanía, fueron incorporados al texto constitucional de 1886.</w:t>
      </w:r>
    </w:p>
    <w:p w14:paraId="5EADFC07" w14:textId="77777777" w:rsidR="00847432" w:rsidRPr="00847432" w:rsidRDefault="00847432" w:rsidP="00847432">
      <w:pPr>
        <w:pStyle w:val="rtejustify"/>
        <w:shd w:val="clear" w:color="auto" w:fill="FEFEFE"/>
        <w:jc w:val="both"/>
        <w:rPr>
          <w:color w:val="0A0A0A"/>
        </w:rPr>
      </w:pPr>
      <w:r w:rsidRPr="00847432">
        <w:rPr>
          <w:color w:val="0A0A0A"/>
        </w:rPr>
        <w:t>El contenido del texto sometido a la decisión del cuerpo electoral indica que la ciudadanía votó no un plebiscito sino un referendo. En efecto, no se pretendía escrutar el ánimo de los colombianos frente al gobierno o sus políticas, sino saber si las mayorías apoyaban la propuesta de restablecer el imperio de la Constitución que había quedado en suspenso durante la dictadura, y la iniciativa de introducirle una serie de importantes reformas.</w:t>
      </w:r>
    </w:p>
    <w:p w14:paraId="53AA80B1" w14:textId="77777777" w:rsidR="00847432" w:rsidRPr="00847432" w:rsidRDefault="00847432" w:rsidP="00847432">
      <w:pPr>
        <w:pStyle w:val="rtejustify"/>
        <w:shd w:val="clear" w:color="auto" w:fill="FEFEFE"/>
        <w:jc w:val="both"/>
        <w:rPr>
          <w:color w:val="0A0A0A"/>
        </w:rPr>
      </w:pPr>
      <w:r w:rsidRPr="00847432">
        <w:rPr>
          <w:b/>
          <w:bCs/>
          <w:color w:val="0A0A0A"/>
        </w:rPr>
        <w:t>PLEBISCITO DE "LA SÉPTIMA PAPELETA"</w:t>
      </w:r>
    </w:p>
    <w:p w14:paraId="4F17F292" w14:textId="77777777" w:rsidR="00847432" w:rsidRPr="00847432" w:rsidRDefault="00847432" w:rsidP="00847432">
      <w:pPr>
        <w:pStyle w:val="rtejustify"/>
        <w:shd w:val="clear" w:color="auto" w:fill="FEFEFE"/>
        <w:jc w:val="both"/>
        <w:rPr>
          <w:color w:val="0A0A0A"/>
        </w:rPr>
      </w:pPr>
      <w:r w:rsidRPr="00847432">
        <w:rPr>
          <w:color w:val="0A0A0A"/>
        </w:rPr>
        <w:t xml:space="preserve">Durante la fase final del trámite de la reforma constitucional promovida por el gobierno del presidente Virgilio Barco se propuso, en diciembre de 1989, convocar a un "Referendo extraordinario por la paz y la democracia" que debería realizarse el 21 de enero de 1990 para consolidar los acuerdos de paz con el movimiento insurgente del M-19. La presión violenta </w:t>
      </w:r>
      <w:r w:rsidRPr="00847432">
        <w:rPr>
          <w:color w:val="0A0A0A"/>
        </w:rPr>
        <w:lastRenderedPageBreak/>
        <w:t>del narcotráfico para que con ocasión de esta consulta el pueblo se pronunciara también sobre la extradición, obligó al gobierno a hundir la totalidad del proyecto.</w:t>
      </w:r>
    </w:p>
    <w:p w14:paraId="64C1B6EF" w14:textId="77777777" w:rsidR="00847432" w:rsidRPr="00847432" w:rsidRDefault="00847432" w:rsidP="00847432">
      <w:pPr>
        <w:pStyle w:val="rtejustify"/>
        <w:shd w:val="clear" w:color="auto" w:fill="FEFEFE"/>
        <w:jc w:val="both"/>
        <w:rPr>
          <w:color w:val="0A0A0A"/>
        </w:rPr>
      </w:pPr>
      <w:r w:rsidRPr="00847432">
        <w:rPr>
          <w:color w:val="0A0A0A"/>
        </w:rPr>
        <w:t>A comienzos del año siguiente estudiantes de varias universidades del país impulsaron la inclusión de una "séptima papeleta" en los comicios del 11 de marzo de 1990 para apoyar la convocatoria a una asamblea constituyente, a pesar de que este mecanismo de reforma constitucional no estaba autorizado en la Constitución y contrariaba expresa prohibición constitucional (artículo 13 del plebiscito de 1957). El respaldo a esta iniciativa por algo más de dos millones de votos que informalmente fueron escrutados, creó una situación de facto que el gobierno implementó mediante el decreto 927 de 1990, por el cual se facultó a la organización electoral para contabilizar los votos que se depositaran en las elecciones presidenciales del 27 de mayo para expresar apoyo o rechazo a la posibilidad de convocar una asamblea encargada de reformar la Constitución.</w:t>
      </w:r>
    </w:p>
    <w:p w14:paraId="7693DE3D" w14:textId="77777777" w:rsidR="00847432" w:rsidRPr="00847432" w:rsidRDefault="00847432" w:rsidP="00847432">
      <w:pPr>
        <w:pStyle w:val="rtejustify"/>
        <w:shd w:val="clear" w:color="auto" w:fill="FEFEFE"/>
        <w:jc w:val="both"/>
        <w:rPr>
          <w:color w:val="0A0A0A"/>
        </w:rPr>
      </w:pPr>
      <w:r w:rsidRPr="00847432">
        <w:rPr>
          <w:color w:val="0A0A0A"/>
        </w:rPr>
        <w:t xml:space="preserve">Posesionado de la Presidencia de la República César Gaviria, expidió en ejercicio de las facultades de estado de sitio el decreto 1926 de 1990, por el cual se fijaba el temario sobre el cual debía versar la reforma de la Constitución y se convocó a los colombianos para que el 9 de diciembre de 1990 eligieran a los miembros de la Asamblea. Al revisar la constitucionalidad del decreto, la Corte Suprema de Justicia, en sentencia de octubre 9 de 1990, dispuso que la Asamblea Constituyente, como órgano habilitado para ejercer el poder constituyente, no tenía límite en sus competencias y declaró la </w:t>
      </w:r>
      <w:proofErr w:type="spellStart"/>
      <w:r w:rsidRPr="00847432">
        <w:rPr>
          <w:color w:val="0A0A0A"/>
        </w:rPr>
        <w:t>inexequibilidad</w:t>
      </w:r>
      <w:proofErr w:type="spellEnd"/>
      <w:r w:rsidRPr="00847432">
        <w:rPr>
          <w:color w:val="0A0A0A"/>
        </w:rPr>
        <w:t xml:space="preserve"> del decreto en cuanto que, al fijarle temario a la Asamblea, le restringía sus atribuciones. De esta manera la Asamblea quedó facultada para reformar íntegramente la Carta Política, como en efecto lo hizo el año siguiente, cuando expidió la Constitución de 1991 que hoy rige.</w:t>
      </w:r>
    </w:p>
    <w:p w14:paraId="21C1CE30" w14:textId="77777777" w:rsidR="00847432" w:rsidRPr="00847432" w:rsidRDefault="00847432" w:rsidP="00847432">
      <w:pPr>
        <w:pStyle w:val="rtejustify"/>
        <w:shd w:val="clear" w:color="auto" w:fill="FEFEFE"/>
        <w:jc w:val="both"/>
        <w:rPr>
          <w:color w:val="0A0A0A"/>
        </w:rPr>
      </w:pPr>
      <w:r w:rsidRPr="00847432">
        <w:rPr>
          <w:color w:val="0A0A0A"/>
        </w:rPr>
        <w:t>La sucesión de las tres votaciones que, a partir de la "séptima papeleta", sacaron avante el propósito de elegir una Asamblea Constituyente para reformar la Constitución, ha sido interpretada como un verdadero plebiscito, en donde el cuerpo electoral creó una situación de facto de resonante importancia política, superó todos los obstáculos que impedían introducir un mecanismo de reforma constitucional atípico y se otorgó la facultad de elegir una corporación que se encargaría de expedir una nueva Constitución.</w:t>
      </w:r>
    </w:p>
    <w:p w14:paraId="4B42016E" w14:textId="77777777" w:rsidR="006B62DD" w:rsidRPr="00847432" w:rsidRDefault="006B62DD" w:rsidP="00847432">
      <w:pPr>
        <w:jc w:val="both"/>
        <w:rPr>
          <w:rFonts w:ascii="Times New Roman" w:hAnsi="Times New Roman" w:cs="Times New Roman"/>
          <w:sz w:val="24"/>
          <w:szCs w:val="24"/>
        </w:rPr>
      </w:pPr>
    </w:p>
    <w:sectPr w:rsidR="006B62DD" w:rsidRPr="008474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F31AAC"/>
    <w:multiLevelType w:val="multilevel"/>
    <w:tmpl w:val="FD00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E51"/>
    <w:rsid w:val="003D5E51"/>
    <w:rsid w:val="00567BD8"/>
    <w:rsid w:val="006B62DD"/>
    <w:rsid w:val="00847432"/>
    <w:rsid w:val="00E533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F8EB1"/>
  <w15:chartTrackingRefBased/>
  <w15:docId w15:val="{6080BDF8-BFD5-4DA6-96A4-0CC88B86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474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7432"/>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84743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semiHidden/>
    <w:unhideWhenUsed/>
    <w:rsid w:val="00847432"/>
    <w:rPr>
      <w:color w:val="0000FF"/>
      <w:u w:val="single"/>
    </w:rPr>
  </w:style>
  <w:style w:type="character" w:styleId="Textoennegrita">
    <w:name w:val="Strong"/>
    <w:basedOn w:val="Fuentedeprrafopredeter"/>
    <w:uiPriority w:val="22"/>
    <w:qFormat/>
    <w:rsid w:val="00847432"/>
    <w:rPr>
      <w:b/>
      <w:bCs/>
    </w:rPr>
  </w:style>
  <w:style w:type="paragraph" w:customStyle="1" w:styleId="rtejustify">
    <w:name w:val="rtejustify"/>
    <w:basedOn w:val="Normal"/>
    <w:rsid w:val="00847432"/>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1534">
      <w:bodyDiv w:val="1"/>
      <w:marLeft w:val="0"/>
      <w:marRight w:val="0"/>
      <w:marTop w:val="0"/>
      <w:marBottom w:val="0"/>
      <w:divBdr>
        <w:top w:val="none" w:sz="0" w:space="0" w:color="auto"/>
        <w:left w:val="none" w:sz="0" w:space="0" w:color="auto"/>
        <w:bottom w:val="none" w:sz="0" w:space="0" w:color="auto"/>
        <w:right w:val="none" w:sz="0" w:space="0" w:color="auto"/>
      </w:divBdr>
    </w:div>
    <w:div w:id="632442679">
      <w:bodyDiv w:val="1"/>
      <w:marLeft w:val="0"/>
      <w:marRight w:val="0"/>
      <w:marTop w:val="0"/>
      <w:marBottom w:val="0"/>
      <w:divBdr>
        <w:top w:val="none" w:sz="0" w:space="0" w:color="auto"/>
        <w:left w:val="none" w:sz="0" w:space="0" w:color="auto"/>
        <w:bottom w:val="none" w:sz="0" w:space="0" w:color="auto"/>
        <w:right w:val="none" w:sz="0" w:space="0" w:color="auto"/>
      </w:divBdr>
      <w:divsChild>
        <w:div w:id="351608181">
          <w:marLeft w:val="0"/>
          <w:marRight w:val="0"/>
          <w:marTop w:val="0"/>
          <w:marBottom w:val="0"/>
          <w:divBdr>
            <w:top w:val="none" w:sz="0" w:space="0" w:color="auto"/>
            <w:left w:val="none" w:sz="0" w:space="0" w:color="auto"/>
            <w:bottom w:val="none" w:sz="0" w:space="0" w:color="auto"/>
            <w:right w:val="none" w:sz="0" w:space="0" w:color="auto"/>
          </w:divBdr>
        </w:div>
        <w:div w:id="2036155634">
          <w:marLeft w:val="0"/>
          <w:marRight w:val="0"/>
          <w:marTop w:val="0"/>
          <w:marBottom w:val="0"/>
          <w:divBdr>
            <w:top w:val="none" w:sz="0" w:space="0" w:color="auto"/>
            <w:left w:val="none" w:sz="0" w:space="0" w:color="auto"/>
            <w:bottom w:val="none" w:sz="0" w:space="0" w:color="auto"/>
            <w:right w:val="none" w:sz="0" w:space="0" w:color="auto"/>
          </w:divBdr>
          <w:divsChild>
            <w:div w:id="2119132594">
              <w:marLeft w:val="0"/>
              <w:marRight w:val="0"/>
              <w:marTop w:val="0"/>
              <w:marBottom w:val="0"/>
              <w:divBdr>
                <w:top w:val="none" w:sz="0" w:space="0" w:color="auto"/>
                <w:left w:val="none" w:sz="0" w:space="0" w:color="auto"/>
                <w:bottom w:val="none" w:sz="0" w:space="0" w:color="auto"/>
                <w:right w:val="none" w:sz="0" w:space="0" w:color="auto"/>
              </w:divBdr>
              <w:divsChild>
                <w:div w:id="89234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ciclopedia.banrepcultural.org/index.php?title=Misael_Pastrana_Borrero" TargetMode="External"/><Relationship Id="rId13" Type="http://schemas.openxmlformats.org/officeDocument/2006/relationships/hyperlink" Target="https://enciclopedia.banrepcultural.org/index.php?title=Antonio_Navarro_Wolff" TargetMode="External"/><Relationship Id="rId18" Type="http://schemas.openxmlformats.org/officeDocument/2006/relationships/hyperlink" Target="https://bit.ly/3bpZE03" TargetMode="External"/><Relationship Id="rId3" Type="http://schemas.openxmlformats.org/officeDocument/2006/relationships/settings" Target="settings.xml"/><Relationship Id="rId21" Type="http://schemas.openxmlformats.org/officeDocument/2006/relationships/hyperlink" Target="https://enciclopedia.banrepcultural.org/index.php?title=Constituci%C3%B3n_Pol%C3%ADtica_de_Colombia_de_1991" TargetMode="External"/><Relationship Id="rId7" Type="http://schemas.openxmlformats.org/officeDocument/2006/relationships/hyperlink" Target="https://enciclopedia.banrepcultural.org/index.php/Virgilio_Barco_Vargas" TargetMode="External"/><Relationship Id="rId12" Type="http://schemas.openxmlformats.org/officeDocument/2006/relationships/hyperlink" Target="https://enciclopedia.banrepcultural.org/index.php?title=%C3%81lvaro_G%C3%B3mez_Hurtado" TargetMode="External"/><Relationship Id="rId17" Type="http://schemas.openxmlformats.org/officeDocument/2006/relationships/hyperlink" Target="https://bit.ly/32Vp4yE" TargetMode="External"/><Relationship Id="rId2" Type="http://schemas.openxmlformats.org/officeDocument/2006/relationships/styles" Target="styles.xml"/><Relationship Id="rId16" Type="http://schemas.openxmlformats.org/officeDocument/2006/relationships/hyperlink" Target="https://bit.ly/2F1WB26" TargetMode="External"/><Relationship Id="rId20" Type="http://schemas.openxmlformats.org/officeDocument/2006/relationships/hyperlink" Target="http://babel.banrepcultural.org/cdm/search/collection/p17054coll28/searchterm/Comisi%C3%B3n%20Codificadora/field/comisi/mode/all/conn/and/order/title/ad/asc" TargetMode="External"/><Relationship Id="rId1" Type="http://schemas.openxmlformats.org/officeDocument/2006/relationships/numbering" Target="numbering.xml"/><Relationship Id="rId6" Type="http://schemas.openxmlformats.org/officeDocument/2006/relationships/hyperlink" Target="http://babel.banrepcultural.org/cdm/ref/collection/p17054coll10/id/636" TargetMode="External"/><Relationship Id="rId11" Type="http://schemas.openxmlformats.org/officeDocument/2006/relationships/hyperlink" Target="http://babel.banrepcultural.org/cdm/ref/collection/p17054coll2/id/56" TargetMode="External"/><Relationship Id="rId5" Type="http://schemas.openxmlformats.org/officeDocument/2006/relationships/hyperlink" Target="https://enciclopedia.banrepcultural.org/index.php?title=Asamblea_Nacional_Constituyente" TargetMode="External"/><Relationship Id="rId15" Type="http://schemas.openxmlformats.org/officeDocument/2006/relationships/hyperlink" Target="https://bit.ly/2Z4Tttq" TargetMode="External"/><Relationship Id="rId23" Type="http://schemas.openxmlformats.org/officeDocument/2006/relationships/theme" Target="theme/theme1.xml"/><Relationship Id="rId10" Type="http://schemas.openxmlformats.org/officeDocument/2006/relationships/hyperlink" Target="http://babel.banrepcultural.org/cdm/ref/collection/p17054coll4/id/0" TargetMode="External"/><Relationship Id="rId19" Type="http://schemas.openxmlformats.org/officeDocument/2006/relationships/hyperlink" Target="http://babel.banrepcultural.org/cdm/search/collection/p17054coll28/searchterm/Sesi%C3%B3n%20Plenaria/field/comisi/mode/all/conn/and/order/title/ad/asc" TargetMode="External"/><Relationship Id="rId4" Type="http://schemas.openxmlformats.org/officeDocument/2006/relationships/webSettings" Target="webSettings.xml"/><Relationship Id="rId9" Type="http://schemas.openxmlformats.org/officeDocument/2006/relationships/hyperlink" Target="https://enciclopedia.banrepcultural.org/index.php?title=Luis_Carlos_Gal%C3%A1n_Sarmiento" TargetMode="External"/><Relationship Id="rId14" Type="http://schemas.openxmlformats.org/officeDocument/2006/relationships/hyperlink" Target="http://babel.banrepcultural.org/cdm/search/collection/p17054coll28/searchterm/Comisi%C3%B3n%20Primera/field/comisi/mode/all/conn/and/order/title/ad/asc"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2115</Words>
  <Characters>11634</Characters>
  <Application>Microsoft Office Word</Application>
  <DocSecurity>0</DocSecurity>
  <Lines>96</Lines>
  <Paragraphs>27</Paragraphs>
  <ScaleCrop>false</ScaleCrop>
  <Company/>
  <LinksUpToDate>false</LinksUpToDate>
  <CharactersWithSpaces>13722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MuRiLlO</dc:creator>
  <cp:keywords/>
  <dc:description/>
  <cp:lastModifiedBy>AnDrEa MuRiLlO</cp:lastModifiedBy>
  <cp:revision>3</cp:revision>
  <dcterms:created xsi:type="dcterms:W3CDTF">2026-07-11T13:31:00Z</dcterms:created>
  <dcterms:modified xsi:type="dcterms:W3CDTF">2026-07-11T13:36:00Z</dcterms:modified>
</cp:coreProperties>
</file>