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B057" w14:textId="60484F33" w:rsidR="00B6138E" w:rsidRPr="0019586A" w:rsidRDefault="0019586A" w:rsidP="0095455E">
      <w:pPr>
        <w:pStyle w:val="Title"/>
        <w:numPr>
          <w:ilvl w:val="0"/>
          <w:numId w:val="3"/>
        </w:numPr>
        <w:ind w:left="0"/>
        <w:jc w:val="center"/>
        <w:rPr>
          <w:rFonts w:ascii="Times New Roman" w:hAnsi="Times New Roman" w:cs="Times New Roman"/>
          <w:sz w:val="40"/>
          <w:szCs w:val="40"/>
          <w:lang w:val="lt-LT"/>
        </w:rPr>
      </w:pPr>
      <w:r w:rsidRPr="0019586A">
        <w:rPr>
          <w:rFonts w:ascii="Times New Roman" w:hAnsi="Times New Roman" w:cs="Times New Roman"/>
          <w:sz w:val="40"/>
          <w:szCs w:val="40"/>
          <w:lang w:val="lt-LT"/>
        </w:rPr>
        <w:t>Įvadas</w:t>
      </w:r>
    </w:p>
    <w:p w14:paraId="34C8ACAA"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Šio projekto tikslas buvo pritaikyti pagrindinius duomenų analizės, statistikos ir modeliavimo metodus, siekiant išanalizuoti prekybos centro pardavimų duomenis ir įvertinti klientų elgseną. Analizei buvo naudojamas „Supermarket Sales“ duomenų rinkinys iš Kaggle platformos, kuriame pateikiama informacija apie pardavimus, klientų demografinius duomenis, produktų kategorijas, mokėjimo būdus ir kitus pardavimo parametrus.</w:t>
      </w:r>
    </w:p>
    <w:p w14:paraId="1194B3A7"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Analizė buvo atlikta Python aplinkoje naudojant Jupyter Notebook, o analitiniai metodai apėmė duomenų supratimą, aprašomąją analizę (EDA), statistinius metodus (pasikliautinį intervalą ir hipotezių testavimą), regresinę analizę bei laiko eilučių analizę.</w:t>
      </w:r>
    </w:p>
    <w:p w14:paraId="5EA6BC85" w14:textId="6C4EE6AB" w:rsidR="0019586A" w:rsidRPr="0019586A" w:rsidRDefault="0019586A" w:rsidP="0095455E">
      <w:pPr>
        <w:pStyle w:val="Title"/>
        <w:numPr>
          <w:ilvl w:val="0"/>
          <w:numId w:val="3"/>
        </w:numPr>
        <w:ind w:left="0"/>
        <w:jc w:val="center"/>
        <w:rPr>
          <w:rFonts w:ascii="Times New Roman" w:hAnsi="Times New Roman" w:cs="Times New Roman"/>
          <w:sz w:val="40"/>
          <w:szCs w:val="40"/>
          <w:lang w:val="lt-LT"/>
        </w:rPr>
      </w:pPr>
      <w:r w:rsidRPr="0019586A">
        <w:rPr>
          <w:rFonts w:ascii="Times New Roman" w:hAnsi="Times New Roman" w:cs="Times New Roman"/>
          <w:sz w:val="40"/>
          <w:szCs w:val="40"/>
          <w:lang w:val="lt-LT"/>
        </w:rPr>
        <w:t>Duomenų supratimas</w:t>
      </w:r>
    </w:p>
    <w:p w14:paraId="7EB29993"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Duomenų rinkinyje yra 1000 pardavimo įrašų ir 17 kintamųjų, kurie apima informaciją apie filialą, miestą, klientų tipą, produktų liniją, vieneto kainą, perkamą kiekį, mokėjimo metodą ir bendrą pardavimo vertę.</w:t>
      </w:r>
    </w:p>
    <w:p w14:paraId="1D245473" w14:textId="77777777" w:rsidR="0095455E" w:rsidRDefault="0019586A" w:rsidP="0095455E">
      <w:pPr>
        <w:spacing w:line="240" w:lineRule="auto"/>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Pirminė duomenų analizė parodė, kad:</w:t>
      </w:r>
    </w:p>
    <w:p w14:paraId="20370FA3" w14:textId="77777777" w:rsidR="0095455E" w:rsidRPr="0095455E" w:rsidRDefault="0019586A" w:rsidP="0095455E">
      <w:pPr>
        <w:pStyle w:val="ListParagraph"/>
        <w:numPr>
          <w:ilvl w:val="0"/>
          <w:numId w:val="4"/>
        </w:numPr>
        <w:spacing w:line="240" w:lineRule="auto"/>
        <w:jc w:val="both"/>
        <w:rPr>
          <w:rFonts w:ascii="Times New Roman" w:hAnsi="Times New Roman" w:cs="Times New Roman"/>
          <w:sz w:val="24"/>
          <w:szCs w:val="24"/>
          <w:lang w:val="lt-LT"/>
        </w:rPr>
      </w:pPr>
      <w:r w:rsidRPr="0095455E">
        <w:rPr>
          <w:rFonts w:ascii="Times New Roman" w:hAnsi="Times New Roman" w:cs="Times New Roman"/>
          <w:sz w:val="24"/>
          <w:szCs w:val="24"/>
          <w:lang w:val="lt-LT"/>
        </w:rPr>
        <w:t>duomenų rinkinyje nėra trūkstamų reikšmių,</w:t>
      </w:r>
    </w:p>
    <w:p w14:paraId="02EFFEE5" w14:textId="77777777" w:rsidR="0095455E" w:rsidRPr="0095455E" w:rsidRDefault="0019586A" w:rsidP="0095455E">
      <w:pPr>
        <w:pStyle w:val="ListParagraph"/>
        <w:numPr>
          <w:ilvl w:val="0"/>
          <w:numId w:val="4"/>
        </w:numPr>
        <w:spacing w:line="240" w:lineRule="auto"/>
        <w:jc w:val="both"/>
        <w:rPr>
          <w:rFonts w:ascii="Times New Roman" w:hAnsi="Times New Roman" w:cs="Times New Roman"/>
          <w:sz w:val="24"/>
          <w:szCs w:val="24"/>
          <w:lang w:val="lt-LT"/>
        </w:rPr>
      </w:pPr>
      <w:r w:rsidRPr="0095455E">
        <w:rPr>
          <w:rFonts w:ascii="Times New Roman" w:hAnsi="Times New Roman" w:cs="Times New Roman"/>
          <w:sz w:val="24"/>
          <w:szCs w:val="24"/>
          <w:lang w:val="lt-LT"/>
        </w:rPr>
        <w:t>visi kintamieji turi tinkamus duomenų tipus,</w:t>
      </w:r>
    </w:p>
    <w:p w14:paraId="72AE1740" w14:textId="207D5343" w:rsidR="0019586A" w:rsidRPr="0095455E" w:rsidRDefault="0019586A" w:rsidP="0095455E">
      <w:pPr>
        <w:pStyle w:val="ListParagraph"/>
        <w:numPr>
          <w:ilvl w:val="0"/>
          <w:numId w:val="4"/>
        </w:numPr>
        <w:spacing w:line="240" w:lineRule="auto"/>
        <w:jc w:val="both"/>
        <w:rPr>
          <w:rFonts w:ascii="Times New Roman" w:hAnsi="Times New Roman" w:cs="Times New Roman"/>
          <w:sz w:val="24"/>
          <w:szCs w:val="24"/>
          <w:lang w:val="lt-LT"/>
        </w:rPr>
      </w:pPr>
      <w:r w:rsidRPr="0095455E">
        <w:rPr>
          <w:rFonts w:ascii="Times New Roman" w:hAnsi="Times New Roman" w:cs="Times New Roman"/>
          <w:sz w:val="24"/>
          <w:szCs w:val="24"/>
          <w:lang w:val="lt-LT"/>
        </w:rPr>
        <w:t>datos stulpelis buvo konvertuotas į datetime formatą, kad būtų galima atlikti laiko eilučių analizę.</w:t>
      </w:r>
    </w:p>
    <w:p w14:paraId="1BBEF36E" w14:textId="77777777" w:rsidR="0019586A" w:rsidRPr="0019586A" w:rsidRDefault="0019586A" w:rsidP="0095455E">
      <w:pPr>
        <w:spacing w:line="240" w:lineRule="auto"/>
        <w:ind w:firstLine="36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Tai leidžia daryti išvadą, kad duomenų kokybė yra gera ir duomenys tinkami tolimesnei analizei.</w:t>
      </w:r>
    </w:p>
    <w:p w14:paraId="5399014B" w14:textId="6D248559" w:rsidR="0019586A" w:rsidRPr="0019586A" w:rsidRDefault="0019586A" w:rsidP="0095455E">
      <w:pPr>
        <w:pStyle w:val="Title"/>
        <w:numPr>
          <w:ilvl w:val="0"/>
          <w:numId w:val="3"/>
        </w:numPr>
        <w:ind w:left="0"/>
        <w:jc w:val="center"/>
        <w:rPr>
          <w:rFonts w:ascii="Times New Roman" w:hAnsi="Times New Roman" w:cs="Times New Roman"/>
          <w:sz w:val="40"/>
          <w:szCs w:val="40"/>
          <w:lang w:val="lt-LT"/>
        </w:rPr>
      </w:pPr>
      <w:r w:rsidRPr="0019586A">
        <w:rPr>
          <w:rFonts w:ascii="Times New Roman" w:hAnsi="Times New Roman" w:cs="Times New Roman"/>
          <w:sz w:val="40"/>
          <w:szCs w:val="40"/>
          <w:lang w:val="lt-LT"/>
        </w:rPr>
        <w:t>Aprašomoji analizė (EDA)</w:t>
      </w:r>
    </w:p>
    <w:p w14:paraId="16047FC1"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Aprašomoji analizė buvo atlikta siekiant suprasti pagrindines pardavimų tendencijas ir klientų elgseną.</w:t>
      </w:r>
    </w:p>
    <w:p w14:paraId="45A5BA6C"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Pardavimų pasiskirstymo grafikas parodė, kad pardavimų reikšmės yra dešiniškai pasvirusios, tai reiškia, kad dauguma pirkimų yra nedidelės arba vidutinės vertės, tačiau yra ir mažesnis skaičius didelės vertės pirkimų.</w:t>
      </w:r>
    </w:p>
    <w:p w14:paraId="01ED9AA1"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Pardavimų palyginimas tarp skirtingų filialų (Alex, Giza ir Cairo) parodė, kad pardavimų pasiskirstymas filialuose yra gana panašus. Nors yra tam tikrų skirtumų medianose ir variacijoje, nė vienas filialas akivaizdžiai neišsiskiria žymiai didesnėmis pardavimų vertėmis.</w:t>
      </w:r>
    </w:p>
    <w:p w14:paraId="1351BA5A"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Mokėjimo metodų analizė parodė, kad dažniausiai naudojami mokėjimo būdai yra Ewallet ir Cash, o mokėjimai kredito kortele naudojami šiek tiek rečiau.</w:t>
      </w:r>
    </w:p>
    <w:p w14:paraId="07B0A58A" w14:textId="59394746" w:rsidR="0019586A" w:rsidRPr="0019586A" w:rsidRDefault="0019586A" w:rsidP="0095455E">
      <w:pPr>
        <w:pStyle w:val="Title"/>
        <w:numPr>
          <w:ilvl w:val="0"/>
          <w:numId w:val="3"/>
        </w:numPr>
        <w:ind w:left="0"/>
        <w:jc w:val="center"/>
        <w:rPr>
          <w:rFonts w:ascii="Times New Roman" w:hAnsi="Times New Roman" w:cs="Times New Roman"/>
          <w:sz w:val="40"/>
          <w:szCs w:val="40"/>
          <w:lang w:val="lt-LT"/>
        </w:rPr>
      </w:pPr>
      <w:r w:rsidRPr="0019586A">
        <w:rPr>
          <w:rFonts w:ascii="Times New Roman" w:hAnsi="Times New Roman" w:cs="Times New Roman"/>
          <w:sz w:val="40"/>
          <w:szCs w:val="40"/>
          <w:lang w:val="lt-LT"/>
        </w:rPr>
        <w:t>Pasikliautinis intervalas</w:t>
      </w:r>
    </w:p>
    <w:p w14:paraId="076DE1DD"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Buvo apskaičiuotas 95 % pasikliautinis intervalas pardavimų kintamojo vidurkiui.</w:t>
      </w:r>
    </w:p>
    <w:p w14:paraId="1D7E7D28"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Gautas pardavimų vidurkis yra 322.97, o 95 % pasikliautinis intervalas yra nuo 307.71 iki 338.23.</w:t>
      </w:r>
    </w:p>
    <w:p w14:paraId="18941EE8"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Tai reiškia, kad su 95 % pasitikėjimu galima teigti, jog tikrasis visos populiacijos vidutinis pardavimo dydis patenka į šį intervalą.</w:t>
      </w:r>
    </w:p>
    <w:p w14:paraId="296F87E3" w14:textId="77777777" w:rsidR="0095455E" w:rsidRDefault="0095455E">
      <w:pPr>
        <w:rPr>
          <w:rFonts w:ascii="Times New Roman" w:eastAsiaTheme="majorEastAsia" w:hAnsi="Times New Roman" w:cs="Times New Roman"/>
          <w:spacing w:val="-10"/>
          <w:kern w:val="28"/>
          <w:sz w:val="40"/>
          <w:szCs w:val="40"/>
          <w:lang w:val="lt-LT"/>
        </w:rPr>
      </w:pPr>
      <w:r>
        <w:rPr>
          <w:rFonts w:ascii="Times New Roman" w:hAnsi="Times New Roman" w:cs="Times New Roman"/>
          <w:sz w:val="40"/>
          <w:szCs w:val="40"/>
          <w:lang w:val="lt-LT"/>
        </w:rPr>
        <w:br w:type="page"/>
      </w:r>
    </w:p>
    <w:p w14:paraId="5EA4566C" w14:textId="2E7068C1" w:rsidR="0019586A" w:rsidRPr="0019586A" w:rsidRDefault="0019586A" w:rsidP="0095455E">
      <w:pPr>
        <w:pStyle w:val="Title"/>
        <w:numPr>
          <w:ilvl w:val="0"/>
          <w:numId w:val="3"/>
        </w:numPr>
        <w:ind w:left="0"/>
        <w:jc w:val="center"/>
        <w:rPr>
          <w:rFonts w:ascii="Times New Roman" w:hAnsi="Times New Roman" w:cs="Times New Roman"/>
          <w:sz w:val="40"/>
          <w:szCs w:val="40"/>
          <w:lang w:val="lt-LT"/>
        </w:rPr>
      </w:pPr>
      <w:r w:rsidRPr="0019586A">
        <w:rPr>
          <w:rFonts w:ascii="Times New Roman" w:hAnsi="Times New Roman" w:cs="Times New Roman"/>
          <w:sz w:val="40"/>
          <w:szCs w:val="40"/>
          <w:lang w:val="lt-LT"/>
        </w:rPr>
        <w:lastRenderedPageBreak/>
        <w:t>Hipotezių testavimas</w:t>
      </w:r>
    </w:p>
    <w:p w14:paraId="40F06EA1"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Buvo atliktas t-testas, siekiant patikrinti ar yra statistiškai reikšmingas skirtumas tarp dviejų klientų tipų – Member ir Normal – vidutinių pardavimų.</w:t>
      </w:r>
    </w:p>
    <w:p w14:paraId="62D0DA72"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Gauta p-reikšmė yra 0.0596, kuri yra didesnė nei pasirinktas reikšmingumo lygis (α = 0.05). Todėl nulinė hipotezė neatmetama.</w:t>
      </w:r>
    </w:p>
    <w:p w14:paraId="01593DF4"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Tai leidžia daryti išvadą, kad statistiškai reikšmingo skirtumo tarp šių dviejų klientų grupių vidutinių pardavimų nenustatyta.</w:t>
      </w:r>
    </w:p>
    <w:p w14:paraId="10C0831A" w14:textId="75F67F71" w:rsidR="0019586A" w:rsidRPr="0019586A" w:rsidRDefault="0019586A" w:rsidP="0095455E">
      <w:pPr>
        <w:pStyle w:val="Title"/>
        <w:numPr>
          <w:ilvl w:val="0"/>
          <w:numId w:val="3"/>
        </w:numPr>
        <w:ind w:left="0"/>
        <w:jc w:val="center"/>
        <w:rPr>
          <w:rFonts w:ascii="Times New Roman" w:hAnsi="Times New Roman" w:cs="Times New Roman"/>
          <w:sz w:val="40"/>
          <w:szCs w:val="40"/>
          <w:lang w:val="lt-LT"/>
        </w:rPr>
      </w:pPr>
      <w:r w:rsidRPr="0019586A">
        <w:rPr>
          <w:rFonts w:ascii="Times New Roman" w:hAnsi="Times New Roman" w:cs="Times New Roman"/>
          <w:sz w:val="40"/>
          <w:szCs w:val="40"/>
          <w:lang w:val="lt-LT"/>
        </w:rPr>
        <w:t>Regresinė analizė</w:t>
      </w:r>
    </w:p>
    <w:p w14:paraId="53723A02"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Regresinė analizė buvo atlikta siekiant prognozuoti pardavimų vertę naudojant du kintamuosius: Quantity (perkamas kiekis) ir Unit price (vieneto kaina).</w:t>
      </w:r>
    </w:p>
    <w:p w14:paraId="5178E58E" w14:textId="77777777" w:rsidR="0095455E" w:rsidRDefault="0019586A" w:rsidP="0095455E">
      <w:pPr>
        <w:spacing w:line="240" w:lineRule="auto"/>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Modelio rezultatai parodė:</w:t>
      </w:r>
    </w:p>
    <w:p w14:paraId="26B7BCDC" w14:textId="77777777" w:rsidR="0095455E" w:rsidRPr="0095455E" w:rsidRDefault="0019586A" w:rsidP="0095455E">
      <w:pPr>
        <w:pStyle w:val="ListParagraph"/>
        <w:numPr>
          <w:ilvl w:val="0"/>
          <w:numId w:val="5"/>
        </w:numPr>
        <w:spacing w:line="240" w:lineRule="auto"/>
        <w:jc w:val="both"/>
        <w:rPr>
          <w:rFonts w:ascii="Times New Roman" w:hAnsi="Times New Roman" w:cs="Times New Roman"/>
          <w:sz w:val="24"/>
          <w:szCs w:val="24"/>
          <w:lang w:val="lt-LT"/>
        </w:rPr>
      </w:pPr>
      <w:r w:rsidRPr="0095455E">
        <w:rPr>
          <w:rFonts w:ascii="Times New Roman" w:hAnsi="Times New Roman" w:cs="Times New Roman"/>
          <w:sz w:val="24"/>
          <w:szCs w:val="24"/>
          <w:lang w:val="lt-LT"/>
        </w:rPr>
        <w:t>R² ≈ 0.90,</w:t>
      </w:r>
    </w:p>
    <w:p w14:paraId="01298742" w14:textId="77777777" w:rsidR="0095455E" w:rsidRPr="0095455E" w:rsidRDefault="0019586A" w:rsidP="0095455E">
      <w:pPr>
        <w:pStyle w:val="ListParagraph"/>
        <w:numPr>
          <w:ilvl w:val="0"/>
          <w:numId w:val="5"/>
        </w:numPr>
        <w:spacing w:line="240" w:lineRule="auto"/>
        <w:jc w:val="both"/>
        <w:rPr>
          <w:rFonts w:ascii="Times New Roman" w:hAnsi="Times New Roman" w:cs="Times New Roman"/>
          <w:sz w:val="24"/>
          <w:szCs w:val="24"/>
          <w:lang w:val="lt-LT"/>
        </w:rPr>
      </w:pPr>
      <w:r w:rsidRPr="0095455E">
        <w:rPr>
          <w:rFonts w:ascii="Times New Roman" w:hAnsi="Times New Roman" w:cs="Times New Roman"/>
          <w:sz w:val="24"/>
          <w:szCs w:val="24"/>
          <w:lang w:val="lt-LT"/>
        </w:rPr>
        <w:t>MAE ≈ 58.5,</w:t>
      </w:r>
    </w:p>
    <w:p w14:paraId="409850B8" w14:textId="161D67F3" w:rsidR="0019586A" w:rsidRPr="0095455E" w:rsidRDefault="0019586A" w:rsidP="0095455E">
      <w:pPr>
        <w:pStyle w:val="ListParagraph"/>
        <w:numPr>
          <w:ilvl w:val="0"/>
          <w:numId w:val="5"/>
        </w:numPr>
        <w:spacing w:line="240" w:lineRule="auto"/>
        <w:jc w:val="both"/>
        <w:rPr>
          <w:rFonts w:ascii="Times New Roman" w:hAnsi="Times New Roman" w:cs="Times New Roman"/>
          <w:sz w:val="24"/>
          <w:szCs w:val="24"/>
          <w:lang w:val="lt-LT"/>
        </w:rPr>
      </w:pPr>
      <w:r w:rsidRPr="0095455E">
        <w:rPr>
          <w:rFonts w:ascii="Times New Roman" w:hAnsi="Times New Roman" w:cs="Times New Roman"/>
          <w:sz w:val="24"/>
          <w:szCs w:val="24"/>
          <w:lang w:val="lt-LT"/>
        </w:rPr>
        <w:t>RMSE ≈ 78.9.</w:t>
      </w:r>
    </w:p>
    <w:p w14:paraId="2E5D7797" w14:textId="77777777" w:rsidR="0019586A" w:rsidRPr="0019586A" w:rsidRDefault="0019586A" w:rsidP="0095455E">
      <w:pPr>
        <w:spacing w:line="240" w:lineRule="auto"/>
        <w:ind w:firstLine="36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Tai reiškia, kad regresinis modelis paaiškina apie 90 % pardavimų variacijos, todėl pasirinkti kintamieji yra labai geri pardavimų prognozuotojai.</w:t>
      </w:r>
    </w:p>
    <w:p w14:paraId="52C1A00A" w14:textId="77777777" w:rsidR="0019586A" w:rsidRPr="0019586A" w:rsidRDefault="0019586A" w:rsidP="0095455E">
      <w:pPr>
        <w:spacing w:line="240" w:lineRule="auto"/>
        <w:ind w:firstLine="36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Abu kintamieji yra statistiškai reikšmingi, o tai rodo, kad didėjant perkamam kiekiui arba vieneto kainai, bendras pardavimų dydis taip pat didėja.</w:t>
      </w:r>
    </w:p>
    <w:p w14:paraId="2785CE81" w14:textId="1796828A" w:rsidR="0019586A" w:rsidRPr="0019586A" w:rsidRDefault="0019586A" w:rsidP="0095455E">
      <w:pPr>
        <w:pStyle w:val="Title"/>
        <w:numPr>
          <w:ilvl w:val="0"/>
          <w:numId w:val="3"/>
        </w:numPr>
        <w:ind w:left="0"/>
        <w:jc w:val="center"/>
        <w:rPr>
          <w:rFonts w:ascii="Times New Roman" w:hAnsi="Times New Roman" w:cs="Times New Roman"/>
          <w:sz w:val="40"/>
          <w:szCs w:val="40"/>
          <w:lang w:val="lt-LT"/>
        </w:rPr>
      </w:pPr>
      <w:r w:rsidRPr="0019586A">
        <w:rPr>
          <w:rFonts w:ascii="Times New Roman" w:hAnsi="Times New Roman" w:cs="Times New Roman"/>
          <w:sz w:val="40"/>
          <w:szCs w:val="40"/>
          <w:lang w:val="lt-LT"/>
        </w:rPr>
        <w:t>Laiko eilučių analizė</w:t>
      </w:r>
    </w:p>
    <w:p w14:paraId="55CAB09F"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Laiko eilučių analizė buvo atlikta agreguojant pardavimus pagal datą. Grafikas parodė, kaip pardavimai kito laikui bėgant.</w:t>
      </w:r>
    </w:p>
    <w:p w14:paraId="5BE6A65E"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Pardavimų dinamika pasižymi gana dideliais svyravimais tarp skirtingų dienų. Tačiau naudojant 7 dienų slenkantį vidurkį galima pastebėti bendrą pardavimų tendenciją.</w:t>
      </w:r>
    </w:p>
    <w:p w14:paraId="3A893F7D"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Analizė neparodė aiškaus sezoniškumo, tačiau matomi trumpalaikiai pardavimų šuoliai ir svyravimai.</w:t>
      </w:r>
    </w:p>
    <w:p w14:paraId="4BC3B70F" w14:textId="2D106C80" w:rsidR="0019586A" w:rsidRPr="0019586A" w:rsidRDefault="0019586A" w:rsidP="00057A3F">
      <w:pPr>
        <w:pStyle w:val="Title"/>
        <w:numPr>
          <w:ilvl w:val="0"/>
          <w:numId w:val="3"/>
        </w:numPr>
        <w:tabs>
          <w:tab w:val="left" w:pos="142"/>
        </w:tabs>
        <w:jc w:val="center"/>
        <w:rPr>
          <w:rFonts w:ascii="Times New Roman" w:hAnsi="Times New Roman" w:cs="Times New Roman"/>
          <w:sz w:val="40"/>
          <w:szCs w:val="40"/>
          <w:lang w:val="lt-LT"/>
        </w:rPr>
      </w:pPr>
      <w:r w:rsidRPr="0019586A">
        <w:rPr>
          <w:rFonts w:ascii="Times New Roman" w:hAnsi="Times New Roman" w:cs="Times New Roman"/>
          <w:sz w:val="40"/>
          <w:szCs w:val="40"/>
          <w:lang w:val="lt-LT"/>
        </w:rPr>
        <w:t>Verslo įžvalgos ir rekomendacijos</w:t>
      </w:r>
    </w:p>
    <w:p w14:paraId="5DE70546"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Remiantis atlikta analize galima pateikti kelias praktines įžvalgas verslui.</w:t>
      </w:r>
    </w:p>
    <w:p w14:paraId="02C2426C"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Pirma, pardavimų vertę stipriai lemia perkamų prekių kiekis, todėl prekybos centrai galėtų skatinti klientus pirkti daugiau prekių vienu metu, pavyzdžiui, taikant nuolaidas perkant kelias prekes arba siūlant rinkinius.</w:t>
      </w:r>
    </w:p>
    <w:p w14:paraId="717AE39A" w14:textId="77777777"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Antra, kadangi skirtingi filialai rodo panašius pardavimų rezultatus, galima manyti, kad pardavimų strategijos tarp filialų yra panašiai efektyvios.</w:t>
      </w:r>
    </w:p>
    <w:p w14:paraId="7BB0733D" w14:textId="383176DF" w:rsidR="0019586A" w:rsidRPr="0019586A" w:rsidRDefault="0019586A" w:rsidP="0095455E">
      <w:pPr>
        <w:spacing w:line="240" w:lineRule="auto"/>
        <w:ind w:firstLine="720"/>
        <w:jc w:val="both"/>
        <w:rPr>
          <w:rFonts w:ascii="Times New Roman" w:hAnsi="Times New Roman" w:cs="Times New Roman"/>
          <w:sz w:val="24"/>
          <w:szCs w:val="24"/>
          <w:lang w:val="lt-LT"/>
        </w:rPr>
      </w:pPr>
      <w:r w:rsidRPr="0019586A">
        <w:rPr>
          <w:rFonts w:ascii="Times New Roman" w:hAnsi="Times New Roman" w:cs="Times New Roman"/>
          <w:sz w:val="24"/>
          <w:szCs w:val="24"/>
          <w:lang w:val="lt-LT"/>
        </w:rPr>
        <w:t>Trečia, mokėjimo metodų analizė rodo, kad svarbu išlaikyti įvairius mokėjimo būdus, nes klientai aktyviai naudojasi tiek elektroninėmis piniginėmis, tiek grynaisiais pinigais.</w:t>
      </w:r>
    </w:p>
    <w:sectPr w:rsidR="0019586A" w:rsidRPr="0019586A" w:rsidSect="00237A00">
      <w:pgSz w:w="11906" w:h="16838"/>
      <w:pgMar w:top="1701" w:right="567" w:bottom="1134" w:left="1701"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5694"/>
    <w:multiLevelType w:val="multilevel"/>
    <w:tmpl w:val="594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F7FB7"/>
    <w:multiLevelType w:val="hybridMultilevel"/>
    <w:tmpl w:val="A98E3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CE4863"/>
    <w:multiLevelType w:val="hybridMultilevel"/>
    <w:tmpl w:val="890C0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564CB2"/>
    <w:multiLevelType w:val="hybridMultilevel"/>
    <w:tmpl w:val="1F8CA0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D946B0"/>
    <w:multiLevelType w:val="multilevel"/>
    <w:tmpl w:val="26D8BA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764571043">
    <w:abstractNumId w:val="4"/>
  </w:num>
  <w:num w:numId="2" w16cid:durableId="1686126327">
    <w:abstractNumId w:val="0"/>
  </w:num>
  <w:num w:numId="3" w16cid:durableId="1357929176">
    <w:abstractNumId w:val="3"/>
  </w:num>
  <w:num w:numId="4" w16cid:durableId="3670830">
    <w:abstractNumId w:val="1"/>
  </w:num>
  <w:num w:numId="5" w16cid:durableId="1438523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86A"/>
    <w:rsid w:val="00057A3F"/>
    <w:rsid w:val="0019586A"/>
    <w:rsid w:val="001E0A6A"/>
    <w:rsid w:val="00237A00"/>
    <w:rsid w:val="003D6F70"/>
    <w:rsid w:val="0095455E"/>
    <w:rsid w:val="00AC0D7C"/>
    <w:rsid w:val="00B6138E"/>
    <w:rsid w:val="00D17D7A"/>
  </w:rsids>
  <m:mathPr>
    <m:mathFont m:val="Cambria Math"/>
    <m:brkBin m:val="before"/>
    <m:brkBinSub m:val="--"/>
    <m:smallFrac m:val="0"/>
    <m:dispDef/>
    <m:lMargin m:val="0"/>
    <m:rMargin m:val="0"/>
    <m:defJc m:val="centerGroup"/>
    <m:wrapIndent m:val="1440"/>
    <m:intLim m:val="subSup"/>
    <m:naryLim m:val="undOvr"/>
  </m:mathPr>
  <w:themeFontLang w:val="lt-L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79C47"/>
  <w15:chartTrackingRefBased/>
  <w15:docId w15:val="{D72E386E-5E75-4F79-878A-2BCF62E40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86A"/>
    <w:rPr>
      <w:rFonts w:eastAsiaTheme="majorEastAsia" w:cstheme="majorBidi"/>
      <w:color w:val="272727" w:themeColor="text1" w:themeTint="D8"/>
    </w:rPr>
  </w:style>
  <w:style w:type="paragraph" w:styleId="Title">
    <w:name w:val="Title"/>
    <w:basedOn w:val="Normal"/>
    <w:next w:val="Normal"/>
    <w:link w:val="TitleChar"/>
    <w:uiPriority w:val="10"/>
    <w:qFormat/>
    <w:rsid w:val="00195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86A"/>
    <w:pPr>
      <w:spacing w:before="160"/>
      <w:jc w:val="center"/>
    </w:pPr>
    <w:rPr>
      <w:i/>
      <w:iCs/>
      <w:color w:val="404040" w:themeColor="text1" w:themeTint="BF"/>
    </w:rPr>
  </w:style>
  <w:style w:type="character" w:customStyle="1" w:styleId="QuoteChar">
    <w:name w:val="Quote Char"/>
    <w:basedOn w:val="DefaultParagraphFont"/>
    <w:link w:val="Quote"/>
    <w:uiPriority w:val="29"/>
    <w:rsid w:val="0019586A"/>
    <w:rPr>
      <w:i/>
      <w:iCs/>
      <w:color w:val="404040" w:themeColor="text1" w:themeTint="BF"/>
    </w:rPr>
  </w:style>
  <w:style w:type="paragraph" w:styleId="ListParagraph">
    <w:name w:val="List Paragraph"/>
    <w:basedOn w:val="Normal"/>
    <w:uiPriority w:val="34"/>
    <w:qFormat/>
    <w:rsid w:val="0019586A"/>
    <w:pPr>
      <w:ind w:left="720"/>
      <w:contextualSpacing/>
    </w:pPr>
  </w:style>
  <w:style w:type="character" w:styleId="IntenseEmphasis">
    <w:name w:val="Intense Emphasis"/>
    <w:basedOn w:val="DefaultParagraphFont"/>
    <w:uiPriority w:val="21"/>
    <w:qFormat/>
    <w:rsid w:val="0019586A"/>
    <w:rPr>
      <w:i/>
      <w:iCs/>
      <w:color w:val="0F4761" w:themeColor="accent1" w:themeShade="BF"/>
    </w:rPr>
  </w:style>
  <w:style w:type="paragraph" w:styleId="IntenseQuote">
    <w:name w:val="Intense Quote"/>
    <w:basedOn w:val="Normal"/>
    <w:next w:val="Normal"/>
    <w:link w:val="IntenseQuoteChar"/>
    <w:uiPriority w:val="30"/>
    <w:qFormat/>
    <w:rsid w:val="00195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86A"/>
    <w:rPr>
      <w:i/>
      <w:iCs/>
      <w:color w:val="0F4761" w:themeColor="accent1" w:themeShade="BF"/>
    </w:rPr>
  </w:style>
  <w:style w:type="character" w:styleId="IntenseReference">
    <w:name w:val="Intense Reference"/>
    <w:basedOn w:val="DefaultParagraphFont"/>
    <w:uiPriority w:val="32"/>
    <w:qFormat/>
    <w:rsid w:val="00195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Erikas Stasytis</dc:creator>
  <cp:keywords/>
  <dc:description/>
  <cp:lastModifiedBy>Erikas Stasytis</cp:lastModifiedBy>
  <cp:revision>2</cp:revision>
  <dcterms:created xsi:type="dcterms:W3CDTF">2026-03-06T08:01:00Z</dcterms:created>
  <dcterms:modified xsi:type="dcterms:W3CDTF">2026-03-06T08:25:00Z</dcterms:modified>
</cp:coreProperties>
</file>