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707EEF" w14:textId="77777777" w:rsidR="00EE7953" w:rsidRDefault="00714560" w:rsidP="00714560">
      <w:pPr>
        <w:pStyle w:val="articletitle"/>
        <w:rPr>
          <w:rFonts w:eastAsia="Arial Unicode MS"/>
        </w:rPr>
      </w:pPr>
      <w:r>
        <w:rPr>
          <w:rFonts w:eastAsia="Arial Unicode MS"/>
        </w:rPr>
        <w:t xml:space="preserve"> </w:t>
      </w:r>
      <w:r w:rsidR="00EE7953">
        <w:rPr>
          <w:rFonts w:eastAsia="Arial Unicode MS"/>
        </w:rPr>
        <w:t xml:space="preserve"> Appendix</w:t>
      </w:r>
    </w:p>
    <w:p w14:paraId="44C25B02" w14:textId="77777777" w:rsidR="00EE7953" w:rsidRDefault="00EE7953">
      <w:pPr>
        <w:pStyle w:val="subsect1-title"/>
        <w:rPr>
          <w:rFonts w:eastAsia="Arial Unicode MS"/>
        </w:rPr>
      </w:pPr>
      <w:r>
        <w:rPr>
          <w:rFonts w:eastAsia="Arial Unicode MS"/>
        </w:rPr>
        <w:t xml:space="preserve"> Leaf Logical Forms corpus</w:t>
      </w:r>
    </w:p>
    <w:p w14:paraId="6F2A40CD"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We developed annotation guidelines for the LLF corpus using a simplification of entities and relations from the preceding LCT corpus [</w:t>
      </w:r>
      <w:r w:rsidRPr="00387807">
        <w:rPr>
          <w:rFonts w:ascii="Arial Unicode MS" w:eastAsia="Arial Unicode MS" w:hAnsi="Arial Unicode MS" w:cs="Arial Unicode MS"/>
        </w:rPr>
        <w:t>40</w:t>
      </w:r>
      <w:r>
        <w:rPr>
          <w:rFonts w:ascii="Arial Unicode MS" w:eastAsia="Arial Unicode MS" w:hAnsi="Arial Unicode MS" w:cs="Arial Unicode MS"/>
        </w:rPr>
        <w:t xml:space="preserve">]. Generally speaking, LCT </w:t>
      </w:r>
      <w:r>
        <w:rPr>
          <w:rFonts w:ascii="Arial Unicode MS" w:eastAsia="Arial Unicode MS" w:hAnsi="Arial Unicode MS" w:cs="Arial Unicode MS"/>
          <w:i/>
          <w:iCs/>
        </w:rPr>
        <w:t>entities</w:t>
      </w:r>
      <w:r>
        <w:rPr>
          <w:rFonts w:ascii="Arial Unicode MS" w:eastAsia="Arial Unicode MS" w:hAnsi="Arial Unicode MS" w:cs="Arial Unicode MS"/>
        </w:rPr>
        <w:t xml:space="preserve"> correspond to logical form </w:t>
      </w:r>
      <w:r>
        <w:rPr>
          <w:rFonts w:ascii="Arial Unicode MS" w:eastAsia="Arial Unicode MS" w:hAnsi="Arial Unicode MS" w:cs="Arial Unicode MS"/>
          <w:i/>
          <w:iCs/>
        </w:rPr>
        <w:t>functions</w:t>
      </w:r>
      <w:r>
        <w:rPr>
          <w:rFonts w:ascii="Arial Unicode MS" w:eastAsia="Arial Unicode MS" w:hAnsi="Arial Unicode MS" w:cs="Arial Unicode MS"/>
        </w:rPr>
        <w:t xml:space="preserve">, while LCT </w:t>
      </w:r>
      <w:r>
        <w:rPr>
          <w:rFonts w:ascii="Arial Unicode MS" w:eastAsia="Arial Unicode MS" w:hAnsi="Arial Unicode MS" w:cs="Arial Unicode MS"/>
          <w:i/>
          <w:iCs/>
        </w:rPr>
        <w:t>relations</w:t>
      </w:r>
      <w:r>
        <w:rPr>
          <w:rFonts w:ascii="Arial Unicode MS" w:eastAsia="Arial Unicode MS" w:hAnsi="Arial Unicode MS" w:cs="Arial Unicode MS"/>
        </w:rPr>
        <w:t xml:space="preserve"> correspond to logical form </w:t>
      </w:r>
      <w:r>
        <w:rPr>
          <w:rFonts w:ascii="Arial Unicode MS" w:eastAsia="Arial Unicode MS" w:hAnsi="Arial Unicode MS" w:cs="Arial Unicode MS"/>
          <w:i/>
          <w:iCs/>
        </w:rPr>
        <w:t>predicates</w:t>
      </w:r>
      <w:r>
        <w:rPr>
          <w:rFonts w:ascii="Arial Unicode MS" w:eastAsia="Arial Unicode MS" w:hAnsi="Arial Unicode MS" w:cs="Arial Unicode MS"/>
        </w:rPr>
        <w:t xml:space="preserve">. For example, the LCT </w:t>
      </w:r>
      <w:r>
        <w:rPr>
          <w:rFonts w:ascii="Arial Unicode MS" w:eastAsia="Arial Unicode MS" w:hAnsi="Arial Unicode MS" w:cs="Arial Unicode MS"/>
          <w:i/>
          <w:iCs/>
        </w:rPr>
        <w:t>Condition</w:t>
      </w:r>
      <w:r>
        <w:rPr>
          <w:rFonts w:ascii="Arial Unicode MS" w:eastAsia="Arial Unicode MS" w:hAnsi="Arial Unicode MS" w:cs="Arial Unicode MS"/>
        </w:rPr>
        <w:t xml:space="preserve"> entity has a corresponding </w:t>
      </w:r>
      <w:proofErr w:type="spellStart"/>
      <w:r>
        <w:rPr>
          <w:rFonts w:ascii="Arial Unicode MS" w:eastAsia="Arial Unicode MS" w:hAnsi="Arial Unicode MS" w:cs="Arial Unicode MS"/>
          <w:i/>
          <w:iCs/>
        </w:rPr>
        <w:t>cond</w:t>
      </w:r>
      <w:proofErr w:type="spellEnd"/>
      <w:r>
        <w:rPr>
          <w:rFonts w:ascii="Arial Unicode MS" w:eastAsia="Arial Unicode MS" w:hAnsi="Arial Unicode MS" w:cs="Arial Unicode MS"/>
          <w:i/>
          <w:iCs/>
        </w:rPr>
        <w:t>()</w:t>
      </w:r>
      <w:r>
        <w:rPr>
          <w:rFonts w:ascii="Arial Unicode MS" w:eastAsia="Arial Unicode MS" w:hAnsi="Arial Unicode MS" w:cs="Arial Unicode MS"/>
        </w:rPr>
        <w:t xml:space="preserve"> function, while the </w:t>
      </w:r>
      <w:r>
        <w:rPr>
          <w:rFonts w:ascii="Arial Unicode MS" w:eastAsia="Arial Unicode MS" w:hAnsi="Arial Unicode MS" w:cs="Arial Unicode MS"/>
          <w:i/>
          <w:iCs/>
        </w:rPr>
        <w:t>Num-Filter</w:t>
      </w:r>
      <w:r>
        <w:rPr>
          <w:rFonts w:ascii="Arial Unicode MS" w:eastAsia="Arial Unicode MS" w:hAnsi="Arial Unicode MS" w:cs="Arial Unicode MS"/>
        </w:rPr>
        <w:t xml:space="preserve"> relation has a </w:t>
      </w:r>
      <w:proofErr w:type="spellStart"/>
      <w:r>
        <w:rPr>
          <w:rFonts w:ascii="Arial Unicode MS" w:eastAsia="Arial Unicode MS" w:hAnsi="Arial Unicode MS" w:cs="Arial Unicode MS"/>
        </w:rPr>
        <w:t>corresponding.</w:t>
      </w:r>
      <w:r>
        <w:rPr>
          <w:rFonts w:ascii="Arial Unicode MS" w:eastAsia="Arial Unicode MS" w:hAnsi="Arial Unicode MS" w:cs="Arial Unicode MS"/>
          <w:i/>
          <w:iCs/>
        </w:rPr>
        <w:t>num_filter</w:t>
      </w:r>
      <w:proofErr w:type="spellEnd"/>
      <w:r>
        <w:rPr>
          <w:rFonts w:ascii="Arial Unicode MS" w:eastAsia="Arial Unicode MS" w:hAnsi="Arial Unicode MS" w:cs="Arial Unicode MS"/>
          <w:i/>
          <w:iCs/>
        </w:rPr>
        <w:t>()</w:t>
      </w:r>
      <w:r>
        <w:rPr>
          <w:rFonts w:ascii="Arial Unicode MS" w:eastAsia="Arial Unicode MS" w:hAnsi="Arial Unicode MS" w:cs="Arial Unicode MS"/>
        </w:rPr>
        <w:t xml:space="preserve"> predicate. The LLF corpus contains 44 total functions and 20 total predicates. The LLF annotation guidelines can be found at </w:t>
      </w:r>
      <w:r w:rsidRPr="00387807">
        <w:rPr>
          <w:rFonts w:ascii="Arial Unicode MS" w:eastAsia="Arial Unicode MS" w:hAnsi="Arial Unicode MS" w:cs="Arial Unicode MS"/>
        </w:rPr>
        <w:t>https://github.com/ndobb/clinical-trials-seq2seq-annotation/wiki</w:t>
      </w:r>
      <w:r>
        <w:rPr>
          <w:rFonts w:ascii="Arial Unicode MS" w:eastAsia="Arial Unicode MS" w:hAnsi="Arial Unicode MS" w:cs="Arial Unicode MS"/>
        </w:rPr>
        <w:t xml:space="preserve">. </w:t>
      </w:r>
    </w:p>
    <w:p w14:paraId="4304F9F3"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 xml:space="preserve">We also hypothesized that the performance of predicting logical forms could likely be improved by replacing </w:t>
      </w:r>
      <w:r>
        <w:rPr>
          <w:rFonts w:ascii="Arial Unicode MS" w:eastAsia="Arial Unicode MS" w:hAnsi="Arial Unicode MS" w:cs="Arial Unicode MS" w:hint="eastAsia"/>
        </w:rPr>
        <w:t>”</w:t>
      </w:r>
      <w:r>
        <w:rPr>
          <w:rFonts w:ascii="Arial Unicode MS" w:eastAsia="Arial Unicode MS" w:hAnsi="Arial Unicode MS" w:cs="Arial Unicode MS"/>
        </w:rPr>
        <w:t>raw</w:t>
      </w:r>
      <w:r>
        <w:rPr>
          <w:rFonts w:ascii="Arial Unicode MS" w:eastAsia="Arial Unicode MS" w:hAnsi="Arial Unicode MS" w:cs="Arial Unicode MS" w:hint="eastAsia"/>
        </w:rPr>
        <w:t>”</w:t>
      </w:r>
      <w:r>
        <w:rPr>
          <w:rFonts w:ascii="Arial Unicode MS" w:eastAsia="Arial Unicode MS" w:hAnsi="Arial Unicode MS" w:cs="Arial Unicode MS"/>
        </w:rPr>
        <w:t xml:space="preserve"> tokens in each eligibility criteria with corresponding logical form names derived from named entities from the LCT corpus. For example, given the eligibility criterion: </w:t>
      </w:r>
    </w:p>
    <w:p w14:paraId="30F5B452"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hint="eastAsia"/>
        </w:rPr>
        <w:t>”</w:t>
      </w:r>
      <w:r>
        <w:rPr>
          <w:rFonts w:ascii="Arial Unicode MS" w:eastAsia="Arial Unicode MS" w:hAnsi="Arial Unicode MS" w:cs="Arial Unicode MS"/>
          <w:i/>
          <w:iCs/>
        </w:rPr>
        <w:t>Diabetics who smoke</w:t>
      </w:r>
      <w:r>
        <w:rPr>
          <w:rFonts w:ascii="Arial Unicode MS" w:eastAsia="Arial Unicode MS" w:hAnsi="Arial Unicode MS" w:cs="Arial Unicode MS" w:hint="eastAsia"/>
        </w:rPr>
        <w:t>”</w:t>
      </w:r>
      <w:r>
        <w:rPr>
          <w:rFonts w:ascii="Arial Unicode MS" w:eastAsia="Arial Unicode MS" w:hAnsi="Arial Unicode MS" w:cs="Arial Unicode MS"/>
        </w:rPr>
        <w:t xml:space="preserve">, </w:t>
      </w:r>
    </w:p>
    <w:p w14:paraId="5D138DD8"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 xml:space="preserve">we would replace the named entities for </w:t>
      </w:r>
      <w:r>
        <w:rPr>
          <w:rFonts w:ascii="Arial Unicode MS" w:eastAsia="Arial Unicode MS" w:hAnsi="Arial Unicode MS" w:cs="Arial Unicode MS" w:hint="eastAsia"/>
        </w:rPr>
        <w:t>”</w:t>
      </w:r>
      <w:r>
        <w:rPr>
          <w:rFonts w:ascii="Arial Unicode MS" w:eastAsia="Arial Unicode MS" w:hAnsi="Arial Unicode MS" w:cs="Arial Unicode MS"/>
        </w:rPr>
        <w:t>Diabetics</w:t>
      </w:r>
      <w:r>
        <w:rPr>
          <w:rFonts w:ascii="Arial Unicode MS" w:eastAsia="Arial Unicode MS" w:hAnsi="Arial Unicode MS" w:cs="Arial Unicode MS" w:hint="eastAsia"/>
        </w:rPr>
        <w:t>”</w:t>
      </w:r>
      <w:r>
        <w:rPr>
          <w:rFonts w:ascii="Arial Unicode MS" w:eastAsia="Arial Unicode MS" w:hAnsi="Arial Unicode MS" w:cs="Arial Unicode MS"/>
        </w:rPr>
        <w:t xml:space="preserve"> and </w:t>
      </w:r>
      <w:r>
        <w:rPr>
          <w:rFonts w:ascii="Arial Unicode MS" w:eastAsia="Arial Unicode MS" w:hAnsi="Arial Unicode MS" w:cs="Arial Unicode MS" w:hint="eastAsia"/>
        </w:rPr>
        <w:t>”</w:t>
      </w:r>
      <w:r>
        <w:rPr>
          <w:rFonts w:ascii="Arial Unicode MS" w:eastAsia="Arial Unicode MS" w:hAnsi="Arial Unicode MS" w:cs="Arial Unicode MS"/>
        </w:rPr>
        <w:t>smoke</w:t>
      </w:r>
      <w:r>
        <w:rPr>
          <w:rFonts w:ascii="Arial Unicode MS" w:eastAsia="Arial Unicode MS" w:hAnsi="Arial Unicode MS" w:cs="Arial Unicode MS" w:hint="eastAsia"/>
        </w:rPr>
        <w:t>”</w:t>
      </w:r>
      <w:r>
        <w:rPr>
          <w:rFonts w:ascii="Arial Unicode MS" w:eastAsia="Arial Unicode MS" w:hAnsi="Arial Unicode MS" w:cs="Arial Unicode MS"/>
        </w:rPr>
        <w:t xml:space="preserve">: </w:t>
      </w:r>
    </w:p>
    <w:p w14:paraId="5235926D" w14:textId="77777777" w:rsidR="00EE7953" w:rsidRDefault="00EE7953">
      <w:pPr>
        <w:pStyle w:val="Normal1"/>
        <w:rPr>
          <w:rFonts w:ascii="Arial Unicode MS" w:eastAsia="Arial Unicode MS" w:hAnsi="Arial Unicode MS" w:cs="Arial Unicode MS"/>
        </w:rPr>
      </w:pPr>
      <w:proofErr w:type="spellStart"/>
      <w:r>
        <w:rPr>
          <w:rFonts w:ascii="Arial Unicode MS" w:eastAsia="Arial Unicode MS" w:hAnsi="Arial Unicode MS" w:cs="Arial Unicode MS"/>
          <w:i/>
          <w:iCs/>
        </w:rPr>
        <w:t>cond</w:t>
      </w:r>
      <w:proofErr w:type="spellEnd"/>
      <w:r>
        <w:rPr>
          <w:rFonts w:ascii="Arial Unicode MS" w:eastAsia="Arial Unicode MS" w:hAnsi="Arial Unicode MS" w:cs="Arial Unicode MS"/>
          <w:i/>
          <w:iCs/>
        </w:rPr>
        <w:t>(</w:t>
      </w:r>
      <w:r>
        <w:rPr>
          <w:rFonts w:ascii="Arial Unicode MS" w:eastAsia="Arial Unicode MS" w:hAnsi="Arial Unicode MS" w:cs="Arial Unicode MS" w:hint="eastAsia"/>
          <w:i/>
          <w:iCs/>
        </w:rPr>
        <w:t>”</w:t>
      </w:r>
      <w:r>
        <w:rPr>
          <w:rFonts w:ascii="Arial Unicode MS" w:eastAsia="Arial Unicode MS" w:hAnsi="Arial Unicode MS" w:cs="Arial Unicode MS"/>
          <w:i/>
          <w:iCs/>
        </w:rPr>
        <w:t>Diabetics</w:t>
      </w:r>
      <w:r>
        <w:rPr>
          <w:rFonts w:ascii="Arial Unicode MS" w:eastAsia="Arial Unicode MS" w:hAnsi="Arial Unicode MS" w:cs="Arial Unicode MS" w:hint="eastAsia"/>
          <w:i/>
          <w:iCs/>
        </w:rPr>
        <w:t>”</w:t>
      </w:r>
      <w:r>
        <w:rPr>
          <w:rFonts w:ascii="Arial Unicode MS" w:eastAsia="Arial Unicode MS" w:hAnsi="Arial Unicode MS" w:cs="Arial Unicode MS"/>
          <w:i/>
          <w:iCs/>
        </w:rPr>
        <w:t xml:space="preserve">) who </w:t>
      </w:r>
      <w:proofErr w:type="spellStart"/>
      <w:r>
        <w:rPr>
          <w:rFonts w:ascii="Arial Unicode MS" w:eastAsia="Arial Unicode MS" w:hAnsi="Arial Unicode MS" w:cs="Arial Unicode MS"/>
          <w:i/>
          <w:iCs/>
        </w:rPr>
        <w:t>obs</w:t>
      </w:r>
      <w:proofErr w:type="spellEnd"/>
      <w:r>
        <w:rPr>
          <w:rFonts w:ascii="Arial Unicode MS" w:eastAsia="Arial Unicode MS" w:hAnsi="Arial Unicode MS" w:cs="Arial Unicode MS"/>
          <w:i/>
          <w:iCs/>
        </w:rPr>
        <w:t>(</w:t>
      </w:r>
      <w:r>
        <w:rPr>
          <w:rFonts w:ascii="Arial Unicode MS" w:eastAsia="Arial Unicode MS" w:hAnsi="Arial Unicode MS" w:cs="Arial Unicode MS" w:hint="eastAsia"/>
          <w:i/>
          <w:iCs/>
        </w:rPr>
        <w:t>”</w:t>
      </w:r>
      <w:r>
        <w:rPr>
          <w:rFonts w:ascii="Arial Unicode MS" w:eastAsia="Arial Unicode MS" w:hAnsi="Arial Unicode MS" w:cs="Arial Unicode MS"/>
          <w:i/>
          <w:iCs/>
        </w:rPr>
        <w:t>smoke</w:t>
      </w:r>
      <w:r>
        <w:rPr>
          <w:rFonts w:ascii="Arial Unicode MS" w:eastAsia="Arial Unicode MS" w:hAnsi="Arial Unicode MS" w:cs="Arial Unicode MS" w:hint="eastAsia"/>
          <w:i/>
          <w:iCs/>
        </w:rPr>
        <w:t>”</w:t>
      </w:r>
      <w:r>
        <w:rPr>
          <w:rFonts w:ascii="Arial Unicode MS" w:eastAsia="Arial Unicode MS" w:hAnsi="Arial Unicode MS" w:cs="Arial Unicode MS"/>
          <w:i/>
          <w:iCs/>
        </w:rPr>
        <w:t>)</w:t>
      </w:r>
      <w:r>
        <w:rPr>
          <w:rFonts w:ascii="Arial Unicode MS" w:eastAsia="Arial Unicode MS" w:hAnsi="Arial Unicode MS" w:cs="Arial Unicode MS"/>
        </w:rPr>
        <w:t xml:space="preserve"> </w:t>
      </w:r>
    </w:p>
    <w:p w14:paraId="6C3F3C35"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 xml:space="preserve">using </w:t>
      </w:r>
      <w:r>
        <w:rPr>
          <w:rFonts w:ascii="Arial Unicode MS" w:eastAsia="Arial Unicode MS" w:hAnsi="Arial Unicode MS" w:cs="Arial Unicode MS"/>
          <w:i/>
          <w:iCs/>
        </w:rPr>
        <w:t>Condition</w:t>
      </w:r>
      <w:r>
        <w:rPr>
          <w:rFonts w:ascii="Arial Unicode MS" w:eastAsia="Arial Unicode MS" w:hAnsi="Arial Unicode MS" w:cs="Arial Unicode MS"/>
        </w:rPr>
        <w:t xml:space="preserve"> and </w:t>
      </w:r>
      <w:r>
        <w:rPr>
          <w:rFonts w:ascii="Arial Unicode MS" w:eastAsia="Arial Unicode MS" w:hAnsi="Arial Unicode MS" w:cs="Arial Unicode MS"/>
          <w:i/>
          <w:iCs/>
        </w:rPr>
        <w:t>Observation</w:t>
      </w:r>
      <w:r>
        <w:rPr>
          <w:rFonts w:ascii="Arial Unicode MS" w:eastAsia="Arial Unicode MS" w:hAnsi="Arial Unicode MS" w:cs="Arial Unicode MS"/>
        </w:rPr>
        <w:t xml:space="preserve"> annotations in the LCT corpus. We call this substituted text an </w:t>
      </w:r>
      <w:r>
        <w:rPr>
          <w:rFonts w:ascii="Arial Unicode MS" w:eastAsia="Arial Unicode MS" w:hAnsi="Arial Unicode MS" w:cs="Arial Unicode MS" w:hint="eastAsia"/>
        </w:rPr>
        <w:t>”</w:t>
      </w:r>
      <w:r>
        <w:rPr>
          <w:rFonts w:ascii="Arial Unicode MS" w:eastAsia="Arial Unicode MS" w:hAnsi="Arial Unicode MS" w:cs="Arial Unicode MS"/>
        </w:rPr>
        <w:t>augmented</w:t>
      </w:r>
      <w:r>
        <w:rPr>
          <w:rFonts w:ascii="Arial Unicode MS" w:eastAsia="Arial Unicode MS" w:hAnsi="Arial Unicode MS" w:cs="Arial Unicode MS" w:hint="eastAsia"/>
        </w:rPr>
        <w:t>”</w:t>
      </w:r>
      <w:r>
        <w:rPr>
          <w:rFonts w:ascii="Arial Unicode MS" w:eastAsia="Arial Unicode MS" w:hAnsi="Arial Unicode MS" w:cs="Arial Unicode MS"/>
        </w:rPr>
        <w:t xml:space="preserve"> eligibility criteria. The augmented criteria syntax reshapes named entities to more closely resemble expected logical form syntax and allows us to leverage the LCT corpus for logical form transformation. </w:t>
      </w:r>
    </w:p>
    <w:p w14:paraId="50F5AA93"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 xml:space="preserve">Creation and annotation of the LLF corpus proceeded in the following steps: </w:t>
      </w:r>
    </w:p>
    <w:p w14:paraId="7B9DA3D6" w14:textId="77777777" w:rsidR="00EE7953" w:rsidRDefault="00EE7953">
      <w:pPr>
        <w:pStyle w:val="NormalWeb"/>
        <w:numPr>
          <w:ilvl w:val="0"/>
          <w:numId w:val="5"/>
        </w:numPr>
        <w:rPr>
          <w:rFonts w:ascii="Arial Unicode MS" w:eastAsia="Arial Unicode MS" w:hAnsi="Arial Unicode MS" w:cs="Arial Unicode MS"/>
        </w:rPr>
      </w:pPr>
      <w:r>
        <w:rPr>
          <w:rFonts w:ascii="Arial Unicode MS" w:eastAsia="Arial Unicode MS" w:hAnsi="Arial Unicode MS" w:cs="Arial Unicode MS"/>
        </w:rPr>
        <w:t xml:space="preserve">We randomly chose 2,000 lines of eligibility criteria from the LCT corpus, limited to only criteria which included at least one named entity and which were not annotated as hypothetical criteria. 30% of the 2,000 lines (600) </w:t>
      </w:r>
      <w:r>
        <w:rPr>
          <w:rFonts w:ascii="Arial Unicode MS" w:eastAsia="Arial Unicode MS" w:hAnsi="Arial Unicode MS" w:cs="Arial Unicode MS"/>
        </w:rPr>
        <w:lastRenderedPageBreak/>
        <w:t xml:space="preserve">were randomly chosen among lines with particularly complex entity and relation types, such as </w:t>
      </w:r>
      <w:r>
        <w:rPr>
          <w:rFonts w:ascii="Arial Unicode MS" w:eastAsia="Arial Unicode MS" w:hAnsi="Arial Unicode MS" w:cs="Arial Unicode MS"/>
          <w:i/>
          <w:iCs/>
        </w:rPr>
        <w:t>If-Then</w:t>
      </w:r>
      <w:r>
        <w:rPr>
          <w:rFonts w:ascii="Arial Unicode MS" w:eastAsia="Arial Unicode MS" w:hAnsi="Arial Unicode MS" w:cs="Arial Unicode MS"/>
        </w:rPr>
        <w:t xml:space="preserve">, </w:t>
      </w:r>
      <w:r>
        <w:rPr>
          <w:rFonts w:ascii="Arial Unicode MS" w:eastAsia="Arial Unicode MS" w:hAnsi="Arial Unicode MS" w:cs="Arial Unicode MS"/>
          <w:i/>
          <w:iCs/>
        </w:rPr>
        <w:t>Before-After</w:t>
      </w:r>
      <w:r>
        <w:rPr>
          <w:rFonts w:ascii="Arial Unicode MS" w:eastAsia="Arial Unicode MS" w:hAnsi="Arial Unicode MS" w:cs="Arial Unicode MS"/>
        </w:rPr>
        <w:t xml:space="preserve">, </w:t>
      </w:r>
      <w:r>
        <w:rPr>
          <w:rFonts w:ascii="Arial Unicode MS" w:eastAsia="Arial Unicode MS" w:hAnsi="Arial Unicode MS" w:cs="Arial Unicode MS"/>
          <w:i/>
          <w:iCs/>
        </w:rPr>
        <w:t>Contraindication</w:t>
      </w:r>
      <w:r>
        <w:rPr>
          <w:rFonts w:ascii="Arial Unicode MS" w:eastAsia="Arial Unicode MS" w:hAnsi="Arial Unicode MS" w:cs="Arial Unicode MS"/>
        </w:rPr>
        <w:t xml:space="preserve">, etc. </w:t>
      </w:r>
    </w:p>
    <w:p w14:paraId="69A35229" w14:textId="77777777" w:rsidR="00EE7953" w:rsidRDefault="00EE7953">
      <w:pPr>
        <w:pStyle w:val="NormalWeb"/>
        <w:numPr>
          <w:ilvl w:val="0"/>
          <w:numId w:val="5"/>
        </w:numPr>
        <w:rPr>
          <w:rFonts w:ascii="Arial Unicode MS" w:eastAsia="Arial Unicode MS" w:hAnsi="Arial Unicode MS" w:cs="Arial Unicode MS"/>
        </w:rPr>
      </w:pPr>
      <w:r>
        <w:rPr>
          <w:rFonts w:ascii="Arial Unicode MS" w:eastAsia="Arial Unicode MS" w:hAnsi="Arial Unicode MS" w:cs="Arial Unicode MS"/>
        </w:rPr>
        <w:t xml:space="preserve">Each annotation file consists of the text </w:t>
      </w:r>
      <w:r>
        <w:rPr>
          <w:rFonts w:ascii="Arial Unicode MS" w:eastAsia="Arial Unicode MS" w:hAnsi="Arial Unicode MS" w:cs="Arial Unicode MS" w:hint="eastAsia"/>
        </w:rPr>
        <w:t>”</w:t>
      </w:r>
      <w:r>
        <w:rPr>
          <w:rFonts w:ascii="Arial Unicode MS" w:eastAsia="Arial Unicode MS" w:hAnsi="Arial Unicode MS" w:cs="Arial Unicode MS"/>
        </w:rPr>
        <w:t>EXC</w:t>
      </w:r>
      <w:r>
        <w:rPr>
          <w:rFonts w:ascii="Arial Unicode MS" w:eastAsia="Arial Unicode MS" w:hAnsi="Arial Unicode MS" w:cs="Arial Unicode MS" w:hint="eastAsia"/>
        </w:rPr>
        <w:t>”</w:t>
      </w:r>
      <w:r>
        <w:rPr>
          <w:rFonts w:ascii="Arial Unicode MS" w:eastAsia="Arial Unicode MS" w:hAnsi="Arial Unicode MS" w:cs="Arial Unicode MS"/>
        </w:rPr>
        <w:t xml:space="preserve"> if exclusion or </w:t>
      </w:r>
      <w:r>
        <w:rPr>
          <w:rFonts w:ascii="Arial Unicode MS" w:eastAsia="Arial Unicode MS" w:hAnsi="Arial Unicode MS" w:cs="Arial Unicode MS" w:hint="eastAsia"/>
        </w:rPr>
        <w:t>”</w:t>
      </w:r>
      <w:r>
        <w:rPr>
          <w:rFonts w:ascii="Arial Unicode MS" w:eastAsia="Arial Unicode MS" w:hAnsi="Arial Unicode MS" w:cs="Arial Unicode MS"/>
        </w:rPr>
        <w:t>INC</w:t>
      </w:r>
      <w:r>
        <w:rPr>
          <w:rFonts w:ascii="Arial Unicode MS" w:eastAsia="Arial Unicode MS" w:hAnsi="Arial Unicode MS" w:cs="Arial Unicode MS" w:hint="eastAsia"/>
        </w:rPr>
        <w:t>”</w:t>
      </w:r>
      <w:r>
        <w:rPr>
          <w:rFonts w:ascii="Arial Unicode MS" w:eastAsia="Arial Unicode MS" w:hAnsi="Arial Unicode MS" w:cs="Arial Unicode MS"/>
        </w:rPr>
        <w:t xml:space="preserve"> if inclusion (line 1), an original </w:t>
      </w:r>
      <w:r>
        <w:rPr>
          <w:rFonts w:ascii="Arial Unicode MS" w:eastAsia="Arial Unicode MS" w:hAnsi="Arial Unicode MS" w:cs="Arial Unicode MS" w:hint="eastAsia"/>
        </w:rPr>
        <w:t>”</w:t>
      </w:r>
      <w:r>
        <w:rPr>
          <w:rFonts w:ascii="Arial Unicode MS" w:eastAsia="Arial Unicode MS" w:hAnsi="Arial Unicode MS" w:cs="Arial Unicode MS"/>
        </w:rPr>
        <w:t>raw</w:t>
      </w:r>
      <w:r>
        <w:rPr>
          <w:rFonts w:ascii="Arial Unicode MS" w:eastAsia="Arial Unicode MS" w:hAnsi="Arial Unicode MS" w:cs="Arial Unicode MS" w:hint="eastAsia"/>
        </w:rPr>
        <w:t>”</w:t>
      </w:r>
      <w:r>
        <w:rPr>
          <w:rFonts w:ascii="Arial Unicode MS" w:eastAsia="Arial Unicode MS" w:hAnsi="Arial Unicode MS" w:cs="Arial Unicode MS"/>
        </w:rPr>
        <w:t xml:space="preserve"> eligibility criteria (line 3), an augmented eligibility criteria (line 5), and an (initially blank) expected logical form equivalent to annotate (line 7). An example annotation is shown in Figure 6. </w:t>
      </w:r>
    </w:p>
    <w:p w14:paraId="3993CDAE" w14:textId="77777777" w:rsidR="00EE7953" w:rsidRDefault="00EE7953">
      <w:pPr>
        <w:pStyle w:val="NormalWeb"/>
        <w:numPr>
          <w:ilvl w:val="0"/>
          <w:numId w:val="5"/>
        </w:numPr>
        <w:rPr>
          <w:rFonts w:ascii="Arial Unicode MS" w:eastAsia="Arial Unicode MS" w:hAnsi="Arial Unicode MS" w:cs="Arial Unicode MS"/>
        </w:rPr>
      </w:pPr>
      <w:r>
        <w:rPr>
          <w:rFonts w:ascii="Arial Unicode MS" w:eastAsia="Arial Unicode MS" w:hAnsi="Arial Unicode MS" w:cs="Arial Unicode MS"/>
        </w:rPr>
        <w:t xml:space="preserve">3 informatics PhD students knowledgeable about the task met weekly for 2 months to review annotations and resolve difficult cases together. Annotators were initially trained on 20 lines of eligibility criteria which included 31 different function types. </w:t>
      </w:r>
    </w:p>
    <w:p w14:paraId="76465D6E" w14:textId="77777777" w:rsidR="00EE7953" w:rsidRDefault="00EE7953">
      <w:pPr>
        <w:pStyle w:val="NormalWeb"/>
        <w:numPr>
          <w:ilvl w:val="0"/>
          <w:numId w:val="5"/>
        </w:numPr>
        <w:rPr>
          <w:rFonts w:ascii="Arial Unicode MS" w:eastAsia="Arial Unicode MS" w:hAnsi="Arial Unicode MS" w:cs="Arial Unicode MS"/>
        </w:rPr>
      </w:pPr>
      <w:r>
        <w:rPr>
          <w:rFonts w:ascii="Arial Unicode MS" w:eastAsia="Arial Unicode MS" w:hAnsi="Arial Unicode MS" w:cs="Arial Unicode MS"/>
        </w:rPr>
        <w:t xml:space="preserve">After training, each annotator was assigned a batch of 100 sentences (one per file) and tasked with writing a logical form version of each. </w:t>
      </w:r>
    </w:p>
    <w:p w14:paraId="047B4145" w14:textId="77777777" w:rsidR="00EE7953" w:rsidRDefault="00EE7953">
      <w:pPr>
        <w:pStyle w:val="NormalWeb"/>
        <w:numPr>
          <w:ilvl w:val="0"/>
          <w:numId w:val="5"/>
        </w:numPr>
        <w:rPr>
          <w:rFonts w:ascii="Arial Unicode MS" w:eastAsia="Arial Unicode MS" w:hAnsi="Arial Unicode MS" w:cs="Arial Unicode MS"/>
        </w:rPr>
      </w:pPr>
      <w:r>
        <w:rPr>
          <w:rFonts w:ascii="Arial Unicode MS" w:eastAsia="Arial Unicode MS" w:hAnsi="Arial Unicode MS" w:cs="Arial Unicode MS"/>
        </w:rPr>
        <w:t xml:space="preserve">After each batch was completed, we executed a quality control script to parse each logical form annotation to ensure consistency. Any syntax errors were reported to and corrected by the annotators. </w:t>
      </w:r>
    </w:p>
    <w:p w14:paraId="0783B4BC" w14:textId="77777777" w:rsidR="00EE7953" w:rsidRDefault="00EE7953">
      <w:pPr>
        <w:pStyle w:val="NormalWeb"/>
        <w:numPr>
          <w:ilvl w:val="0"/>
          <w:numId w:val="5"/>
        </w:numPr>
        <w:rPr>
          <w:rFonts w:ascii="Arial Unicode MS" w:eastAsia="Arial Unicode MS" w:hAnsi="Arial Unicode MS" w:cs="Arial Unicode MS"/>
        </w:rPr>
      </w:pPr>
      <w:r>
        <w:rPr>
          <w:rFonts w:ascii="Arial Unicode MS" w:eastAsia="Arial Unicode MS" w:hAnsi="Arial Unicode MS" w:cs="Arial Unicode MS"/>
        </w:rPr>
        <w:t xml:space="preserve">Annotators received additional batches of files to annotate until all 2,000 single-annotated annotations had been completed. </w:t>
      </w:r>
    </w:p>
    <w:p w14:paraId="62B93A68" w14:textId="77777777" w:rsidR="00EE7953" w:rsidRDefault="00EE7953">
      <w:pPr>
        <w:pStyle w:val="NormalWeb"/>
        <w:numPr>
          <w:ilvl w:val="0"/>
          <w:numId w:val="5"/>
        </w:numPr>
        <w:rPr>
          <w:rFonts w:ascii="Arial Unicode MS" w:eastAsia="Arial Unicode MS" w:hAnsi="Arial Unicode MS" w:cs="Arial Unicode MS"/>
        </w:rPr>
      </w:pPr>
      <w:r>
        <w:rPr>
          <w:rFonts w:ascii="Arial Unicode MS" w:eastAsia="Arial Unicode MS" w:hAnsi="Arial Unicode MS" w:cs="Arial Unicode MS"/>
        </w:rPr>
        <w:t>As only 20 (1%) of the 2,000 files in the corpus were triple-annotated and to measure consistency, after annotation we randomly selected 10 files from each annotator and assigned 5 each for the other annotators to review, for 30 in total. Annotators ranked each annotation in a binary fashion, with 1 indicating a completely correct annotation, and 0 indicating the presence of a possible mistake. Of the 30 randomly chosen annotations, 28, or 93%, were agreed upon by the annotators as correct.</w:t>
      </w:r>
    </w:p>
    <w:p w14:paraId="770284C4" w14:textId="33D63F3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 xml:space="preserve">The pair-wise mean inter-annotator agreement by BLEU score was 82.4%. After annotations were completed, we experimented with predicting logical forms by fine-tuning T5 </w:t>
      </w:r>
      <w:r w:rsidR="00007F4A">
        <w:rPr>
          <w:rFonts w:ascii="Arial Unicode MS" w:eastAsia="Arial Unicode MS" w:hAnsi="Arial Unicode MS" w:cs="Arial Unicode MS"/>
        </w:rPr>
        <w:t>(</w:t>
      </w:r>
      <w:proofErr w:type="spellStart"/>
      <w:r w:rsidR="00007F4A">
        <w:rPr>
          <w:rFonts w:ascii="Arial Unicode MS" w:eastAsia="Arial Unicode MS" w:hAnsi="Arial Unicode MS" w:cs="Arial Unicode MS"/>
        </w:rPr>
        <w:t>Raffel</w:t>
      </w:r>
      <w:proofErr w:type="spellEnd"/>
      <w:r w:rsidR="00007F4A">
        <w:rPr>
          <w:rFonts w:ascii="Arial Unicode MS" w:eastAsia="Arial Unicode MS" w:hAnsi="Arial Unicode MS" w:cs="Arial Unicode MS"/>
        </w:rPr>
        <w:t xml:space="preserve"> </w:t>
      </w:r>
      <w:r w:rsidR="00007F4A" w:rsidRPr="00007F4A">
        <w:rPr>
          <w:rFonts w:ascii="Arial Unicode MS" w:eastAsia="Arial Unicode MS" w:hAnsi="Arial Unicode MS" w:cs="Arial Unicode MS"/>
          <w:i/>
          <w:iCs/>
        </w:rPr>
        <w:t>et al</w:t>
      </w:r>
      <w:r w:rsidR="00007F4A">
        <w:rPr>
          <w:rFonts w:ascii="Arial Unicode MS" w:eastAsia="Arial Unicode MS" w:hAnsi="Arial Unicode MS" w:cs="Arial Unicode MS"/>
        </w:rPr>
        <w:t>., 2020)</w:t>
      </w:r>
      <w:r>
        <w:rPr>
          <w:rFonts w:ascii="Arial Unicode MS" w:eastAsia="Arial Unicode MS" w:hAnsi="Arial Unicode MS" w:cs="Arial Unicode MS"/>
        </w:rPr>
        <w:t xml:space="preserve"> Seq2Seq models. The T5 architecture and pre-trained models are widely used for and achieve at or near state-of-the-art for many machine translation and semantic parsing tasks. </w:t>
      </w:r>
    </w:p>
    <w:p w14:paraId="36AC3D01"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lastRenderedPageBreak/>
        <w:t xml:space="preserve">Following earlier work on task-oriented dialog semantic parsing structures in the domain of digital assistants, we also experimented using various alternative input-output syntax styles from our original logical forms: </w:t>
      </w:r>
    </w:p>
    <w:p w14:paraId="08AD1520" w14:textId="22C55CE7" w:rsidR="00EE7953" w:rsidRDefault="00EE7953">
      <w:pPr>
        <w:pStyle w:val="NormalWeb"/>
        <w:numPr>
          <w:ilvl w:val="0"/>
          <w:numId w:val="6"/>
        </w:numPr>
        <w:rPr>
          <w:rFonts w:ascii="Arial Unicode MS" w:eastAsia="Arial Unicode MS" w:hAnsi="Arial Unicode MS" w:cs="Arial Unicode MS"/>
        </w:rPr>
      </w:pPr>
      <w:r>
        <w:rPr>
          <w:rFonts w:ascii="Arial Unicode MS" w:eastAsia="Arial Unicode MS" w:hAnsi="Arial Unicode MS" w:cs="Arial Unicode MS"/>
          <w:b/>
          <w:bCs/>
        </w:rPr>
        <w:t>Shift-Reduce</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Einolghozatic</w:t>
      </w:r>
      <w:proofErr w:type="spellEnd"/>
      <w:r>
        <w:rPr>
          <w:rFonts w:ascii="Arial Unicode MS" w:eastAsia="Arial Unicode MS" w:hAnsi="Arial Unicode MS" w:cs="Arial Unicode MS"/>
        </w:rPr>
        <w:t xml:space="preserve"> </w:t>
      </w:r>
      <w:r>
        <w:rPr>
          <w:rFonts w:ascii="Arial Unicode MS" w:eastAsia="Arial Unicode MS" w:hAnsi="Arial Unicode MS" w:cs="Arial Unicode MS"/>
          <w:i/>
          <w:iCs/>
        </w:rPr>
        <w:t>et al.</w:t>
      </w:r>
      <w:r>
        <w:rPr>
          <w:rFonts w:ascii="Arial Unicode MS" w:eastAsia="Arial Unicode MS" w:hAnsi="Arial Unicode MS" w:cs="Arial Unicode MS"/>
        </w:rPr>
        <w:t xml:space="preserve"> </w:t>
      </w:r>
      <w:r w:rsidR="00007F4A">
        <w:rPr>
          <w:rFonts w:ascii="Arial Unicode MS" w:eastAsia="Arial Unicode MS" w:hAnsi="Arial Unicode MS" w:cs="Arial Unicode MS"/>
        </w:rPr>
        <w:t>(</w:t>
      </w:r>
      <w:proofErr w:type="spellStart"/>
      <w:r w:rsidR="00007F4A">
        <w:rPr>
          <w:rFonts w:ascii="Arial Unicode MS" w:eastAsia="Arial Unicode MS" w:hAnsi="Arial Unicode MS" w:cs="Arial Unicode MS"/>
        </w:rPr>
        <w:t>Einolghozatic</w:t>
      </w:r>
      <w:proofErr w:type="spellEnd"/>
      <w:r w:rsidR="00007F4A">
        <w:rPr>
          <w:rFonts w:ascii="Arial Unicode MS" w:eastAsia="Arial Unicode MS" w:hAnsi="Arial Unicode MS" w:cs="Arial Unicode MS"/>
        </w:rPr>
        <w:t xml:space="preserve"> </w:t>
      </w:r>
      <w:r w:rsidR="00007F4A" w:rsidRPr="00007F4A">
        <w:rPr>
          <w:rFonts w:ascii="Arial Unicode MS" w:eastAsia="Arial Unicode MS" w:hAnsi="Arial Unicode MS" w:cs="Arial Unicode MS"/>
          <w:i/>
          <w:iCs/>
        </w:rPr>
        <w:t>et al</w:t>
      </w:r>
      <w:r w:rsidR="00007F4A">
        <w:rPr>
          <w:rFonts w:ascii="Arial Unicode MS" w:eastAsia="Arial Unicode MS" w:hAnsi="Arial Unicode MS" w:cs="Arial Unicode MS"/>
        </w:rPr>
        <w:t>., 2019)</w:t>
      </w:r>
      <w:r>
        <w:rPr>
          <w:rFonts w:ascii="Arial Unicode MS" w:eastAsia="Arial Unicode MS" w:hAnsi="Arial Unicode MS" w:cs="Arial Unicode MS"/>
        </w:rPr>
        <w:t xml:space="preserve"> used square brackets instead of parentheses and blank spaces instead of commas. We followed </w:t>
      </w:r>
      <w:proofErr w:type="spellStart"/>
      <w:r>
        <w:rPr>
          <w:rFonts w:ascii="Arial Unicode MS" w:eastAsia="Arial Unicode MS" w:hAnsi="Arial Unicode MS" w:cs="Arial Unicode MS"/>
        </w:rPr>
        <w:t>Rongali</w:t>
      </w:r>
      <w:proofErr w:type="spellEnd"/>
      <w:r>
        <w:rPr>
          <w:rFonts w:ascii="Arial Unicode MS" w:eastAsia="Arial Unicode MS" w:hAnsi="Arial Unicode MS" w:cs="Arial Unicode MS"/>
        </w:rPr>
        <w:t xml:space="preserve"> </w:t>
      </w:r>
      <w:r>
        <w:rPr>
          <w:rFonts w:ascii="Arial Unicode MS" w:eastAsia="Arial Unicode MS" w:hAnsi="Arial Unicode MS" w:cs="Arial Unicode MS"/>
          <w:i/>
          <w:iCs/>
        </w:rPr>
        <w:t xml:space="preserve">et </w:t>
      </w:r>
      <w:proofErr w:type="spellStart"/>
      <w:r>
        <w:rPr>
          <w:rFonts w:ascii="Arial Unicode MS" w:eastAsia="Arial Unicode MS" w:hAnsi="Arial Unicode MS" w:cs="Arial Unicode MS"/>
          <w:i/>
          <w:iCs/>
        </w:rPr>
        <w:t>al</w:t>
      </w:r>
      <w:r>
        <w:rPr>
          <w:rFonts w:ascii="Arial Unicode MS" w:eastAsia="Arial Unicode MS" w:hAnsi="Arial Unicode MS" w:cs="Arial Unicode MS" w:hint="eastAsia"/>
          <w:i/>
          <w:iCs/>
        </w:rPr>
        <w:t>’</w:t>
      </w:r>
      <w:r>
        <w:rPr>
          <w:rFonts w:ascii="Arial Unicode MS" w:eastAsia="Arial Unicode MS" w:hAnsi="Arial Unicode MS" w:cs="Arial Unicode MS"/>
          <w:i/>
          <w:iCs/>
        </w:rPr>
        <w:t>s</w:t>
      </w:r>
      <w:proofErr w:type="spellEnd"/>
      <w:r>
        <w:rPr>
          <w:rFonts w:ascii="Arial Unicode MS" w:eastAsia="Arial Unicode MS" w:hAnsi="Arial Unicode MS" w:cs="Arial Unicode MS"/>
        </w:rPr>
        <w:t xml:space="preserve"> suggestion to add a trailing repeat of function names to improve performance. </w:t>
      </w:r>
    </w:p>
    <w:p w14:paraId="73102438" w14:textId="2AF52970" w:rsidR="00EE7953" w:rsidRDefault="00EE7953">
      <w:pPr>
        <w:pStyle w:val="NormalWeb"/>
        <w:numPr>
          <w:ilvl w:val="0"/>
          <w:numId w:val="6"/>
        </w:numPr>
        <w:rPr>
          <w:rFonts w:ascii="Arial Unicode MS" w:eastAsia="Arial Unicode MS" w:hAnsi="Arial Unicode MS" w:cs="Arial Unicode MS"/>
        </w:rPr>
      </w:pPr>
      <w:r>
        <w:rPr>
          <w:rFonts w:ascii="Arial Unicode MS" w:eastAsia="Arial Unicode MS" w:hAnsi="Arial Unicode MS" w:cs="Arial Unicode MS"/>
          <w:b/>
          <w:bCs/>
        </w:rPr>
        <w:t>Pointer</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Rongali</w:t>
      </w:r>
      <w:proofErr w:type="spellEnd"/>
      <w:r>
        <w:rPr>
          <w:rFonts w:ascii="Arial Unicode MS" w:eastAsia="Arial Unicode MS" w:hAnsi="Arial Unicode MS" w:cs="Arial Unicode MS"/>
        </w:rPr>
        <w:t xml:space="preserve"> </w:t>
      </w:r>
      <w:r>
        <w:rPr>
          <w:rFonts w:ascii="Arial Unicode MS" w:eastAsia="Arial Unicode MS" w:hAnsi="Arial Unicode MS" w:cs="Arial Unicode MS"/>
          <w:i/>
          <w:iCs/>
        </w:rPr>
        <w:t>et al.</w:t>
      </w:r>
      <w:r>
        <w:rPr>
          <w:rFonts w:ascii="Arial Unicode MS" w:eastAsia="Arial Unicode MS" w:hAnsi="Arial Unicode MS" w:cs="Arial Unicode MS"/>
        </w:rPr>
        <w:t xml:space="preserve"> </w:t>
      </w:r>
      <w:r w:rsidR="00007F4A">
        <w:rPr>
          <w:rFonts w:ascii="Arial Unicode MS" w:eastAsia="Arial Unicode MS" w:hAnsi="Arial Unicode MS" w:cs="Arial Unicode MS"/>
        </w:rPr>
        <w:t>(</w:t>
      </w:r>
      <w:proofErr w:type="spellStart"/>
      <w:r w:rsidR="00007F4A">
        <w:rPr>
          <w:rFonts w:ascii="Arial Unicode MS" w:eastAsia="Arial Unicode MS" w:hAnsi="Arial Unicode MS" w:cs="Arial Unicode MS"/>
        </w:rPr>
        <w:t>Rongal</w:t>
      </w:r>
      <w:proofErr w:type="spellEnd"/>
      <w:r w:rsidR="00007F4A">
        <w:rPr>
          <w:rFonts w:ascii="Arial Unicode MS" w:eastAsia="Arial Unicode MS" w:hAnsi="Arial Unicode MS" w:cs="Arial Unicode MS"/>
        </w:rPr>
        <w:t xml:space="preserve"> </w:t>
      </w:r>
      <w:r w:rsidR="00007F4A" w:rsidRPr="00007F4A">
        <w:rPr>
          <w:rFonts w:ascii="Arial Unicode MS" w:eastAsia="Arial Unicode MS" w:hAnsi="Arial Unicode MS" w:cs="Arial Unicode MS"/>
          <w:i/>
          <w:iCs/>
        </w:rPr>
        <w:t>et al</w:t>
      </w:r>
      <w:r w:rsidR="00007F4A">
        <w:rPr>
          <w:rFonts w:ascii="Arial Unicode MS" w:eastAsia="Arial Unicode MS" w:hAnsi="Arial Unicode MS" w:cs="Arial Unicode MS"/>
        </w:rPr>
        <w:t>., 2020)</w:t>
      </w:r>
      <w:r>
        <w:rPr>
          <w:rFonts w:ascii="Arial Unicode MS" w:eastAsia="Arial Unicode MS" w:hAnsi="Arial Unicode MS" w:cs="Arial Unicode MS"/>
        </w:rPr>
        <w:t xml:space="preserve"> found that replacing input tokens </w:t>
      </w:r>
      <w:proofErr w:type="gramStart"/>
      <w:r>
        <w:rPr>
          <w:rFonts w:ascii="Arial Unicode MS" w:eastAsia="Arial Unicode MS" w:hAnsi="Arial Unicode MS" w:cs="Arial Unicode MS"/>
        </w:rPr>
        <w:t xml:space="preserve">with </w:t>
      </w:r>
      <w:r>
        <w:rPr>
          <w:rFonts w:ascii="Arial Unicode MS" w:eastAsia="Arial Unicode MS" w:hAnsi="Arial Unicode MS" w:cs="Arial Unicode MS" w:hint="eastAsia"/>
        </w:rPr>
        <w:t>”</w:t>
      </w:r>
      <w:proofErr w:type="gramEnd"/>
      <w:r w:rsidR="00E84FD3" w:rsidRPr="006523C7">
        <w:rPr>
          <w:rStyle w:val="inline-equation"/>
          <w:rFonts w:ascii="Arial Unicode MS" w:eastAsia="Arial Unicode MS" w:hAnsi="Arial Unicode MS" w:cs="Arial Unicode MS"/>
          <w:noProof/>
        </w:rPr>
        <w:object w:dxaOrig="920" w:dyaOrig="360" w14:anchorId="63EF3F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15pt;height:18pt;mso-width-percent:0;mso-height-percent:0;mso-width-percent:0;mso-height-percent:0" o:ole="">
            <v:imagedata r:id="rId7" o:title=""/>
          </v:shape>
          <o:OLEObject Type="Embed" ProgID="Equation.DSMT4" ShapeID="_x0000_i1025" DrawAspect="Content" ObjectID="_1752388931" r:id="rId8"/>
        </w:object>
      </w:r>
      <w:r>
        <w:rPr>
          <w:rFonts w:ascii="Arial Unicode MS" w:eastAsia="Arial Unicode MS" w:hAnsi="Arial Unicode MS" w:cs="Arial Unicode MS" w:hint="eastAsia"/>
        </w:rPr>
        <w:t>”</w:t>
      </w:r>
      <w:r>
        <w:rPr>
          <w:rFonts w:ascii="Arial Unicode MS" w:eastAsia="Arial Unicode MS" w:hAnsi="Arial Unicode MS" w:cs="Arial Unicode MS"/>
        </w:rPr>
        <w:t xml:space="preserve">, where </w:t>
      </w:r>
      <w:r>
        <w:rPr>
          <w:rFonts w:ascii="Arial Unicode MS" w:eastAsia="Arial Unicode MS" w:hAnsi="Arial Unicode MS" w:cs="Arial Unicode MS"/>
          <w:i/>
          <w:iCs/>
        </w:rPr>
        <w:t>index</w:t>
      </w:r>
      <w:r>
        <w:rPr>
          <w:rFonts w:ascii="Arial Unicode MS" w:eastAsia="Arial Unicode MS" w:hAnsi="Arial Unicode MS" w:cs="Arial Unicode MS"/>
        </w:rPr>
        <w:t xml:space="preserve"> corresponds to a token</w:t>
      </w:r>
      <w:r>
        <w:rPr>
          <w:rFonts w:ascii="Arial Unicode MS" w:eastAsia="Arial Unicode MS" w:hAnsi="Arial Unicode MS" w:cs="Arial Unicode MS" w:hint="eastAsia"/>
        </w:rPr>
        <w:t>’</w:t>
      </w:r>
      <w:r>
        <w:rPr>
          <w:rFonts w:ascii="Arial Unicode MS" w:eastAsia="Arial Unicode MS" w:hAnsi="Arial Unicode MS" w:cs="Arial Unicode MS"/>
        </w:rPr>
        <w:t xml:space="preserve">s sequential position in the input text improved performance in their semantic parsing task. We modified this approach by omitting the characters </w:t>
      </w:r>
      <w:r>
        <w:rPr>
          <w:rFonts w:ascii="Arial Unicode MS" w:eastAsia="Arial Unicode MS" w:hAnsi="Arial Unicode MS" w:cs="Arial Unicode MS" w:hint="eastAsia"/>
        </w:rPr>
        <w:t>”</w:t>
      </w:r>
      <w:proofErr w:type="spellStart"/>
      <w:r>
        <w:rPr>
          <w:rFonts w:ascii="Arial Unicode MS" w:eastAsia="Arial Unicode MS" w:hAnsi="Arial Unicode MS" w:cs="Arial Unicode MS"/>
        </w:rPr>
        <w:t>ptr</w:t>
      </w:r>
      <w:proofErr w:type="spellEnd"/>
      <w:r>
        <w:rPr>
          <w:rFonts w:ascii="Arial Unicode MS" w:eastAsia="Arial Unicode MS" w:hAnsi="Arial Unicode MS" w:cs="Arial Unicode MS" w:hint="eastAsia"/>
        </w:rPr>
        <w:t>”</w:t>
      </w:r>
      <w:r>
        <w:rPr>
          <w:rFonts w:ascii="Arial Unicode MS" w:eastAsia="Arial Unicode MS" w:hAnsi="Arial Unicode MS" w:cs="Arial Unicode MS"/>
        </w:rPr>
        <w:t xml:space="preserve"> and using the sequential position of the quoted span as our index rather than individual token positions.</w:t>
      </w:r>
    </w:p>
    <w:p w14:paraId="4D4A7001"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We used a randomly sorted 70/20/10 train/test/validation split of the LFF corpus to fine-tune the pretrained T5</w:t>
      </w:r>
      <w:r>
        <w:rPr>
          <w:rFonts w:ascii="Arial Unicode MS" w:eastAsia="Arial Unicode MS" w:hAnsi="Arial Unicode MS" w:cs="Arial Unicode MS"/>
          <w:i/>
          <w:iCs/>
          <w:vertAlign w:val="subscript"/>
        </w:rPr>
        <w:t>base</w:t>
      </w:r>
      <w:r>
        <w:rPr>
          <w:rFonts w:ascii="Arial Unicode MS" w:eastAsia="Arial Unicode MS" w:hAnsi="Arial Unicode MS" w:cs="Arial Unicode MS"/>
        </w:rPr>
        <w:t xml:space="preserve"> model using combinations of these syntax styles. We call our gold standard annotated logical form syntax </w:t>
      </w:r>
      <w:r>
        <w:rPr>
          <w:rFonts w:ascii="Arial Unicode MS" w:eastAsia="Arial Unicode MS" w:hAnsi="Arial Unicode MS" w:cs="Arial Unicode MS" w:hint="eastAsia"/>
        </w:rPr>
        <w:t>”</w:t>
      </w:r>
      <w:r>
        <w:rPr>
          <w:rFonts w:ascii="Arial Unicode MS" w:eastAsia="Arial Unicode MS" w:hAnsi="Arial Unicode MS" w:cs="Arial Unicode MS"/>
        </w:rPr>
        <w:t>Standard</w:t>
      </w:r>
      <w:r>
        <w:rPr>
          <w:rFonts w:ascii="Arial Unicode MS" w:eastAsia="Arial Unicode MS" w:hAnsi="Arial Unicode MS" w:cs="Arial Unicode MS" w:hint="eastAsia"/>
        </w:rPr>
        <w:t>”</w:t>
      </w:r>
      <w:r>
        <w:rPr>
          <w:rFonts w:ascii="Arial Unicode MS" w:eastAsia="Arial Unicode MS" w:hAnsi="Arial Unicode MS" w:cs="Arial Unicode MS"/>
        </w:rPr>
        <w:t xml:space="preserve"> style. Example inputs, outputs, and training results are shown in Table 3. </w:t>
      </w:r>
    </w:p>
    <w:p w14:paraId="3BB7B35A" w14:textId="102049DC"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 xml:space="preserve">We found that our Standard logical forms achieved the highest performance using both BLEU and ROUGE-L scores, two commonly used metrics in measuring Seq2Seq performance. Replacing raw tokens with function names corresponding to named entities also significantly improved performance (+14.7%, comparing raw text to Standard input styles), demonstrating that leveraging the LCT corpus to generate augmented text achieved relatively high performance (&gt; 93% BLEU score) for this task. As it was the highest-performing syntax style and also the most straightforward to parse, we chose to use the Standard logical form style as our IR for </w:t>
      </w:r>
      <w:proofErr w:type="spellStart"/>
      <w:r>
        <w:rPr>
          <w:rFonts w:ascii="Arial Unicode MS" w:eastAsia="Arial Unicode MS" w:hAnsi="Arial Unicode MS" w:cs="Arial Unicode MS"/>
        </w:rPr>
        <w:t>LeafAI</w:t>
      </w:r>
      <w:proofErr w:type="spellEnd"/>
      <w:r>
        <w:rPr>
          <w:rFonts w:ascii="Arial Unicode MS" w:eastAsia="Arial Unicode MS" w:hAnsi="Arial Unicode MS" w:cs="Arial Unicode MS"/>
        </w:rPr>
        <w:t xml:space="preserve">. </w:t>
      </w:r>
    </w:p>
    <w:p w14:paraId="11684722" w14:textId="77777777" w:rsidR="00EE7953" w:rsidRDefault="00EE7953">
      <w:pPr>
        <w:pStyle w:val="subsect1-title"/>
        <w:rPr>
          <w:rFonts w:eastAsia="Arial Unicode MS"/>
        </w:rPr>
      </w:pPr>
      <w:r>
        <w:rPr>
          <w:rFonts w:eastAsia="Arial Unicode MS"/>
        </w:rPr>
        <w:t xml:space="preserve"> Evaluation</w:t>
      </w:r>
    </w:p>
    <w:p w14:paraId="687DA91C"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lastRenderedPageBreak/>
        <w:t xml:space="preserve">While we found our Standard logical form syntax to achieve in our evaluation with T5, we acknowledge that 20 of the 2,000 total criteria in the LLF corpus were used for annotator training, which may not be representative of the corpus as a whole. However, of the 30 randomly chosen annotations, the annotators found 28 to be correct, or 93%. This value was very close to our best performing T5 evaluation (93.5% BLEU score) and somewhat higher than the inter-annotator agreement on the training annotations (82.4% BLEU score). Additionally, all annotators were informatics PhD students knowledgeable about the task and goal, and met weekly to resolve difficult cases together. So while only 1% of the corpus was triple-annotated, we believe the annotation was performed reasonably consistently. </w:t>
      </w:r>
    </w:p>
    <w:p w14:paraId="37CD7522" w14:textId="77777777" w:rsidR="00EE7953" w:rsidRDefault="00EE7953">
      <w:pPr>
        <w:pStyle w:val="subsect1-title"/>
        <w:rPr>
          <w:rFonts w:eastAsia="Arial Unicode MS"/>
        </w:rPr>
      </w:pPr>
      <w:r>
        <w:rPr>
          <w:rFonts w:eastAsia="Arial Unicode MS"/>
        </w:rPr>
        <w:t xml:space="preserve"> Limitations</w:t>
      </w:r>
    </w:p>
    <w:p w14:paraId="60136AA6" w14:textId="77777777" w:rsidR="00EE7953" w:rsidRDefault="00EE7953">
      <w:pPr>
        <w:pStyle w:val="Normal1"/>
        <w:rPr>
          <w:rFonts w:ascii="Arial Unicode MS" w:eastAsia="Arial Unicode MS" w:hAnsi="Arial Unicode MS" w:cs="Arial Unicode MS"/>
        </w:rPr>
      </w:pPr>
      <w:r>
        <w:rPr>
          <w:rFonts w:ascii="Arial Unicode MS" w:eastAsia="Arial Unicode MS" w:hAnsi="Arial Unicode MS" w:cs="Arial Unicode MS"/>
        </w:rPr>
        <w:t xml:space="preserve">While we found our Standard logical form syntax to achieve in our evaluation with T5, we acknowledge that 20 of the 2,000 total criteria in the LLF corpus were used for annotator training, which may not be representative of the corpus as a whole. However, of the 30 randomly chosen annotations, the annotators found 28 to be correct, or 93%. This value was very close to our best performing T5 evaluation (93.5% BLEU score) and somewhat higher than the inter-annotator agreement on the training annotations (82.4% BLEU score). Additionally, all annotators were informatics PhD students knowledgeable about the task and goal, and met weekly to resolve difficult cases together. So while only 1% of the corpus was triple-annotated, we believe the annotation was performed reasonably consistently. </w:t>
      </w:r>
    </w:p>
    <w:sectPr w:rsidR="00EE7953" w:rsidSect="00EE7953">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30497" w14:textId="77777777" w:rsidR="00E84FD3" w:rsidRDefault="00E84FD3" w:rsidP="00FA2C1F">
      <w:r>
        <w:separator/>
      </w:r>
    </w:p>
  </w:endnote>
  <w:endnote w:type="continuationSeparator" w:id="0">
    <w:p w14:paraId="6FC1FFC5" w14:textId="77777777" w:rsidR="00E84FD3" w:rsidRDefault="00E84FD3" w:rsidP="00FA2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0D89" w14:textId="77777777" w:rsidR="00FA2C1F" w:rsidRDefault="00FA2C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1325F" w14:textId="77777777" w:rsidR="00FA2C1F" w:rsidRDefault="00FA2C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1CBA1" w14:textId="77777777" w:rsidR="00FA2C1F" w:rsidRDefault="00FA2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82F32" w14:textId="77777777" w:rsidR="00E84FD3" w:rsidRDefault="00E84FD3" w:rsidP="00FA2C1F">
      <w:r>
        <w:separator/>
      </w:r>
    </w:p>
  </w:footnote>
  <w:footnote w:type="continuationSeparator" w:id="0">
    <w:p w14:paraId="0C84CC86" w14:textId="77777777" w:rsidR="00E84FD3" w:rsidRDefault="00E84FD3" w:rsidP="00FA2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B5656" w14:textId="77777777" w:rsidR="00FA2C1F" w:rsidRDefault="00FA2C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E11AA" w14:textId="77777777" w:rsidR="00FA2C1F" w:rsidRDefault="00FA2C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60CB4" w14:textId="77777777" w:rsidR="00FA2C1F" w:rsidRDefault="00FA2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30694"/>
    <w:multiLevelType w:val="multilevel"/>
    <w:tmpl w:val="652CB4C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2111374B"/>
    <w:multiLevelType w:val="multilevel"/>
    <w:tmpl w:val="652CB4C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27DF4AD1"/>
    <w:multiLevelType w:val="multilevel"/>
    <w:tmpl w:val="652CB4C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3BCE1CC4"/>
    <w:multiLevelType w:val="multilevel"/>
    <w:tmpl w:val="652CB4C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4E48734A"/>
    <w:multiLevelType w:val="multilevel"/>
    <w:tmpl w:val="652CB4C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5E7D24FA"/>
    <w:multiLevelType w:val="multilevel"/>
    <w:tmpl w:val="652CB4C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691300798">
    <w:abstractNumId w:val="4"/>
  </w:num>
  <w:num w:numId="2" w16cid:durableId="641889510">
    <w:abstractNumId w:val="0"/>
  </w:num>
  <w:num w:numId="3" w16cid:durableId="1667787711">
    <w:abstractNumId w:val="1"/>
  </w:num>
  <w:num w:numId="4" w16cid:durableId="1225026308">
    <w:abstractNumId w:val="2"/>
  </w:num>
  <w:num w:numId="5" w16cid:durableId="67768587">
    <w:abstractNumId w:val="5"/>
  </w:num>
  <w:num w:numId="6" w16cid:durableId="516773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807"/>
    <w:rsid w:val="00007F4A"/>
    <w:rsid w:val="00044FDD"/>
    <w:rsid w:val="0016564F"/>
    <w:rsid w:val="002B4400"/>
    <w:rsid w:val="00387807"/>
    <w:rsid w:val="004B27FB"/>
    <w:rsid w:val="00513295"/>
    <w:rsid w:val="005F6489"/>
    <w:rsid w:val="006523C7"/>
    <w:rsid w:val="006B3697"/>
    <w:rsid w:val="00714560"/>
    <w:rsid w:val="00746A00"/>
    <w:rsid w:val="008837FC"/>
    <w:rsid w:val="008B18E5"/>
    <w:rsid w:val="008F04ED"/>
    <w:rsid w:val="00981B00"/>
    <w:rsid w:val="00AA0358"/>
    <w:rsid w:val="00AD4316"/>
    <w:rsid w:val="00CB7ABF"/>
    <w:rsid w:val="00CD6237"/>
    <w:rsid w:val="00E84FD3"/>
    <w:rsid w:val="00ED6E95"/>
    <w:rsid w:val="00EE7953"/>
    <w:rsid w:val="00FA2C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7F9F7"/>
  <w15:docId w15:val="{664B2D94-EB89-46C3-9C0F-549E55F3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title"/>
    <w:basedOn w:val="Normal"/>
    <w:uiPriority w:val="99"/>
    <w:pPr>
      <w:spacing w:before="100" w:beforeAutospacing="1" w:after="100" w:afterAutospacing="1"/>
    </w:pPr>
    <w:rPr>
      <w:rFonts w:ascii="Arial" w:hAnsi="Arial" w:cs="Arial"/>
      <w:b/>
      <w:bCs/>
      <w:color w:val="0099FF"/>
      <w:sz w:val="33"/>
      <w:szCs w:val="33"/>
    </w:rPr>
  </w:style>
  <w:style w:type="paragraph" w:customStyle="1" w:styleId="articlesubtitle">
    <w:name w:val="articlesubtitle"/>
    <w:basedOn w:val="Normal"/>
    <w:uiPriority w:val="99"/>
    <w:pPr>
      <w:spacing w:before="100" w:beforeAutospacing="1" w:after="100" w:afterAutospacing="1"/>
    </w:pPr>
    <w:rPr>
      <w:rFonts w:ascii="Arial" w:hAnsi="Arial" w:cs="Arial"/>
      <w:b/>
      <w:bCs/>
      <w:color w:val="008000"/>
      <w:sz w:val="22"/>
      <w:szCs w:val="22"/>
    </w:rPr>
  </w:style>
  <w:style w:type="paragraph" w:customStyle="1" w:styleId="section-title">
    <w:name w:val="section-title"/>
    <w:basedOn w:val="Normal"/>
    <w:uiPriority w:val="99"/>
    <w:pPr>
      <w:spacing w:before="100" w:beforeAutospacing="1" w:after="100" w:afterAutospacing="1"/>
    </w:pPr>
    <w:rPr>
      <w:rFonts w:ascii="Arial" w:hAnsi="Arial" w:cs="Arial"/>
      <w:b/>
      <w:bCs/>
      <w:color w:val="0099FF"/>
      <w:sz w:val="33"/>
      <w:szCs w:val="33"/>
    </w:rPr>
  </w:style>
  <w:style w:type="paragraph" w:customStyle="1" w:styleId="subsect1-title">
    <w:name w:val="subsect1-title"/>
    <w:basedOn w:val="Normal"/>
    <w:uiPriority w:val="99"/>
    <w:pPr>
      <w:spacing w:before="100" w:beforeAutospacing="1" w:after="100" w:afterAutospacing="1"/>
    </w:pPr>
    <w:rPr>
      <w:rFonts w:ascii="Arial" w:hAnsi="Arial" w:cs="Arial"/>
      <w:b/>
      <w:bCs/>
      <w:color w:val="800000"/>
      <w:sz w:val="27"/>
      <w:szCs w:val="27"/>
    </w:rPr>
  </w:style>
  <w:style w:type="paragraph" w:customStyle="1" w:styleId="subsect2-title">
    <w:name w:val="subsect2-title"/>
    <w:basedOn w:val="Normal"/>
    <w:uiPriority w:val="99"/>
    <w:pPr>
      <w:spacing w:before="100" w:beforeAutospacing="1" w:after="100" w:afterAutospacing="1"/>
    </w:pPr>
    <w:rPr>
      <w:rFonts w:ascii="Arial" w:hAnsi="Arial" w:cs="Arial"/>
      <w:b/>
      <w:bCs/>
      <w:color w:val="FF0080"/>
      <w:sz w:val="25"/>
      <w:szCs w:val="25"/>
    </w:rPr>
  </w:style>
  <w:style w:type="paragraph" w:customStyle="1" w:styleId="subsect3-title">
    <w:name w:val="subsect3-title"/>
    <w:basedOn w:val="Normal"/>
    <w:uiPriority w:val="99"/>
    <w:pPr>
      <w:spacing w:before="100" w:beforeAutospacing="1" w:after="100" w:afterAutospacing="1"/>
    </w:pPr>
    <w:rPr>
      <w:rFonts w:ascii="Arial" w:hAnsi="Arial" w:cs="Arial"/>
      <w:b/>
      <w:bCs/>
      <w:color w:val="000000"/>
      <w:sz w:val="22"/>
      <w:szCs w:val="22"/>
    </w:rPr>
  </w:style>
  <w:style w:type="paragraph" w:customStyle="1" w:styleId="bibtitle">
    <w:name w:val="bibtitle"/>
    <w:basedOn w:val="Normal"/>
    <w:uiPriority w:val="99"/>
    <w:pPr>
      <w:spacing w:before="100" w:beforeAutospacing="1" w:after="100" w:afterAutospacing="1"/>
    </w:pPr>
    <w:rPr>
      <w:rFonts w:ascii="Arial" w:hAnsi="Arial" w:cs="Arial"/>
      <w:b/>
      <w:bCs/>
      <w:color w:val="0099FF"/>
      <w:sz w:val="33"/>
      <w:szCs w:val="33"/>
    </w:rPr>
  </w:style>
  <w:style w:type="paragraph" w:customStyle="1" w:styleId="appendix-title">
    <w:name w:val="appendix-title"/>
    <w:basedOn w:val="Normal"/>
    <w:uiPriority w:val="99"/>
    <w:pPr>
      <w:spacing w:before="100" w:beforeAutospacing="1" w:after="100" w:afterAutospacing="1"/>
    </w:pPr>
    <w:rPr>
      <w:rFonts w:ascii="Arial" w:hAnsi="Arial" w:cs="Arial"/>
      <w:b/>
      <w:bCs/>
      <w:color w:val="0099FF"/>
      <w:sz w:val="33"/>
      <w:szCs w:val="33"/>
    </w:rPr>
  </w:style>
  <w:style w:type="character" w:customStyle="1" w:styleId="abstitle">
    <w:name w:val="abstitle"/>
    <w:basedOn w:val="DefaultParagraphFont"/>
    <w:uiPriority w:val="99"/>
    <w:rPr>
      <w:rFonts w:ascii="Arial" w:hAnsi="Arial" w:cs="Arial"/>
      <w:b/>
      <w:bCs/>
      <w:i/>
      <w:iCs/>
      <w:color w:val="008000"/>
      <w:sz w:val="27"/>
      <w:szCs w:val="27"/>
    </w:rPr>
  </w:style>
  <w:style w:type="character" w:customStyle="1" w:styleId="caphead">
    <w:name w:val="caphead"/>
    <w:basedOn w:val="DefaultParagraphFont"/>
    <w:uiPriority w:val="99"/>
    <w:rPr>
      <w:rFonts w:ascii="Arial" w:hAnsi="Arial" w:cs="Arial"/>
      <w:b/>
      <w:bCs/>
      <w:color w:val="008000"/>
      <w:sz w:val="30"/>
      <w:szCs w:val="30"/>
    </w:rPr>
  </w:style>
  <w:style w:type="character" w:customStyle="1" w:styleId="keywordtitle">
    <w:name w:val="keywordtitle"/>
    <w:basedOn w:val="DefaultParagraphFont"/>
    <w:uiPriority w:val="99"/>
    <w:rPr>
      <w:rFonts w:ascii="Arial" w:hAnsi="Arial" w:cs="Arial"/>
      <w:b/>
      <w:bCs/>
      <w:color w:val="008000"/>
      <w:sz w:val="25"/>
      <w:szCs w:val="25"/>
    </w:rPr>
  </w:style>
  <w:style w:type="character" w:customStyle="1" w:styleId="correspondence">
    <w:name w:val="correspondence"/>
    <w:basedOn w:val="DefaultParagraphFont"/>
    <w:uiPriority w:val="99"/>
    <w:rPr>
      <w:rFonts w:ascii="Arial" w:hAnsi="Arial" w:cs="Arial"/>
      <w:color w:val="008000"/>
      <w:sz w:val="12"/>
      <w:szCs w:val="12"/>
    </w:rPr>
  </w:style>
  <w:style w:type="character" w:customStyle="1" w:styleId="footnote">
    <w:name w:val="footnote"/>
    <w:basedOn w:val="DefaultParagraphFont"/>
    <w:uiPriority w:val="99"/>
    <w:rPr>
      <w:rFonts w:ascii="Arial" w:hAnsi="Arial" w:cs="Arial"/>
      <w:color w:val="008000"/>
      <w:sz w:val="22"/>
      <w:szCs w:val="22"/>
    </w:rPr>
  </w:style>
  <w:style w:type="paragraph" w:customStyle="1" w:styleId="Normal1">
    <w:name w:val="Normal1"/>
    <w:basedOn w:val="Normal"/>
    <w:uiPriority w:val="99"/>
    <w:pPr>
      <w:spacing w:before="100" w:beforeAutospacing="1" w:after="100" w:afterAutospacing="1"/>
    </w:pPr>
  </w:style>
  <w:style w:type="character" w:customStyle="1" w:styleId="author">
    <w:name w:val="author"/>
    <w:basedOn w:val="DefaultParagraphFont"/>
    <w:uiPriority w:val="99"/>
    <w:rPr>
      <w:rFonts w:cs="Times New Roman"/>
    </w:rPr>
  </w:style>
  <w:style w:type="character" w:customStyle="1" w:styleId="Date1">
    <w:name w:val="Date1"/>
    <w:basedOn w:val="DefaultParagraphFont"/>
    <w:uiPriority w:val="99"/>
    <w:rPr>
      <w:rFonts w:cs="Times New Roman"/>
    </w:r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Pr>
      <w:rFonts w:cs="Times New Roman"/>
      <w:color w:val="0000FF"/>
      <w:u w:val="single"/>
    </w:rPr>
  </w:style>
  <w:style w:type="paragraph" w:styleId="NormalWeb">
    <w:name w:val="Normal (Web)"/>
    <w:basedOn w:val="Normal"/>
    <w:uiPriority w:val="99"/>
    <w:pPr>
      <w:spacing w:before="100" w:beforeAutospacing="1" w:after="100" w:afterAutospacing="1"/>
    </w:pPr>
  </w:style>
  <w:style w:type="character" w:customStyle="1" w:styleId="inline-equation">
    <w:name w:val="inline-equation"/>
    <w:basedOn w:val="DefaultParagraphFont"/>
    <w:uiPriority w:val="99"/>
    <w:rPr>
      <w:rFonts w:cs="Times New Roman"/>
    </w:rPr>
  </w:style>
  <w:style w:type="paragraph" w:customStyle="1" w:styleId="bibentry">
    <w:name w:val="bibentry"/>
    <w:basedOn w:val="Normal"/>
    <w:uiPriority w:val="99"/>
    <w:pPr>
      <w:spacing w:before="100" w:beforeAutospacing="1" w:after="100" w:afterAutospacing="1"/>
    </w:pPr>
  </w:style>
  <w:style w:type="character" w:customStyle="1" w:styleId="num">
    <w:name w:val="num"/>
    <w:basedOn w:val="DefaultParagraphFont"/>
    <w:uiPriority w:val="99"/>
    <w:rPr>
      <w:rFonts w:cs="Times New Roman"/>
    </w:rPr>
  </w:style>
  <w:style w:type="paragraph" w:customStyle="1" w:styleId="figure">
    <w:name w:val="figure"/>
    <w:basedOn w:val="Normal"/>
    <w:uiPriority w:val="99"/>
    <w:pPr>
      <w:spacing w:before="100" w:beforeAutospacing="1" w:after="100" w:afterAutospacing="1"/>
    </w:pPr>
  </w:style>
  <w:style w:type="paragraph" w:styleId="Caption">
    <w:name w:val="caption"/>
    <w:basedOn w:val="Normal"/>
    <w:uiPriority w:val="99"/>
    <w:qFormat/>
    <w:pPr>
      <w:spacing w:before="100" w:beforeAutospacing="1" w:after="100" w:afterAutospacing="1"/>
    </w:pPr>
  </w:style>
  <w:style w:type="character" w:customStyle="1" w:styleId="MTConvertedEquation">
    <w:name w:val="MTConvertedEquation"/>
    <w:basedOn w:val="DefaultParagraphFont"/>
    <w:uiPriority w:val="99"/>
    <w:rsid w:val="006523C7"/>
    <w:rPr>
      <w:rFonts w:ascii="Arial Unicode MS" w:eastAsia="Arial Unicode MS" w:hAnsi="Arial Unicode MS" w:cs="Arial Unicode MS"/>
    </w:rPr>
  </w:style>
  <w:style w:type="paragraph" w:styleId="Header">
    <w:name w:val="header"/>
    <w:basedOn w:val="Normal"/>
    <w:link w:val="HeaderChar"/>
    <w:uiPriority w:val="99"/>
    <w:unhideWhenUsed/>
    <w:rsid w:val="00FA2C1F"/>
    <w:pPr>
      <w:tabs>
        <w:tab w:val="center" w:pos="4680"/>
        <w:tab w:val="right" w:pos="9360"/>
      </w:tabs>
    </w:pPr>
  </w:style>
  <w:style w:type="character" w:customStyle="1" w:styleId="HeaderChar">
    <w:name w:val="Header Char"/>
    <w:basedOn w:val="DefaultParagraphFont"/>
    <w:link w:val="Header"/>
    <w:uiPriority w:val="99"/>
    <w:rsid w:val="00FA2C1F"/>
    <w:rPr>
      <w:sz w:val="24"/>
      <w:szCs w:val="24"/>
    </w:rPr>
  </w:style>
  <w:style w:type="paragraph" w:styleId="Footer">
    <w:name w:val="footer"/>
    <w:basedOn w:val="Normal"/>
    <w:link w:val="FooterChar"/>
    <w:uiPriority w:val="99"/>
    <w:unhideWhenUsed/>
    <w:rsid w:val="00FA2C1F"/>
    <w:pPr>
      <w:tabs>
        <w:tab w:val="center" w:pos="4680"/>
        <w:tab w:val="right" w:pos="9360"/>
      </w:tabs>
    </w:pPr>
  </w:style>
  <w:style w:type="character" w:customStyle="1" w:styleId="FooterChar">
    <w:name w:val="Footer Char"/>
    <w:basedOn w:val="DefaultParagraphFont"/>
    <w:link w:val="Footer"/>
    <w:uiPriority w:val="99"/>
    <w:rsid w:val="00FA2C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7375116">
      <w:marLeft w:val="0"/>
      <w:marRight w:val="0"/>
      <w:marTop w:val="0"/>
      <w:marBottom w:val="0"/>
      <w:divBdr>
        <w:top w:val="none" w:sz="0" w:space="0" w:color="auto"/>
        <w:left w:val="none" w:sz="0" w:space="0" w:color="auto"/>
        <w:bottom w:val="none" w:sz="0" w:space="0" w:color="auto"/>
        <w:right w:val="none" w:sz="0" w:space="0" w:color="auto"/>
      </w:divBdr>
      <w:divsChild>
        <w:div w:id="1887375099">
          <w:marLeft w:val="0"/>
          <w:marRight w:val="0"/>
          <w:marTop w:val="0"/>
          <w:marBottom w:val="0"/>
          <w:divBdr>
            <w:top w:val="none" w:sz="0" w:space="0" w:color="auto"/>
            <w:left w:val="none" w:sz="0" w:space="0" w:color="auto"/>
            <w:bottom w:val="none" w:sz="0" w:space="0" w:color="auto"/>
            <w:right w:val="none" w:sz="0" w:space="0" w:color="auto"/>
          </w:divBdr>
        </w:div>
        <w:div w:id="1887375100">
          <w:marLeft w:val="0"/>
          <w:marRight w:val="0"/>
          <w:marTop w:val="0"/>
          <w:marBottom w:val="0"/>
          <w:divBdr>
            <w:top w:val="none" w:sz="0" w:space="0" w:color="auto"/>
            <w:left w:val="none" w:sz="0" w:space="0" w:color="auto"/>
            <w:bottom w:val="none" w:sz="0" w:space="0" w:color="auto"/>
            <w:right w:val="none" w:sz="0" w:space="0" w:color="auto"/>
          </w:divBdr>
        </w:div>
        <w:div w:id="1887375104">
          <w:marLeft w:val="0"/>
          <w:marRight w:val="0"/>
          <w:marTop w:val="0"/>
          <w:marBottom w:val="0"/>
          <w:divBdr>
            <w:top w:val="none" w:sz="0" w:space="0" w:color="auto"/>
            <w:left w:val="none" w:sz="0" w:space="0" w:color="auto"/>
            <w:bottom w:val="none" w:sz="0" w:space="0" w:color="auto"/>
            <w:right w:val="none" w:sz="0" w:space="0" w:color="auto"/>
          </w:divBdr>
        </w:div>
        <w:div w:id="1887375105">
          <w:marLeft w:val="0"/>
          <w:marRight w:val="0"/>
          <w:marTop w:val="0"/>
          <w:marBottom w:val="0"/>
          <w:divBdr>
            <w:top w:val="none" w:sz="0" w:space="0" w:color="auto"/>
            <w:left w:val="none" w:sz="0" w:space="0" w:color="auto"/>
            <w:bottom w:val="none" w:sz="0" w:space="0" w:color="auto"/>
            <w:right w:val="none" w:sz="0" w:space="0" w:color="auto"/>
          </w:divBdr>
        </w:div>
        <w:div w:id="1887375108">
          <w:marLeft w:val="0"/>
          <w:marRight w:val="0"/>
          <w:marTop w:val="0"/>
          <w:marBottom w:val="0"/>
          <w:divBdr>
            <w:top w:val="none" w:sz="0" w:space="0" w:color="auto"/>
            <w:left w:val="none" w:sz="0" w:space="0" w:color="auto"/>
            <w:bottom w:val="none" w:sz="0" w:space="0" w:color="auto"/>
            <w:right w:val="none" w:sz="0" w:space="0" w:color="auto"/>
          </w:divBdr>
          <w:divsChild>
            <w:div w:id="1887375102">
              <w:marLeft w:val="0"/>
              <w:marRight w:val="0"/>
              <w:marTop w:val="0"/>
              <w:marBottom w:val="0"/>
              <w:divBdr>
                <w:top w:val="none" w:sz="0" w:space="0" w:color="auto"/>
                <w:left w:val="none" w:sz="0" w:space="0" w:color="auto"/>
                <w:bottom w:val="none" w:sz="0" w:space="0" w:color="auto"/>
                <w:right w:val="none" w:sz="0" w:space="0" w:color="auto"/>
              </w:divBdr>
            </w:div>
            <w:div w:id="1887375103">
              <w:marLeft w:val="0"/>
              <w:marRight w:val="0"/>
              <w:marTop w:val="0"/>
              <w:marBottom w:val="0"/>
              <w:divBdr>
                <w:top w:val="none" w:sz="0" w:space="0" w:color="auto"/>
                <w:left w:val="none" w:sz="0" w:space="0" w:color="auto"/>
                <w:bottom w:val="none" w:sz="0" w:space="0" w:color="auto"/>
                <w:right w:val="none" w:sz="0" w:space="0" w:color="auto"/>
              </w:divBdr>
            </w:div>
            <w:div w:id="1887375106">
              <w:marLeft w:val="0"/>
              <w:marRight w:val="0"/>
              <w:marTop w:val="0"/>
              <w:marBottom w:val="0"/>
              <w:divBdr>
                <w:top w:val="none" w:sz="0" w:space="0" w:color="auto"/>
                <w:left w:val="none" w:sz="0" w:space="0" w:color="auto"/>
                <w:bottom w:val="none" w:sz="0" w:space="0" w:color="auto"/>
                <w:right w:val="none" w:sz="0" w:space="0" w:color="auto"/>
              </w:divBdr>
              <w:divsChild>
                <w:div w:id="1887375112">
                  <w:marLeft w:val="0"/>
                  <w:marRight w:val="0"/>
                  <w:marTop w:val="0"/>
                  <w:marBottom w:val="0"/>
                  <w:divBdr>
                    <w:top w:val="none" w:sz="0" w:space="0" w:color="auto"/>
                    <w:left w:val="none" w:sz="0" w:space="0" w:color="auto"/>
                    <w:bottom w:val="none" w:sz="0" w:space="0" w:color="auto"/>
                    <w:right w:val="none" w:sz="0" w:space="0" w:color="auto"/>
                  </w:divBdr>
                </w:div>
                <w:div w:id="1887375118">
                  <w:marLeft w:val="0"/>
                  <w:marRight w:val="0"/>
                  <w:marTop w:val="0"/>
                  <w:marBottom w:val="0"/>
                  <w:divBdr>
                    <w:top w:val="none" w:sz="0" w:space="0" w:color="auto"/>
                    <w:left w:val="none" w:sz="0" w:space="0" w:color="auto"/>
                    <w:bottom w:val="none" w:sz="0" w:space="0" w:color="auto"/>
                    <w:right w:val="none" w:sz="0" w:space="0" w:color="auto"/>
                  </w:divBdr>
                </w:div>
                <w:div w:id="1887375120">
                  <w:marLeft w:val="0"/>
                  <w:marRight w:val="0"/>
                  <w:marTop w:val="0"/>
                  <w:marBottom w:val="0"/>
                  <w:divBdr>
                    <w:top w:val="none" w:sz="0" w:space="0" w:color="auto"/>
                    <w:left w:val="none" w:sz="0" w:space="0" w:color="auto"/>
                    <w:bottom w:val="none" w:sz="0" w:space="0" w:color="auto"/>
                    <w:right w:val="none" w:sz="0" w:space="0" w:color="auto"/>
                  </w:divBdr>
                </w:div>
              </w:divsChild>
            </w:div>
            <w:div w:id="1887375107">
              <w:marLeft w:val="0"/>
              <w:marRight w:val="0"/>
              <w:marTop w:val="0"/>
              <w:marBottom w:val="0"/>
              <w:divBdr>
                <w:top w:val="none" w:sz="0" w:space="0" w:color="auto"/>
                <w:left w:val="none" w:sz="0" w:space="0" w:color="auto"/>
                <w:bottom w:val="none" w:sz="0" w:space="0" w:color="auto"/>
                <w:right w:val="none" w:sz="0" w:space="0" w:color="auto"/>
              </w:divBdr>
            </w:div>
            <w:div w:id="1887375122">
              <w:marLeft w:val="0"/>
              <w:marRight w:val="0"/>
              <w:marTop w:val="0"/>
              <w:marBottom w:val="0"/>
              <w:divBdr>
                <w:top w:val="none" w:sz="0" w:space="0" w:color="auto"/>
                <w:left w:val="none" w:sz="0" w:space="0" w:color="auto"/>
                <w:bottom w:val="none" w:sz="0" w:space="0" w:color="auto"/>
                <w:right w:val="none" w:sz="0" w:space="0" w:color="auto"/>
              </w:divBdr>
            </w:div>
            <w:div w:id="1887375129">
              <w:marLeft w:val="0"/>
              <w:marRight w:val="0"/>
              <w:marTop w:val="0"/>
              <w:marBottom w:val="0"/>
              <w:divBdr>
                <w:top w:val="none" w:sz="0" w:space="0" w:color="auto"/>
                <w:left w:val="none" w:sz="0" w:space="0" w:color="auto"/>
                <w:bottom w:val="none" w:sz="0" w:space="0" w:color="auto"/>
                <w:right w:val="none" w:sz="0" w:space="0" w:color="auto"/>
              </w:divBdr>
            </w:div>
            <w:div w:id="1887375131">
              <w:marLeft w:val="0"/>
              <w:marRight w:val="0"/>
              <w:marTop w:val="0"/>
              <w:marBottom w:val="0"/>
              <w:divBdr>
                <w:top w:val="none" w:sz="0" w:space="0" w:color="auto"/>
                <w:left w:val="none" w:sz="0" w:space="0" w:color="auto"/>
                <w:bottom w:val="none" w:sz="0" w:space="0" w:color="auto"/>
                <w:right w:val="none" w:sz="0" w:space="0" w:color="auto"/>
              </w:divBdr>
            </w:div>
          </w:divsChild>
        </w:div>
        <w:div w:id="1887375110">
          <w:marLeft w:val="0"/>
          <w:marRight w:val="0"/>
          <w:marTop w:val="0"/>
          <w:marBottom w:val="0"/>
          <w:divBdr>
            <w:top w:val="none" w:sz="0" w:space="0" w:color="auto"/>
            <w:left w:val="none" w:sz="0" w:space="0" w:color="auto"/>
            <w:bottom w:val="none" w:sz="0" w:space="0" w:color="auto"/>
            <w:right w:val="none" w:sz="0" w:space="0" w:color="auto"/>
          </w:divBdr>
          <w:divsChild>
            <w:div w:id="1887375124">
              <w:marLeft w:val="0"/>
              <w:marRight w:val="0"/>
              <w:marTop w:val="0"/>
              <w:marBottom w:val="0"/>
              <w:divBdr>
                <w:top w:val="none" w:sz="0" w:space="0" w:color="auto"/>
                <w:left w:val="none" w:sz="0" w:space="0" w:color="auto"/>
                <w:bottom w:val="none" w:sz="0" w:space="0" w:color="auto"/>
                <w:right w:val="none" w:sz="0" w:space="0" w:color="auto"/>
              </w:divBdr>
            </w:div>
            <w:div w:id="1887375125">
              <w:marLeft w:val="0"/>
              <w:marRight w:val="0"/>
              <w:marTop w:val="0"/>
              <w:marBottom w:val="0"/>
              <w:divBdr>
                <w:top w:val="none" w:sz="0" w:space="0" w:color="auto"/>
                <w:left w:val="none" w:sz="0" w:space="0" w:color="auto"/>
                <w:bottom w:val="none" w:sz="0" w:space="0" w:color="auto"/>
                <w:right w:val="none" w:sz="0" w:space="0" w:color="auto"/>
              </w:divBdr>
            </w:div>
            <w:div w:id="1887375127">
              <w:marLeft w:val="0"/>
              <w:marRight w:val="0"/>
              <w:marTop w:val="0"/>
              <w:marBottom w:val="0"/>
              <w:divBdr>
                <w:top w:val="none" w:sz="0" w:space="0" w:color="auto"/>
                <w:left w:val="none" w:sz="0" w:space="0" w:color="auto"/>
                <w:bottom w:val="none" w:sz="0" w:space="0" w:color="auto"/>
                <w:right w:val="none" w:sz="0" w:space="0" w:color="auto"/>
              </w:divBdr>
            </w:div>
          </w:divsChild>
        </w:div>
        <w:div w:id="1887375113">
          <w:marLeft w:val="240"/>
          <w:marRight w:val="240"/>
          <w:marTop w:val="0"/>
          <w:marBottom w:val="0"/>
          <w:divBdr>
            <w:top w:val="none" w:sz="0" w:space="0" w:color="auto"/>
            <w:left w:val="none" w:sz="0" w:space="0" w:color="auto"/>
            <w:bottom w:val="none" w:sz="0" w:space="0" w:color="auto"/>
            <w:right w:val="none" w:sz="0" w:space="0" w:color="auto"/>
          </w:divBdr>
        </w:div>
        <w:div w:id="1887375114">
          <w:marLeft w:val="0"/>
          <w:marRight w:val="0"/>
          <w:marTop w:val="0"/>
          <w:marBottom w:val="0"/>
          <w:divBdr>
            <w:top w:val="none" w:sz="0" w:space="0" w:color="auto"/>
            <w:left w:val="none" w:sz="0" w:space="0" w:color="auto"/>
            <w:bottom w:val="none" w:sz="0" w:space="0" w:color="auto"/>
            <w:right w:val="none" w:sz="0" w:space="0" w:color="auto"/>
          </w:divBdr>
        </w:div>
        <w:div w:id="1887375115">
          <w:marLeft w:val="0"/>
          <w:marRight w:val="0"/>
          <w:marTop w:val="0"/>
          <w:marBottom w:val="0"/>
          <w:divBdr>
            <w:top w:val="none" w:sz="0" w:space="0" w:color="auto"/>
            <w:left w:val="none" w:sz="0" w:space="0" w:color="auto"/>
            <w:bottom w:val="none" w:sz="0" w:space="0" w:color="auto"/>
            <w:right w:val="none" w:sz="0" w:space="0" w:color="auto"/>
          </w:divBdr>
          <w:divsChild>
            <w:div w:id="1887375098">
              <w:marLeft w:val="0"/>
              <w:marRight w:val="0"/>
              <w:marTop w:val="0"/>
              <w:marBottom w:val="0"/>
              <w:divBdr>
                <w:top w:val="none" w:sz="0" w:space="0" w:color="auto"/>
                <w:left w:val="none" w:sz="0" w:space="0" w:color="auto"/>
                <w:bottom w:val="none" w:sz="0" w:space="0" w:color="auto"/>
                <w:right w:val="none" w:sz="0" w:space="0" w:color="auto"/>
              </w:divBdr>
            </w:div>
            <w:div w:id="1887375101">
              <w:marLeft w:val="0"/>
              <w:marRight w:val="0"/>
              <w:marTop w:val="0"/>
              <w:marBottom w:val="0"/>
              <w:divBdr>
                <w:top w:val="none" w:sz="0" w:space="0" w:color="auto"/>
                <w:left w:val="none" w:sz="0" w:space="0" w:color="auto"/>
                <w:bottom w:val="none" w:sz="0" w:space="0" w:color="auto"/>
                <w:right w:val="none" w:sz="0" w:space="0" w:color="auto"/>
              </w:divBdr>
            </w:div>
            <w:div w:id="1887375119">
              <w:marLeft w:val="0"/>
              <w:marRight w:val="0"/>
              <w:marTop w:val="0"/>
              <w:marBottom w:val="0"/>
              <w:divBdr>
                <w:top w:val="none" w:sz="0" w:space="0" w:color="auto"/>
                <w:left w:val="none" w:sz="0" w:space="0" w:color="auto"/>
                <w:bottom w:val="none" w:sz="0" w:space="0" w:color="auto"/>
                <w:right w:val="none" w:sz="0" w:space="0" w:color="auto"/>
              </w:divBdr>
            </w:div>
          </w:divsChild>
        </w:div>
        <w:div w:id="1887375117">
          <w:marLeft w:val="0"/>
          <w:marRight w:val="0"/>
          <w:marTop w:val="0"/>
          <w:marBottom w:val="0"/>
          <w:divBdr>
            <w:top w:val="none" w:sz="0" w:space="0" w:color="auto"/>
            <w:left w:val="none" w:sz="0" w:space="0" w:color="auto"/>
            <w:bottom w:val="none" w:sz="0" w:space="0" w:color="auto"/>
            <w:right w:val="none" w:sz="0" w:space="0" w:color="auto"/>
          </w:divBdr>
        </w:div>
        <w:div w:id="1887375121">
          <w:marLeft w:val="0"/>
          <w:marRight w:val="0"/>
          <w:marTop w:val="0"/>
          <w:marBottom w:val="0"/>
          <w:divBdr>
            <w:top w:val="none" w:sz="0" w:space="0" w:color="auto"/>
            <w:left w:val="none" w:sz="0" w:space="0" w:color="auto"/>
            <w:bottom w:val="none" w:sz="0" w:space="0" w:color="auto"/>
            <w:right w:val="none" w:sz="0" w:space="0" w:color="auto"/>
          </w:divBdr>
          <w:divsChild>
            <w:div w:id="1887375109">
              <w:marLeft w:val="0"/>
              <w:marRight w:val="0"/>
              <w:marTop w:val="0"/>
              <w:marBottom w:val="0"/>
              <w:divBdr>
                <w:top w:val="none" w:sz="0" w:space="0" w:color="auto"/>
                <w:left w:val="none" w:sz="0" w:space="0" w:color="auto"/>
                <w:bottom w:val="none" w:sz="0" w:space="0" w:color="auto"/>
                <w:right w:val="none" w:sz="0" w:space="0" w:color="auto"/>
              </w:divBdr>
            </w:div>
            <w:div w:id="1887375111">
              <w:marLeft w:val="0"/>
              <w:marRight w:val="0"/>
              <w:marTop w:val="0"/>
              <w:marBottom w:val="0"/>
              <w:divBdr>
                <w:top w:val="none" w:sz="0" w:space="0" w:color="auto"/>
                <w:left w:val="none" w:sz="0" w:space="0" w:color="auto"/>
                <w:bottom w:val="none" w:sz="0" w:space="0" w:color="auto"/>
                <w:right w:val="none" w:sz="0" w:space="0" w:color="auto"/>
              </w:divBdr>
            </w:div>
            <w:div w:id="1887375130">
              <w:marLeft w:val="0"/>
              <w:marRight w:val="0"/>
              <w:marTop w:val="0"/>
              <w:marBottom w:val="0"/>
              <w:divBdr>
                <w:top w:val="none" w:sz="0" w:space="0" w:color="auto"/>
                <w:left w:val="none" w:sz="0" w:space="0" w:color="auto"/>
                <w:bottom w:val="none" w:sz="0" w:space="0" w:color="auto"/>
                <w:right w:val="none" w:sz="0" w:space="0" w:color="auto"/>
              </w:divBdr>
            </w:div>
          </w:divsChild>
        </w:div>
        <w:div w:id="1887375123">
          <w:marLeft w:val="0"/>
          <w:marRight w:val="0"/>
          <w:marTop w:val="0"/>
          <w:marBottom w:val="0"/>
          <w:divBdr>
            <w:top w:val="none" w:sz="0" w:space="0" w:color="auto"/>
            <w:left w:val="none" w:sz="0" w:space="0" w:color="auto"/>
            <w:bottom w:val="none" w:sz="0" w:space="0" w:color="auto"/>
            <w:right w:val="none" w:sz="0" w:space="0" w:color="auto"/>
          </w:divBdr>
        </w:div>
        <w:div w:id="1887375126">
          <w:marLeft w:val="0"/>
          <w:marRight w:val="0"/>
          <w:marTop w:val="0"/>
          <w:marBottom w:val="0"/>
          <w:divBdr>
            <w:top w:val="none" w:sz="0" w:space="0" w:color="auto"/>
            <w:left w:val="none" w:sz="0" w:space="0" w:color="auto"/>
            <w:bottom w:val="none" w:sz="0" w:space="0" w:color="auto"/>
            <w:right w:val="none" w:sz="0" w:space="0" w:color="auto"/>
          </w:divBdr>
        </w:div>
        <w:div w:id="1887375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TeX2Word Conversion</vt:lpstr>
    </vt:vector>
  </TitlesOfParts>
  <Company>cenveo</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TeX2Word Conversion</dc:title>
  <dc:subject/>
  <dc:creator>shine.p</dc:creator>
  <cp:keywords/>
  <dc:description/>
  <cp:lastModifiedBy>Nic Dobbins</cp:lastModifiedBy>
  <cp:revision>3</cp:revision>
  <dcterms:created xsi:type="dcterms:W3CDTF">2023-08-01T16:53:00Z</dcterms:created>
  <dcterms:modified xsi:type="dcterms:W3CDTF">2023-08-01T16:56:00Z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