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A4B20" w14:textId="2AD874A6" w:rsidR="000843DA" w:rsidRPr="00B01743" w:rsidRDefault="00B635B2" w:rsidP="000843DA">
      <w:pPr>
        <w:pStyle w:val="Kop1"/>
        <w:rPr>
          <w:lang w:val="en-US"/>
        </w:rPr>
      </w:pPr>
      <w:commentRangeStart w:id="0"/>
      <w:r>
        <w:rPr>
          <w:lang w:val="en-US"/>
        </w:rPr>
        <w:t>Supplementary materia</w:t>
      </w:r>
      <w:r w:rsidR="00EA1677">
        <w:rPr>
          <w:lang w:val="en-US"/>
        </w:rPr>
        <w:t>l A</w:t>
      </w:r>
      <w:r w:rsidR="000843DA" w:rsidRPr="00B01743">
        <w:rPr>
          <w:lang w:val="en-US"/>
        </w:rPr>
        <w:t>. Experimental set-up</w:t>
      </w:r>
      <w:commentRangeEnd w:id="0"/>
      <w:r w:rsidR="00FA5619">
        <w:rPr>
          <w:rStyle w:val="Verwijzingopmerking"/>
          <w:rFonts w:asciiTheme="minorHAnsi" w:eastAsiaTheme="minorEastAsia" w:hAnsi="Times New Roman" w:cs="Times New Roman"/>
          <w:color w:val="auto"/>
        </w:rPr>
        <w:commentReference w:id="0"/>
      </w:r>
    </w:p>
    <w:p w14:paraId="17C0FB65" w14:textId="1184B60D" w:rsidR="000843DA" w:rsidRDefault="000843DA" w:rsidP="000843DA">
      <w:pPr>
        <w:rPr>
          <w:lang w:val="en-US"/>
        </w:rPr>
      </w:pPr>
    </w:p>
    <w:p w14:paraId="2B48D1D6" w14:textId="5E363305" w:rsidR="000B1EDF" w:rsidRDefault="000B1EDF" w:rsidP="000843DA">
      <w:pPr>
        <w:rPr>
          <w:lang w:val="en-US"/>
        </w:rPr>
      </w:pPr>
      <w:r>
        <w:rPr>
          <w:lang w:val="en-US"/>
        </w:rPr>
        <w:t>Table 1. Overview of experimental set-up, continuous variables.</w:t>
      </w:r>
      <w:r w:rsidR="003D602A">
        <w:rPr>
          <w:lang w:val="en-US"/>
        </w:rPr>
        <w:br/>
      </w:r>
      <w:proofErr w:type="spellStart"/>
      <w:r>
        <w:rPr>
          <w:lang w:val="en-US"/>
        </w:rPr>
        <w:t>Dmnl</w:t>
      </w:r>
      <w:proofErr w:type="spellEnd"/>
      <w:r>
        <w:rPr>
          <w:lang w:val="en-US"/>
        </w:rPr>
        <w:t xml:space="preserve"> = Dimensionless</w:t>
      </w:r>
      <w:r w:rsidR="00C544CF">
        <w:rPr>
          <w:lang w:val="en-US"/>
        </w:rPr>
        <w:t xml:space="preserve">, A = </w:t>
      </w:r>
      <w:r w:rsidR="003D602A">
        <w:rPr>
          <w:lang w:val="en-US"/>
        </w:rPr>
        <w:t>Ass</w:t>
      </w:r>
      <w:r w:rsidR="00C544CF">
        <w:rPr>
          <w:lang w:val="en-US"/>
        </w:rPr>
        <w:t>umption.</w:t>
      </w:r>
    </w:p>
    <w:tbl>
      <w:tblPr>
        <w:tblStyle w:val="Onopgemaaktetabel2"/>
        <w:tblW w:w="0" w:type="auto"/>
        <w:tblLook w:val="04A0" w:firstRow="1" w:lastRow="0" w:firstColumn="1" w:lastColumn="0" w:noHBand="0" w:noVBand="1"/>
      </w:tblPr>
      <w:tblGrid>
        <w:gridCol w:w="1892"/>
        <w:gridCol w:w="1121"/>
        <w:gridCol w:w="1148"/>
        <w:gridCol w:w="1160"/>
        <w:gridCol w:w="2903"/>
        <w:gridCol w:w="848"/>
      </w:tblGrid>
      <w:tr w:rsidR="00E50857" w14:paraId="54E17DFF" w14:textId="77777777" w:rsidTr="000B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single" w:sz="4" w:space="0" w:color="auto"/>
              <w:bottom w:val="single" w:sz="4" w:space="0" w:color="auto"/>
            </w:tcBorders>
          </w:tcPr>
          <w:p w14:paraId="61791367" w14:textId="77777777" w:rsidR="000843DA" w:rsidRPr="00B01743" w:rsidRDefault="000843DA" w:rsidP="00C50B5C">
            <w:pPr>
              <w:rPr>
                <w:lang w:val="en-US"/>
              </w:rPr>
            </w:pPr>
            <w:r>
              <w:rPr>
                <w:lang w:val="en-US"/>
              </w:rPr>
              <w:t>Continuous v</w:t>
            </w:r>
            <w:r w:rsidRPr="00B01743">
              <w:rPr>
                <w:lang w:val="en-US"/>
              </w:rPr>
              <w:t>ariable</w:t>
            </w:r>
            <w:r>
              <w:rPr>
                <w:lang w:val="en-US"/>
              </w:rPr>
              <w:t xml:space="preserve"> name</w:t>
            </w:r>
          </w:p>
        </w:tc>
        <w:tc>
          <w:tcPr>
            <w:tcW w:w="1121" w:type="dxa"/>
            <w:tcBorders>
              <w:top w:val="single" w:sz="4" w:space="0" w:color="auto"/>
              <w:bottom w:val="single" w:sz="4" w:space="0" w:color="auto"/>
            </w:tcBorders>
          </w:tcPr>
          <w:p w14:paraId="7CEA3BB8" w14:textId="77777777" w:rsidR="000843DA" w:rsidRPr="00B01743" w:rsidRDefault="000843DA" w:rsidP="00C50B5C">
            <w:pPr>
              <w:cnfStyle w:val="100000000000" w:firstRow="1" w:lastRow="0" w:firstColumn="0" w:lastColumn="0" w:oddVBand="0" w:evenVBand="0" w:oddHBand="0" w:evenHBand="0" w:firstRowFirstColumn="0" w:firstRowLastColumn="0" w:lastRowFirstColumn="0" w:lastRowLastColumn="0"/>
              <w:rPr>
                <w:lang w:val="en-US"/>
              </w:rPr>
            </w:pPr>
            <w:r w:rsidRPr="00B01743">
              <w:rPr>
                <w:lang w:val="en-US"/>
              </w:rPr>
              <w:t>Minimu</w:t>
            </w:r>
            <w:r>
              <w:rPr>
                <w:lang w:val="en-US"/>
              </w:rPr>
              <w:t>m</w:t>
            </w:r>
          </w:p>
        </w:tc>
        <w:tc>
          <w:tcPr>
            <w:tcW w:w="1148" w:type="dxa"/>
            <w:tcBorders>
              <w:top w:val="single" w:sz="4" w:space="0" w:color="auto"/>
              <w:bottom w:val="single" w:sz="4" w:space="0" w:color="auto"/>
            </w:tcBorders>
          </w:tcPr>
          <w:p w14:paraId="4101F1DD" w14:textId="77777777" w:rsidR="000843DA" w:rsidRPr="00B01743" w:rsidRDefault="000843DA" w:rsidP="00C50B5C">
            <w:pPr>
              <w:cnfStyle w:val="100000000000" w:firstRow="1" w:lastRow="0" w:firstColumn="0" w:lastColumn="0" w:oddVBand="0" w:evenVBand="0" w:oddHBand="0" w:evenHBand="0" w:firstRowFirstColumn="0" w:firstRowLastColumn="0" w:lastRowFirstColumn="0" w:lastRowLastColumn="0"/>
              <w:rPr>
                <w:lang w:val="en-US"/>
              </w:rPr>
            </w:pPr>
            <w:r w:rsidRPr="00B01743">
              <w:rPr>
                <w:lang w:val="en-US"/>
              </w:rPr>
              <w:t>Maximum</w:t>
            </w:r>
          </w:p>
        </w:tc>
        <w:tc>
          <w:tcPr>
            <w:tcW w:w="1160" w:type="dxa"/>
            <w:tcBorders>
              <w:top w:val="single" w:sz="4" w:space="0" w:color="auto"/>
              <w:bottom w:val="single" w:sz="4" w:space="0" w:color="auto"/>
            </w:tcBorders>
          </w:tcPr>
          <w:p w14:paraId="02A8740B" w14:textId="77777777" w:rsidR="000843DA" w:rsidRPr="00B01743" w:rsidRDefault="000843DA" w:rsidP="00C50B5C">
            <w:pPr>
              <w:cnfStyle w:val="100000000000" w:firstRow="1" w:lastRow="0" w:firstColumn="0" w:lastColumn="0" w:oddVBand="0" w:evenVBand="0" w:oddHBand="0" w:evenHBand="0" w:firstRowFirstColumn="0" w:firstRowLastColumn="0" w:lastRowFirstColumn="0" w:lastRowLastColumn="0"/>
              <w:rPr>
                <w:lang w:val="en-US"/>
              </w:rPr>
            </w:pPr>
            <w:r w:rsidRPr="00B01743">
              <w:rPr>
                <w:lang w:val="en-US"/>
              </w:rPr>
              <w:t>Unit</w:t>
            </w:r>
          </w:p>
        </w:tc>
        <w:tc>
          <w:tcPr>
            <w:tcW w:w="2903" w:type="dxa"/>
            <w:tcBorders>
              <w:top w:val="single" w:sz="4" w:space="0" w:color="auto"/>
              <w:bottom w:val="single" w:sz="4" w:space="0" w:color="auto"/>
            </w:tcBorders>
          </w:tcPr>
          <w:p w14:paraId="13788BC9" w14:textId="77777777" w:rsidR="000843DA" w:rsidRPr="00B01743" w:rsidRDefault="000843DA" w:rsidP="00C50B5C">
            <w:pPr>
              <w:cnfStyle w:val="100000000000" w:firstRow="1" w:lastRow="0" w:firstColumn="0" w:lastColumn="0" w:oddVBand="0" w:evenVBand="0" w:oddHBand="0" w:evenHBand="0" w:firstRowFirstColumn="0" w:firstRowLastColumn="0" w:lastRowFirstColumn="0" w:lastRowLastColumn="0"/>
              <w:rPr>
                <w:lang w:val="en-US"/>
              </w:rPr>
            </w:pPr>
            <w:r w:rsidRPr="00B01743">
              <w:rPr>
                <w:lang w:val="en-US"/>
              </w:rPr>
              <w:t>Explanation</w:t>
            </w:r>
          </w:p>
        </w:tc>
        <w:tc>
          <w:tcPr>
            <w:tcW w:w="848" w:type="dxa"/>
            <w:tcBorders>
              <w:top w:val="single" w:sz="4" w:space="0" w:color="auto"/>
              <w:bottom w:val="single" w:sz="4" w:space="0" w:color="auto"/>
            </w:tcBorders>
          </w:tcPr>
          <w:p w14:paraId="129763EF" w14:textId="77777777" w:rsidR="000843DA" w:rsidRPr="00B01743" w:rsidRDefault="000843DA" w:rsidP="00C50B5C">
            <w:pPr>
              <w:cnfStyle w:val="100000000000" w:firstRow="1" w:lastRow="0" w:firstColumn="0" w:lastColumn="0" w:oddVBand="0" w:evenVBand="0" w:oddHBand="0" w:evenHBand="0" w:firstRowFirstColumn="0" w:firstRowLastColumn="0" w:lastRowFirstColumn="0" w:lastRowLastColumn="0"/>
              <w:rPr>
                <w:lang w:val="en-US"/>
              </w:rPr>
            </w:pPr>
            <w:r w:rsidRPr="00B01743">
              <w:rPr>
                <w:lang w:val="en-US"/>
              </w:rPr>
              <w:t>Source</w:t>
            </w:r>
          </w:p>
        </w:tc>
      </w:tr>
      <w:tr w:rsidR="000843DA" w:rsidRPr="00C50B5C" w14:paraId="74401964"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6"/>
            <w:tcBorders>
              <w:top w:val="single" w:sz="4" w:space="0" w:color="auto"/>
              <w:bottom w:val="single" w:sz="4" w:space="0" w:color="auto"/>
            </w:tcBorders>
          </w:tcPr>
          <w:p w14:paraId="69AB85FD" w14:textId="77777777" w:rsidR="000843DA" w:rsidRPr="00C50B5C" w:rsidRDefault="000843DA" w:rsidP="002D47EB">
            <w:pPr>
              <w:rPr>
                <w:sz w:val="20"/>
                <w:szCs w:val="20"/>
                <w:lang w:val="en-US"/>
              </w:rPr>
            </w:pPr>
            <w:r w:rsidRPr="00C50B5C">
              <w:rPr>
                <w:b w:val="0"/>
                <w:bCs w:val="0"/>
                <w:i/>
                <w:iCs/>
                <w:sz w:val="20"/>
                <w:szCs w:val="20"/>
                <w:lang w:val="en-US"/>
              </w:rPr>
              <w:t>Battery transition parameters</w:t>
            </w:r>
          </w:p>
        </w:tc>
      </w:tr>
      <w:tr w:rsidR="00C544CF" w:rsidRPr="00C50B5C" w14:paraId="77650276"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single" w:sz="4" w:space="0" w:color="auto"/>
              <w:bottom w:val="nil"/>
            </w:tcBorders>
          </w:tcPr>
          <w:p w14:paraId="5A1B1367" w14:textId="77777777" w:rsidR="000843DA" w:rsidRPr="00C50B5C" w:rsidRDefault="000843DA"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Battery capacity PHEV</w:t>
            </w:r>
          </w:p>
        </w:tc>
        <w:tc>
          <w:tcPr>
            <w:tcW w:w="1121" w:type="dxa"/>
            <w:tcBorders>
              <w:top w:val="single" w:sz="4" w:space="0" w:color="auto"/>
              <w:bottom w:val="nil"/>
            </w:tcBorders>
          </w:tcPr>
          <w:p w14:paraId="5BC43CD8" w14:textId="77777777" w:rsidR="000843DA" w:rsidRPr="00C50B5C" w:rsidRDefault="000843DA"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rFonts w:ascii="Utopia-Regular" w:hAnsi="Utopia-Regular" w:cs="Utopia-Regular"/>
                <w:sz w:val="20"/>
                <w:szCs w:val="20"/>
                <w:lang w:val="en-US"/>
              </w:rPr>
              <w:t>10</w:t>
            </w:r>
          </w:p>
        </w:tc>
        <w:tc>
          <w:tcPr>
            <w:tcW w:w="1148" w:type="dxa"/>
            <w:tcBorders>
              <w:top w:val="single" w:sz="4" w:space="0" w:color="auto"/>
              <w:bottom w:val="nil"/>
            </w:tcBorders>
          </w:tcPr>
          <w:p w14:paraId="125F0FED" w14:textId="77777777" w:rsidR="000843DA" w:rsidRPr="00C50B5C" w:rsidRDefault="000843DA"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20</w:t>
            </w:r>
          </w:p>
        </w:tc>
        <w:tc>
          <w:tcPr>
            <w:tcW w:w="1160" w:type="dxa"/>
            <w:tcBorders>
              <w:top w:val="single" w:sz="4" w:space="0" w:color="auto"/>
              <w:bottom w:val="nil"/>
            </w:tcBorders>
          </w:tcPr>
          <w:p w14:paraId="63F2A853" w14:textId="77777777" w:rsidR="000843DA" w:rsidRPr="00C50B5C" w:rsidRDefault="000843DA"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rFonts w:ascii="Utopia-Regular" w:hAnsi="Utopia-Regular" w:cs="Utopia-Regular"/>
                <w:sz w:val="20"/>
                <w:szCs w:val="20"/>
                <w:lang w:val="en-US"/>
              </w:rPr>
              <w:t>kWh/Car</w:t>
            </w:r>
          </w:p>
        </w:tc>
        <w:tc>
          <w:tcPr>
            <w:tcW w:w="2903" w:type="dxa"/>
            <w:tcBorders>
              <w:top w:val="single" w:sz="4" w:space="0" w:color="auto"/>
              <w:bottom w:val="nil"/>
            </w:tcBorders>
          </w:tcPr>
          <w:p w14:paraId="6F305EF4" w14:textId="77777777" w:rsidR="000843DA" w:rsidRPr="00C50B5C" w:rsidRDefault="000843DA"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Battery capacity of Plug-in Hybrid Electric Vehicles</w:t>
            </w:r>
          </w:p>
        </w:tc>
        <w:tc>
          <w:tcPr>
            <w:tcW w:w="848" w:type="dxa"/>
            <w:tcBorders>
              <w:top w:val="single" w:sz="4" w:space="0" w:color="auto"/>
              <w:bottom w:val="nil"/>
            </w:tcBorders>
          </w:tcPr>
          <w:p w14:paraId="2DB79893" w14:textId="64A40AD3" w:rsidR="000843DA" w:rsidRPr="00C50B5C" w:rsidRDefault="000843DA"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sidR="000B1EDF" w:rsidRPr="00C50B5C">
              <w:rPr>
                <w:sz w:val="20"/>
                <w:szCs w:val="20"/>
                <w:lang w:val="en-US"/>
              </w:rPr>
              <w:instrText>ADDIN CSL_CITATION {"citationItems":[{"id":"ITEM-1","itemData":{"author":[{"dropping-particle":"","family":"Bloomberg NEF","given":"","non-dropping-particle":"","parse-names":false,"suffix":""}],"id":"ITEM-1","issued":{"date-parts":[["2019"]]},"title":"2H 2019 Battery Metals Outlook: Demand Realities","type":"report"},"uris":["http://www.mendeley.com/documents/?uuid=926e9be0-c293-315b-bd61-9dd2219261d3"]}],"mendeley":{"formattedCitation":"&lt;sup&gt;1&lt;/sup&gt;","plainTextFormattedCitation":"1","previouslyFormattedCitation":"&lt;sup&gt;1&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1</w:t>
            </w:r>
            <w:r w:rsidRPr="00C50B5C">
              <w:rPr>
                <w:sz w:val="20"/>
                <w:szCs w:val="20"/>
                <w:lang w:val="en-US"/>
              </w:rPr>
              <w:fldChar w:fldCharType="end"/>
            </w:r>
          </w:p>
        </w:tc>
      </w:tr>
      <w:tr w:rsidR="00C544CF" w:rsidRPr="00C50B5C" w14:paraId="366239D5"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791C5882" w14:textId="77777777" w:rsidR="000843DA" w:rsidRPr="00C50B5C" w:rsidRDefault="000843DA"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Battery capacity BEV</w:t>
            </w:r>
          </w:p>
        </w:tc>
        <w:tc>
          <w:tcPr>
            <w:tcW w:w="1121" w:type="dxa"/>
            <w:tcBorders>
              <w:top w:val="nil"/>
              <w:bottom w:val="nil"/>
            </w:tcBorders>
          </w:tcPr>
          <w:p w14:paraId="4F7C65F1" w14:textId="77777777" w:rsidR="000843DA" w:rsidRPr="00C50B5C" w:rsidRDefault="000843DA"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30</w:t>
            </w:r>
          </w:p>
        </w:tc>
        <w:tc>
          <w:tcPr>
            <w:tcW w:w="1148" w:type="dxa"/>
            <w:tcBorders>
              <w:top w:val="nil"/>
              <w:bottom w:val="nil"/>
            </w:tcBorders>
          </w:tcPr>
          <w:p w14:paraId="725FABFC" w14:textId="77777777" w:rsidR="000843DA" w:rsidRPr="00C50B5C" w:rsidRDefault="000843DA"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120</w:t>
            </w:r>
          </w:p>
        </w:tc>
        <w:tc>
          <w:tcPr>
            <w:tcW w:w="1160" w:type="dxa"/>
            <w:tcBorders>
              <w:top w:val="nil"/>
              <w:bottom w:val="nil"/>
            </w:tcBorders>
          </w:tcPr>
          <w:p w14:paraId="5B55CFCA" w14:textId="77777777" w:rsidR="000843DA" w:rsidRPr="00C50B5C" w:rsidRDefault="000843DA"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kWh/Car</w:t>
            </w:r>
          </w:p>
        </w:tc>
        <w:tc>
          <w:tcPr>
            <w:tcW w:w="2903" w:type="dxa"/>
            <w:tcBorders>
              <w:top w:val="nil"/>
              <w:bottom w:val="nil"/>
            </w:tcBorders>
          </w:tcPr>
          <w:p w14:paraId="0611724C" w14:textId="77777777" w:rsidR="000843DA" w:rsidRPr="00C50B5C" w:rsidRDefault="000843DA"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Battery capacity of Battery Electric Vehicles</w:t>
            </w:r>
          </w:p>
        </w:tc>
        <w:tc>
          <w:tcPr>
            <w:tcW w:w="848" w:type="dxa"/>
            <w:tcBorders>
              <w:top w:val="nil"/>
              <w:bottom w:val="nil"/>
            </w:tcBorders>
          </w:tcPr>
          <w:p w14:paraId="665A6F06" w14:textId="11AE74F3" w:rsidR="000843DA" w:rsidRPr="00C50B5C" w:rsidRDefault="000843DA"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fldChar w:fldCharType="begin" w:fldLock="1"/>
            </w:r>
            <w:r w:rsidR="000B1EDF" w:rsidRPr="00C50B5C">
              <w:rPr>
                <w:sz w:val="20"/>
                <w:szCs w:val="20"/>
                <w:lang w:val="en-US"/>
              </w:rPr>
              <w:instrText>ADDIN CSL_CITATION {"citationItems":[{"id":"ITEM-1","itemData":{"author":[{"dropping-particle":"","family":"Bloomberg NEF","given":"","non-dropping-particle":"","parse-names":false,"suffix":""}],"id":"ITEM-1","issued":{"date-parts":[["2019"]]},"title":"2H 2019 Battery Metals Outlook: Demand Realities","type":"report"},"uris":["http://www.mendeley.com/documents/?uuid=926e9be0-c293-315b-bd61-9dd2219261d3"]}],"mendeley":{"formattedCitation":"&lt;sup&gt;1&lt;/sup&gt;","plainTextFormattedCitation":"1","previouslyFormattedCitation":"&lt;sup&gt;1&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1</w:t>
            </w:r>
            <w:r w:rsidRPr="00C50B5C">
              <w:rPr>
                <w:sz w:val="20"/>
                <w:szCs w:val="20"/>
                <w:lang w:val="en-US"/>
              </w:rPr>
              <w:fldChar w:fldCharType="end"/>
            </w:r>
          </w:p>
        </w:tc>
      </w:tr>
      <w:tr w:rsidR="00C544CF" w:rsidRPr="00C50B5C" w14:paraId="4BB3055A"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7151757F" w14:textId="77777777" w:rsidR="000843DA" w:rsidRPr="00C50B5C" w:rsidRDefault="000843DA"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 xml:space="preserve">Battery capacity </w:t>
            </w:r>
            <w:proofErr w:type="spellStart"/>
            <w:r w:rsidRPr="00C50B5C">
              <w:rPr>
                <w:rFonts w:hAnsiTheme="minorHAnsi" w:cstheme="minorHAnsi"/>
                <w:b w:val="0"/>
                <w:bCs w:val="0"/>
                <w:sz w:val="20"/>
                <w:szCs w:val="20"/>
                <w:lang w:val="en-US"/>
              </w:rPr>
              <w:t>Etruck</w:t>
            </w:r>
            <w:proofErr w:type="spellEnd"/>
          </w:p>
        </w:tc>
        <w:tc>
          <w:tcPr>
            <w:tcW w:w="1121" w:type="dxa"/>
            <w:tcBorders>
              <w:top w:val="nil"/>
              <w:bottom w:val="nil"/>
            </w:tcBorders>
          </w:tcPr>
          <w:p w14:paraId="5D157029" w14:textId="77777777" w:rsidR="000843DA" w:rsidRPr="00C50B5C" w:rsidRDefault="000843DA"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70</w:t>
            </w:r>
          </w:p>
        </w:tc>
        <w:tc>
          <w:tcPr>
            <w:tcW w:w="1148" w:type="dxa"/>
            <w:tcBorders>
              <w:top w:val="nil"/>
              <w:bottom w:val="nil"/>
            </w:tcBorders>
          </w:tcPr>
          <w:p w14:paraId="1A7CCBCF" w14:textId="77777777" w:rsidR="000843DA" w:rsidRPr="00C50B5C" w:rsidRDefault="000843DA"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150</w:t>
            </w:r>
          </w:p>
        </w:tc>
        <w:tc>
          <w:tcPr>
            <w:tcW w:w="1160" w:type="dxa"/>
            <w:tcBorders>
              <w:top w:val="nil"/>
              <w:bottom w:val="nil"/>
            </w:tcBorders>
          </w:tcPr>
          <w:p w14:paraId="40A381CA" w14:textId="77777777" w:rsidR="000843DA" w:rsidRPr="00C50B5C" w:rsidRDefault="000843DA"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kWh/Truck</w:t>
            </w:r>
          </w:p>
        </w:tc>
        <w:tc>
          <w:tcPr>
            <w:tcW w:w="2903" w:type="dxa"/>
            <w:tcBorders>
              <w:top w:val="nil"/>
              <w:bottom w:val="nil"/>
            </w:tcBorders>
          </w:tcPr>
          <w:p w14:paraId="5BB7080F" w14:textId="77777777" w:rsidR="000843DA" w:rsidRPr="00C50B5C" w:rsidRDefault="000843DA"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 xml:space="preserve">Battery capacity of </w:t>
            </w:r>
            <w:proofErr w:type="spellStart"/>
            <w:r w:rsidRPr="00C50B5C">
              <w:rPr>
                <w:sz w:val="20"/>
                <w:szCs w:val="20"/>
                <w:lang w:val="en-US"/>
              </w:rPr>
              <w:t>Etrucks</w:t>
            </w:r>
            <w:proofErr w:type="spellEnd"/>
          </w:p>
        </w:tc>
        <w:tc>
          <w:tcPr>
            <w:tcW w:w="848" w:type="dxa"/>
            <w:tcBorders>
              <w:top w:val="nil"/>
              <w:bottom w:val="nil"/>
            </w:tcBorders>
          </w:tcPr>
          <w:p w14:paraId="17BD13F3" w14:textId="642AA832" w:rsidR="000843DA" w:rsidRPr="00C50B5C" w:rsidRDefault="000843DA"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sidR="000B1EDF" w:rsidRPr="00C50B5C">
              <w:rPr>
                <w:sz w:val="20"/>
                <w:szCs w:val="20"/>
                <w:lang w:val="en-US"/>
              </w:rPr>
              <w:instrText>ADDIN CSL_CITATION {"citationItems":[{"id":"ITEM-1","itemData":{"author":[{"dropping-particle":"","family":"Englmann","given":"F C","non-dropping-particle":"","parse-names":false,"suffix":""},{"dropping-particle":"","family":"Woeckener","given":"B","non-dropping-particle":"","parse-names":false,"suffix":""}],"id":"ITEM-1","issued":{"date-parts":[["2019"]]},"publisher":"Instit</w:instrText>
            </w:r>
            <w:r w:rsidR="000B1EDF" w:rsidRPr="00C50B5C">
              <w:rPr>
                <w:sz w:val="20"/>
                <w:szCs w:val="20"/>
                <w:lang w:val="en-US"/>
              </w:rPr>
              <w:instrText>ü</w:instrText>
            </w:r>
            <w:r w:rsidR="000B1EDF" w:rsidRPr="00C50B5C">
              <w:rPr>
                <w:sz w:val="20"/>
                <w:szCs w:val="20"/>
                <w:lang w:val="en-US"/>
              </w:rPr>
              <w:instrText>t f</w:instrText>
            </w:r>
            <w:r w:rsidR="000B1EDF" w:rsidRPr="00C50B5C">
              <w:rPr>
                <w:sz w:val="20"/>
                <w:szCs w:val="20"/>
                <w:lang w:val="en-US"/>
              </w:rPr>
              <w:instrText>ü</w:instrText>
            </w:r>
            <w:r w:rsidR="000B1EDF" w:rsidRPr="00C50B5C">
              <w:rPr>
                <w:sz w:val="20"/>
                <w:szCs w:val="20"/>
                <w:lang w:val="en-US"/>
              </w:rPr>
              <w:instrText>r Volkswirtschaftslehre und Recht der Universit</w:instrText>
            </w:r>
            <w:r w:rsidR="000B1EDF" w:rsidRPr="00C50B5C">
              <w:rPr>
                <w:sz w:val="20"/>
                <w:szCs w:val="20"/>
                <w:lang w:val="en-US"/>
              </w:rPr>
              <w:instrText>ä</w:instrText>
            </w:r>
            <w:r w:rsidR="000B1EDF" w:rsidRPr="00C50B5C">
              <w:rPr>
                <w:sz w:val="20"/>
                <w:szCs w:val="20"/>
                <w:lang w:val="en-US"/>
              </w:rPr>
              <w:instrText>t Stuttgart","publisher-place":"Stuttgart, Germany","title":"Adoptation and Diffusion of Electric Trucks in Urban Freight Transport","type":"book"},"uris":["http://www.mendeley.com/documents/?uuid=c2e4e037-5cc0-4431-9f53-992c689c4db3"]}],"mendeley":{"formattedCitation":"&lt;sup&gt;2&lt;/sup&gt;","plainTextFormattedCitation":"2","previouslyFormattedCitation":"&lt;sup&gt;2&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2</w:t>
            </w:r>
            <w:r w:rsidRPr="00C50B5C">
              <w:rPr>
                <w:sz w:val="20"/>
                <w:szCs w:val="20"/>
                <w:lang w:val="en-US"/>
              </w:rPr>
              <w:fldChar w:fldCharType="end"/>
            </w:r>
          </w:p>
        </w:tc>
      </w:tr>
      <w:tr w:rsidR="00C544CF" w:rsidRPr="00C50B5C" w14:paraId="19BDF705"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7C63FAA9" w14:textId="2A66E4CB" w:rsidR="000B1EDF" w:rsidRPr="00C50B5C" w:rsidRDefault="000B1EDF"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 xml:space="preserve">Battery capacity </w:t>
            </w:r>
            <w:proofErr w:type="spellStart"/>
            <w:r w:rsidRPr="00C50B5C">
              <w:rPr>
                <w:rFonts w:hAnsiTheme="minorHAnsi" w:cstheme="minorHAnsi"/>
                <w:b w:val="0"/>
                <w:bCs w:val="0"/>
                <w:sz w:val="20"/>
                <w:szCs w:val="20"/>
                <w:lang w:val="en-US"/>
              </w:rPr>
              <w:t>Ebus</w:t>
            </w:r>
            <w:proofErr w:type="spellEnd"/>
          </w:p>
        </w:tc>
        <w:tc>
          <w:tcPr>
            <w:tcW w:w="1121" w:type="dxa"/>
            <w:tcBorders>
              <w:top w:val="nil"/>
              <w:bottom w:val="nil"/>
            </w:tcBorders>
          </w:tcPr>
          <w:p w14:paraId="22942599" w14:textId="28A8A53B" w:rsidR="000B1EDF" w:rsidRPr="00C50B5C" w:rsidRDefault="000B1ED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150</w:t>
            </w:r>
          </w:p>
        </w:tc>
        <w:tc>
          <w:tcPr>
            <w:tcW w:w="1148" w:type="dxa"/>
            <w:tcBorders>
              <w:top w:val="nil"/>
              <w:bottom w:val="nil"/>
            </w:tcBorders>
          </w:tcPr>
          <w:p w14:paraId="28733055" w14:textId="7E2B30BD" w:rsidR="000B1EDF" w:rsidRPr="00C50B5C" w:rsidRDefault="000B1ED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220</w:t>
            </w:r>
          </w:p>
        </w:tc>
        <w:tc>
          <w:tcPr>
            <w:tcW w:w="1160" w:type="dxa"/>
            <w:tcBorders>
              <w:top w:val="nil"/>
              <w:bottom w:val="nil"/>
            </w:tcBorders>
          </w:tcPr>
          <w:p w14:paraId="6611E6DF" w14:textId="5C54BBCF" w:rsidR="000B1EDF" w:rsidRPr="00C50B5C" w:rsidRDefault="000B1ED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kWh/Bus</w:t>
            </w:r>
          </w:p>
        </w:tc>
        <w:tc>
          <w:tcPr>
            <w:tcW w:w="2903" w:type="dxa"/>
            <w:tcBorders>
              <w:top w:val="nil"/>
              <w:bottom w:val="nil"/>
            </w:tcBorders>
          </w:tcPr>
          <w:p w14:paraId="57D2E97A" w14:textId="6C6592B6" w:rsidR="000B1EDF" w:rsidRPr="00C50B5C" w:rsidRDefault="000B1ED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 xml:space="preserve">Battery capacity of </w:t>
            </w:r>
            <w:proofErr w:type="spellStart"/>
            <w:r w:rsidRPr="00C50B5C">
              <w:rPr>
                <w:sz w:val="20"/>
                <w:szCs w:val="20"/>
                <w:lang w:val="en-US"/>
              </w:rPr>
              <w:t>Ebuses</w:t>
            </w:r>
            <w:proofErr w:type="spellEnd"/>
          </w:p>
        </w:tc>
        <w:tc>
          <w:tcPr>
            <w:tcW w:w="848" w:type="dxa"/>
            <w:tcBorders>
              <w:top w:val="nil"/>
              <w:bottom w:val="nil"/>
            </w:tcBorders>
          </w:tcPr>
          <w:p w14:paraId="5153DFCF" w14:textId="03F4A5F4" w:rsidR="000B1EDF" w:rsidRPr="00C50B5C" w:rsidRDefault="000B1ED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{"citationItems":[{"id":"ITEM-1","itemData":{"author":[{"dropping-particle":"","family":"EEA","given":"","non-dropping-particle":"","parse-names":false,"suffix":""}],"id":"ITEM-1","issued":{"date-parts":[["2018"]]},"publisher-place":"Brussels","title":"Size of the vehicle fleet in Europe","type":"report"},"uris":["http://www.mendeley.com/documents/?uuid=3b62197e-788a-371a-b62c-e4fa7ec777f1"]}],"mendeley":{"formattedCitation":"&lt;sup&gt;3&lt;/sup&gt;","plainTextFormattedCitation":"3","previouslyFormattedCitation":"&lt;sup&gt;3&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3</w:t>
            </w:r>
            <w:r w:rsidRPr="00C50B5C">
              <w:rPr>
                <w:sz w:val="20"/>
                <w:szCs w:val="20"/>
                <w:lang w:val="en-US"/>
              </w:rPr>
              <w:fldChar w:fldCharType="end"/>
            </w:r>
          </w:p>
        </w:tc>
      </w:tr>
      <w:tr w:rsidR="00B44741" w:rsidRPr="00C50B5C" w14:paraId="1A234D9B"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0EC27905" w14:textId="790E7861" w:rsidR="000B1EDF" w:rsidRPr="00C50B5C" w:rsidRDefault="000B1EDF"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Increase in demand stationary storage</w:t>
            </w:r>
          </w:p>
        </w:tc>
        <w:tc>
          <w:tcPr>
            <w:tcW w:w="1121" w:type="dxa"/>
            <w:tcBorders>
              <w:top w:val="nil"/>
              <w:bottom w:val="nil"/>
            </w:tcBorders>
          </w:tcPr>
          <w:p w14:paraId="55A96B5D" w14:textId="4F6433D5"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0.2</w:t>
            </w:r>
          </w:p>
        </w:tc>
        <w:tc>
          <w:tcPr>
            <w:tcW w:w="1148" w:type="dxa"/>
            <w:tcBorders>
              <w:top w:val="nil"/>
              <w:bottom w:val="nil"/>
            </w:tcBorders>
          </w:tcPr>
          <w:p w14:paraId="5F88B19D" w14:textId="17ACE49E"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0.4</w:t>
            </w:r>
          </w:p>
        </w:tc>
        <w:tc>
          <w:tcPr>
            <w:tcW w:w="1160" w:type="dxa"/>
            <w:tcBorders>
              <w:top w:val="nil"/>
              <w:bottom w:val="nil"/>
            </w:tcBorders>
          </w:tcPr>
          <w:p w14:paraId="1A12C448" w14:textId="664975F2"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C50B5C">
              <w:rPr>
                <w:sz w:val="20"/>
                <w:szCs w:val="20"/>
                <w:lang w:val="en-US"/>
              </w:rPr>
              <w:t>Dmnl</w:t>
            </w:r>
            <w:proofErr w:type="spellEnd"/>
          </w:p>
        </w:tc>
        <w:tc>
          <w:tcPr>
            <w:tcW w:w="2903" w:type="dxa"/>
            <w:tcBorders>
              <w:top w:val="nil"/>
              <w:bottom w:val="nil"/>
            </w:tcBorders>
          </w:tcPr>
          <w:p w14:paraId="5D00B561" w14:textId="149F2465"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Factor determining increase in demand of stationary storage over time</w:t>
            </w:r>
          </w:p>
        </w:tc>
        <w:tc>
          <w:tcPr>
            <w:tcW w:w="848" w:type="dxa"/>
            <w:tcBorders>
              <w:top w:val="nil"/>
              <w:bottom w:val="nil"/>
            </w:tcBorders>
          </w:tcPr>
          <w:p w14:paraId="7F3B1F0E" w14:textId="07459A35"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{"citationItems":[{"id":"ITEM-1","itemData":{"author":[{"dropping-particle":"","family":"Bloomberg NEF","given":"","non-dropping-particle":"","parse-names":false,"suffix":""}],"id":"ITEM-1","issued":{"date-parts":[["2019"]]},"title":"2H 2019 Battery Metals Outlook: Demand Realities","type":"report"},"uris":["http://www.mendeley.com/documents/?uuid=926e9be0-c293-315b-bd61-9dd2219261d3"]}],"mendeley":{"formattedCitation":"&lt;sup&gt;1&lt;/sup&gt;","plainTextFormattedCitation":"1","previouslyFormattedCitation":"&lt;sup&gt;1&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1</w:t>
            </w:r>
            <w:r w:rsidRPr="00C50B5C">
              <w:rPr>
                <w:sz w:val="20"/>
                <w:szCs w:val="20"/>
                <w:lang w:val="en-US"/>
              </w:rPr>
              <w:fldChar w:fldCharType="end"/>
            </w:r>
          </w:p>
        </w:tc>
      </w:tr>
      <w:tr w:rsidR="00E50857" w:rsidRPr="00C50B5C" w14:paraId="7E695DDD"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1679E5DA" w14:textId="758D2338" w:rsidR="000B1EDF" w:rsidRPr="00C50B5C" w:rsidRDefault="000B1EDF"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Slowing of increase in demand stationary storage</w:t>
            </w:r>
          </w:p>
        </w:tc>
        <w:tc>
          <w:tcPr>
            <w:tcW w:w="1121" w:type="dxa"/>
            <w:tcBorders>
              <w:top w:val="nil"/>
              <w:bottom w:val="nil"/>
            </w:tcBorders>
          </w:tcPr>
          <w:p w14:paraId="5D73A40D" w14:textId="54F13382" w:rsidR="000B1EDF" w:rsidRPr="00C50B5C" w:rsidRDefault="000B1ED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0.88</w:t>
            </w:r>
          </w:p>
        </w:tc>
        <w:tc>
          <w:tcPr>
            <w:tcW w:w="1148" w:type="dxa"/>
            <w:tcBorders>
              <w:top w:val="nil"/>
              <w:bottom w:val="nil"/>
            </w:tcBorders>
          </w:tcPr>
          <w:p w14:paraId="386967FB" w14:textId="6136F822" w:rsidR="000B1EDF" w:rsidRPr="00C50B5C" w:rsidRDefault="000B1ED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0.96</w:t>
            </w:r>
          </w:p>
        </w:tc>
        <w:tc>
          <w:tcPr>
            <w:tcW w:w="1160" w:type="dxa"/>
            <w:tcBorders>
              <w:top w:val="nil"/>
              <w:bottom w:val="nil"/>
            </w:tcBorders>
          </w:tcPr>
          <w:p w14:paraId="3EC6D92E" w14:textId="21E4EC49" w:rsidR="000B1EDF" w:rsidRPr="00C50B5C" w:rsidRDefault="000B1ED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C50B5C">
              <w:rPr>
                <w:sz w:val="20"/>
                <w:szCs w:val="20"/>
                <w:lang w:val="en-US"/>
              </w:rPr>
              <w:t>Dmnl</w:t>
            </w:r>
            <w:proofErr w:type="spellEnd"/>
          </w:p>
        </w:tc>
        <w:tc>
          <w:tcPr>
            <w:tcW w:w="2903" w:type="dxa"/>
            <w:tcBorders>
              <w:top w:val="nil"/>
              <w:bottom w:val="nil"/>
            </w:tcBorders>
          </w:tcPr>
          <w:p w14:paraId="6D86A11C" w14:textId="4D7D30A3" w:rsidR="000B1EDF" w:rsidRPr="00C50B5C" w:rsidRDefault="000B1ED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Factor determining slowing of increase in demand of stationary storage</w:t>
            </w:r>
          </w:p>
        </w:tc>
        <w:tc>
          <w:tcPr>
            <w:tcW w:w="848" w:type="dxa"/>
            <w:tcBorders>
              <w:top w:val="nil"/>
              <w:bottom w:val="nil"/>
            </w:tcBorders>
          </w:tcPr>
          <w:p w14:paraId="60DFA27C" w14:textId="0F8C2564" w:rsidR="000B1EDF" w:rsidRPr="00C50B5C" w:rsidRDefault="000B1ED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{"citationItems":[{"id":"ITEM-1","itemData":{"author":[{"dropping-particle":"","family":"Bloomberg NEF","given":"","non-dropping-particle":"","parse-names":false,"suffix":""}],"id":"ITEM-1","issued":{"date-parts":[["2019"]]},"title":"2H 2019 Battery Metals Outlook: Demand Realities","type":"report"},"uris":["http://www.mendeley.com/documents/?uuid=926e9be0-c293-315b-bd61-9dd2219261d3"]}],"mendeley":{"formattedCitation":"&lt;sup&gt;1&lt;/sup&gt;","plainTextFormattedCitation":"1","previouslyFormattedCitation":"&lt;sup&gt;1&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1</w:t>
            </w:r>
            <w:r w:rsidRPr="00C50B5C">
              <w:rPr>
                <w:sz w:val="20"/>
                <w:szCs w:val="20"/>
                <w:lang w:val="en-US"/>
              </w:rPr>
              <w:fldChar w:fldCharType="end"/>
            </w:r>
          </w:p>
        </w:tc>
      </w:tr>
      <w:tr w:rsidR="00C544CF" w:rsidRPr="00C50B5C" w14:paraId="7014879F"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single" w:sz="4" w:space="0" w:color="auto"/>
            </w:tcBorders>
          </w:tcPr>
          <w:p w14:paraId="2DE130C0" w14:textId="77777777" w:rsidR="000B1EDF" w:rsidRPr="00C50B5C" w:rsidRDefault="000B1EDF"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Number of cars per dollar GDP</w:t>
            </w:r>
          </w:p>
        </w:tc>
        <w:tc>
          <w:tcPr>
            <w:tcW w:w="1121" w:type="dxa"/>
            <w:tcBorders>
              <w:top w:val="nil"/>
              <w:bottom w:val="single" w:sz="4" w:space="0" w:color="auto"/>
            </w:tcBorders>
          </w:tcPr>
          <w:p w14:paraId="33181489" w14:textId="77777777"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1.37E-6</w:t>
            </w:r>
          </w:p>
        </w:tc>
        <w:tc>
          <w:tcPr>
            <w:tcW w:w="1148" w:type="dxa"/>
            <w:tcBorders>
              <w:top w:val="nil"/>
              <w:bottom w:val="single" w:sz="4" w:space="0" w:color="auto"/>
            </w:tcBorders>
          </w:tcPr>
          <w:p w14:paraId="3DD89CFE" w14:textId="77777777"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2.37E-6</w:t>
            </w:r>
          </w:p>
        </w:tc>
        <w:tc>
          <w:tcPr>
            <w:tcW w:w="1160" w:type="dxa"/>
            <w:tcBorders>
              <w:top w:val="nil"/>
              <w:bottom w:val="single" w:sz="4" w:space="0" w:color="auto"/>
            </w:tcBorders>
          </w:tcPr>
          <w:p w14:paraId="3A0B9238" w14:textId="77777777"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Car/Dollar</w:t>
            </w:r>
          </w:p>
        </w:tc>
        <w:tc>
          <w:tcPr>
            <w:tcW w:w="2903" w:type="dxa"/>
            <w:tcBorders>
              <w:top w:val="nil"/>
              <w:bottom w:val="single" w:sz="4" w:space="0" w:color="auto"/>
            </w:tcBorders>
          </w:tcPr>
          <w:p w14:paraId="68F52EEE" w14:textId="77777777"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Number of cars that are bought per extra dollar of GDP</w:t>
            </w:r>
          </w:p>
        </w:tc>
        <w:tc>
          <w:tcPr>
            <w:tcW w:w="848" w:type="dxa"/>
            <w:tcBorders>
              <w:top w:val="nil"/>
              <w:bottom w:val="single" w:sz="4" w:space="0" w:color="auto"/>
            </w:tcBorders>
          </w:tcPr>
          <w:p w14:paraId="21165055" w14:textId="73F469CF"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{"citationItems":[{"id":"ITEM-1","itemData":{"author":[{"dropping-particle":"","family":"Sivak","given":"M","non-dropping-particle":"","parse-names":false,"suffix":""}],"id":"ITEM-1","issued":{"date-parts":[["2013"]]},"publisher-place":"Michigan, USA","title":"PREDICTING VEHICLE SALES FROM GDP IN 48 COUNTRIES: 2005-2011","type":"report"},"uris":["http://www.mendeley.com/documents/?uuid=3a2357d9-4139-3a3a-a5c2-a9c1b43c2396"]}],"mendeley":{"formattedCitation":"&lt;sup&gt;4&lt;/sup&gt;","plainTextFormattedCitation":"4","previouslyFormattedCitation":"&lt;sup&gt;4&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4</w:t>
            </w:r>
            <w:r w:rsidRPr="00C50B5C">
              <w:rPr>
                <w:sz w:val="20"/>
                <w:szCs w:val="20"/>
                <w:lang w:val="en-US"/>
              </w:rPr>
              <w:fldChar w:fldCharType="end"/>
            </w:r>
          </w:p>
        </w:tc>
      </w:tr>
      <w:tr w:rsidR="000B1EDF" w:rsidRPr="00E51D3A" w14:paraId="4C43A2CB"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6"/>
            <w:tcBorders>
              <w:top w:val="single" w:sz="4" w:space="0" w:color="auto"/>
              <w:bottom w:val="single" w:sz="4" w:space="0" w:color="auto"/>
            </w:tcBorders>
          </w:tcPr>
          <w:p w14:paraId="5EA3C82F" w14:textId="782FF16A" w:rsidR="000B1EDF" w:rsidRPr="00C50B5C" w:rsidRDefault="000B1EDF" w:rsidP="002D47EB">
            <w:pPr>
              <w:rPr>
                <w:rFonts w:hAnsiTheme="minorHAnsi" w:cstheme="minorHAnsi"/>
                <w:b w:val="0"/>
                <w:bCs w:val="0"/>
                <w:sz w:val="20"/>
                <w:szCs w:val="20"/>
                <w:lang w:val="en-US"/>
              </w:rPr>
            </w:pPr>
            <w:r w:rsidRPr="00C50B5C">
              <w:rPr>
                <w:rFonts w:hAnsiTheme="minorHAnsi" w:cstheme="minorHAnsi"/>
                <w:b w:val="0"/>
                <w:bCs w:val="0"/>
                <w:i/>
                <w:iCs/>
                <w:sz w:val="20"/>
                <w:szCs w:val="20"/>
                <w:lang w:val="en-US"/>
              </w:rPr>
              <w:t xml:space="preserve">Variables related resources, reserves and mining </w:t>
            </w:r>
          </w:p>
        </w:tc>
      </w:tr>
      <w:tr w:rsidR="00E50857" w:rsidRPr="00C50B5C" w14:paraId="6F1E9A09"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single" w:sz="4" w:space="0" w:color="auto"/>
              <w:bottom w:val="nil"/>
            </w:tcBorders>
          </w:tcPr>
          <w:p w14:paraId="59C918EA" w14:textId="2169F9CA" w:rsidR="000B1EDF" w:rsidRPr="00C50B5C" w:rsidRDefault="000B1EDF"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Percentage lost during artisanal mining</w:t>
            </w:r>
          </w:p>
        </w:tc>
        <w:tc>
          <w:tcPr>
            <w:tcW w:w="1121" w:type="dxa"/>
            <w:tcBorders>
              <w:top w:val="single" w:sz="4" w:space="0" w:color="auto"/>
              <w:bottom w:val="nil"/>
            </w:tcBorders>
          </w:tcPr>
          <w:p w14:paraId="12CDBAAD" w14:textId="36870251" w:rsidR="000B1EDF" w:rsidRPr="00C50B5C" w:rsidRDefault="00B44741"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40</w:t>
            </w:r>
          </w:p>
        </w:tc>
        <w:tc>
          <w:tcPr>
            <w:tcW w:w="1148" w:type="dxa"/>
            <w:tcBorders>
              <w:top w:val="single" w:sz="4" w:space="0" w:color="auto"/>
              <w:bottom w:val="nil"/>
            </w:tcBorders>
          </w:tcPr>
          <w:p w14:paraId="797F4760" w14:textId="7C0D68F7" w:rsidR="000B1EDF" w:rsidRPr="00C50B5C" w:rsidRDefault="00B44741"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60</w:t>
            </w:r>
          </w:p>
        </w:tc>
        <w:tc>
          <w:tcPr>
            <w:tcW w:w="1160" w:type="dxa"/>
            <w:tcBorders>
              <w:top w:val="single" w:sz="4" w:space="0" w:color="auto"/>
              <w:bottom w:val="nil"/>
            </w:tcBorders>
          </w:tcPr>
          <w:p w14:paraId="22E2277C" w14:textId="27C5688A" w:rsidR="000B1EDF" w:rsidRPr="00C50B5C" w:rsidRDefault="002D47EB"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w:t>
            </w:r>
          </w:p>
        </w:tc>
        <w:tc>
          <w:tcPr>
            <w:tcW w:w="2903" w:type="dxa"/>
            <w:tcBorders>
              <w:top w:val="single" w:sz="4" w:space="0" w:color="auto"/>
              <w:bottom w:val="nil"/>
            </w:tcBorders>
          </w:tcPr>
          <w:p w14:paraId="59119264" w14:textId="4FC2F3D4"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Percentage of raw metal that is lost during artisanal mining</w:t>
            </w:r>
          </w:p>
        </w:tc>
        <w:tc>
          <w:tcPr>
            <w:tcW w:w="848" w:type="dxa"/>
            <w:tcBorders>
              <w:top w:val="single" w:sz="4" w:space="0" w:color="auto"/>
              <w:bottom w:val="nil"/>
            </w:tcBorders>
          </w:tcPr>
          <w:p w14:paraId="1229F813" w14:textId="01B81EE6" w:rsidR="000B1EDF" w:rsidRPr="00C50B5C" w:rsidRDefault="000B1ED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sidR="00C544CF" w:rsidRPr="00C50B5C">
              <w:rPr>
                <w:sz w:val="20"/>
                <w:szCs w:val="20"/>
                <w:lang w:val="en-US"/>
              </w:rPr>
              <w:instrText>ADDIN CSL_CITATION {"citationItems":[{"id":"ITEM-1","itemData":{"author":[{"dropping-particle":"","family":"Auping","given":"W L","non-dropping-particle":"","parse-names":false,"suffix":""},{"dropping-particle":"","family":"Pruyt","given":"E","non-dropping-particle":"","parse-names":false,"suffix":""}],"container-title":"Proceedings of the 31st International Conference of the System Dynamics Society","id":"ITEM-1","issued":{"date-parts":[["2013"]]},"title":"(Un)desired Tantalum?","type":"paper-conference"},"uris":["http://www.mendeley.com/documents/?uuid=9f25d293-6587-408b-b090-3ba3ef5e4670"]}],"mendeley":{"formattedCitation":"&lt;sup&gt;5&lt;/sup&gt;","plainTextFormattedCitation":"5","previouslyFormattedCitation":"&lt;sup&gt;5&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5</w:t>
            </w:r>
            <w:r w:rsidRPr="00C50B5C">
              <w:rPr>
                <w:sz w:val="20"/>
                <w:szCs w:val="20"/>
                <w:lang w:val="en-US"/>
              </w:rPr>
              <w:fldChar w:fldCharType="end"/>
            </w:r>
          </w:p>
        </w:tc>
      </w:tr>
      <w:tr w:rsidR="00E50857" w:rsidRPr="00C50B5C" w14:paraId="2F3A60FA"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040840C3" w14:textId="6D84F8FC" w:rsidR="000B1EDF" w:rsidRPr="00C50B5C" w:rsidRDefault="000B1EDF"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 xml:space="preserve">Part artisanal mining from </w:t>
            </w:r>
            <w:proofErr w:type="spellStart"/>
            <w:r w:rsidRPr="00C50B5C">
              <w:rPr>
                <w:rFonts w:hAnsiTheme="minorHAnsi" w:cstheme="minorHAnsi"/>
                <w:b w:val="0"/>
                <w:bCs w:val="0"/>
                <w:sz w:val="20"/>
                <w:szCs w:val="20"/>
                <w:lang w:val="en-US"/>
              </w:rPr>
              <w:t>cl</w:t>
            </w:r>
            <w:r w:rsidR="003D602A">
              <w:rPr>
                <w:rFonts w:hAnsiTheme="minorHAnsi" w:cstheme="minorHAnsi"/>
                <w:b w:val="0"/>
                <w:bCs w:val="0"/>
                <w:sz w:val="20"/>
                <w:szCs w:val="20"/>
                <w:lang w:val="en-US"/>
              </w:rPr>
              <w:t>A</w:t>
            </w:r>
            <w:r w:rsidRPr="00C50B5C">
              <w:rPr>
                <w:rFonts w:hAnsiTheme="minorHAnsi" w:cstheme="minorHAnsi"/>
                <w:b w:val="0"/>
                <w:bCs w:val="0"/>
                <w:sz w:val="20"/>
                <w:szCs w:val="20"/>
                <w:lang w:val="en-US"/>
              </w:rPr>
              <w:t>ified</w:t>
            </w:r>
            <w:proofErr w:type="spellEnd"/>
            <w:r w:rsidRPr="00C50B5C">
              <w:rPr>
                <w:rFonts w:hAnsiTheme="minorHAnsi" w:cstheme="minorHAnsi"/>
                <w:b w:val="0"/>
                <w:bCs w:val="0"/>
                <w:sz w:val="20"/>
                <w:szCs w:val="20"/>
                <w:lang w:val="en-US"/>
              </w:rPr>
              <w:t xml:space="preserve"> reserves</w:t>
            </w:r>
          </w:p>
        </w:tc>
        <w:tc>
          <w:tcPr>
            <w:tcW w:w="1121" w:type="dxa"/>
            <w:tcBorders>
              <w:top w:val="nil"/>
              <w:bottom w:val="nil"/>
            </w:tcBorders>
          </w:tcPr>
          <w:p w14:paraId="4BA9251F" w14:textId="69B41F94" w:rsidR="000B1EDF" w:rsidRPr="00C50B5C" w:rsidRDefault="00B44741"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10</w:t>
            </w:r>
          </w:p>
        </w:tc>
        <w:tc>
          <w:tcPr>
            <w:tcW w:w="1148" w:type="dxa"/>
            <w:tcBorders>
              <w:top w:val="nil"/>
              <w:bottom w:val="nil"/>
            </w:tcBorders>
          </w:tcPr>
          <w:p w14:paraId="3301FD84" w14:textId="198BB016" w:rsidR="000B1EDF" w:rsidRPr="00C50B5C" w:rsidRDefault="00B44741"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30</w:t>
            </w:r>
          </w:p>
        </w:tc>
        <w:tc>
          <w:tcPr>
            <w:tcW w:w="1160" w:type="dxa"/>
            <w:tcBorders>
              <w:top w:val="nil"/>
              <w:bottom w:val="nil"/>
            </w:tcBorders>
          </w:tcPr>
          <w:p w14:paraId="6E676FF7" w14:textId="21395DB2" w:rsidR="000B1EDF" w:rsidRPr="00C50B5C" w:rsidRDefault="002D47EB"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w:t>
            </w:r>
          </w:p>
        </w:tc>
        <w:tc>
          <w:tcPr>
            <w:tcW w:w="2903" w:type="dxa"/>
            <w:tcBorders>
              <w:top w:val="nil"/>
              <w:bottom w:val="nil"/>
            </w:tcBorders>
          </w:tcPr>
          <w:p w14:paraId="113F4DB8" w14:textId="606103A1" w:rsidR="000B1EDF" w:rsidRPr="00C50B5C" w:rsidRDefault="000B1ED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 xml:space="preserve">Artisanal miners mine </w:t>
            </w:r>
            <w:r w:rsidR="00C544CF" w:rsidRPr="00C50B5C">
              <w:rPr>
                <w:sz w:val="20"/>
                <w:szCs w:val="20"/>
                <w:lang w:val="en-US"/>
              </w:rPr>
              <w:t xml:space="preserve">either </w:t>
            </w:r>
            <w:r w:rsidRPr="00C50B5C">
              <w:rPr>
                <w:sz w:val="20"/>
                <w:szCs w:val="20"/>
                <w:lang w:val="en-US"/>
              </w:rPr>
              <w:t xml:space="preserve">from their own backyard, </w:t>
            </w:r>
            <w:r w:rsidR="00C544CF" w:rsidRPr="00C50B5C">
              <w:rPr>
                <w:sz w:val="20"/>
                <w:szCs w:val="20"/>
                <w:lang w:val="en-US"/>
              </w:rPr>
              <w:t xml:space="preserve">or </w:t>
            </w:r>
            <w:r w:rsidRPr="00C50B5C">
              <w:rPr>
                <w:sz w:val="20"/>
                <w:szCs w:val="20"/>
                <w:lang w:val="en-US"/>
              </w:rPr>
              <w:t>from</w:t>
            </w:r>
            <w:r w:rsidR="00C544CF" w:rsidRPr="00C50B5C">
              <w:rPr>
                <w:sz w:val="20"/>
                <w:szCs w:val="20"/>
                <w:lang w:val="en-US"/>
              </w:rPr>
              <w:t xml:space="preserve"> </w:t>
            </w:r>
            <w:proofErr w:type="spellStart"/>
            <w:r w:rsidR="00C544CF" w:rsidRPr="00C50B5C">
              <w:rPr>
                <w:sz w:val="20"/>
                <w:szCs w:val="20"/>
                <w:lang w:val="en-US"/>
              </w:rPr>
              <w:t>cl</w:t>
            </w:r>
            <w:r w:rsidR="003D602A">
              <w:rPr>
                <w:sz w:val="20"/>
                <w:szCs w:val="20"/>
                <w:lang w:val="en-US"/>
              </w:rPr>
              <w:t>A</w:t>
            </w:r>
            <w:r w:rsidR="00C544CF" w:rsidRPr="00C50B5C">
              <w:rPr>
                <w:sz w:val="20"/>
                <w:szCs w:val="20"/>
                <w:lang w:val="en-US"/>
              </w:rPr>
              <w:t>ified</w:t>
            </w:r>
            <w:proofErr w:type="spellEnd"/>
            <w:r w:rsidR="00C544CF" w:rsidRPr="00C50B5C">
              <w:rPr>
                <w:sz w:val="20"/>
                <w:szCs w:val="20"/>
                <w:lang w:val="en-US"/>
              </w:rPr>
              <w:t xml:space="preserve"> mine facilities. In the first case, they mine from resources, in the second case they mine from </w:t>
            </w:r>
            <w:proofErr w:type="spellStart"/>
            <w:r w:rsidR="00C544CF" w:rsidRPr="00C50B5C">
              <w:rPr>
                <w:sz w:val="20"/>
                <w:szCs w:val="20"/>
                <w:lang w:val="en-US"/>
              </w:rPr>
              <w:t>cl</w:t>
            </w:r>
            <w:r w:rsidR="003D602A">
              <w:rPr>
                <w:sz w:val="20"/>
                <w:szCs w:val="20"/>
                <w:lang w:val="en-US"/>
              </w:rPr>
              <w:t>A</w:t>
            </w:r>
            <w:r w:rsidR="00C544CF" w:rsidRPr="00C50B5C">
              <w:rPr>
                <w:sz w:val="20"/>
                <w:szCs w:val="20"/>
                <w:lang w:val="en-US"/>
              </w:rPr>
              <w:t>ified</w:t>
            </w:r>
            <w:proofErr w:type="spellEnd"/>
            <w:r w:rsidR="00C544CF" w:rsidRPr="00C50B5C">
              <w:rPr>
                <w:sz w:val="20"/>
                <w:szCs w:val="20"/>
                <w:lang w:val="en-US"/>
              </w:rPr>
              <w:t xml:space="preserve"> reserves.</w:t>
            </w:r>
            <w:r w:rsidRPr="00C50B5C">
              <w:rPr>
                <w:sz w:val="20"/>
                <w:szCs w:val="20"/>
                <w:lang w:val="en-US"/>
              </w:rPr>
              <w:t xml:space="preserve"> </w:t>
            </w:r>
          </w:p>
        </w:tc>
        <w:tc>
          <w:tcPr>
            <w:tcW w:w="848" w:type="dxa"/>
            <w:tcBorders>
              <w:top w:val="nil"/>
              <w:bottom w:val="nil"/>
            </w:tcBorders>
          </w:tcPr>
          <w:p w14:paraId="44955067" w14:textId="069C6FC7" w:rsidR="000B1EDF" w:rsidRPr="00C50B5C" w:rsidRDefault="00C544C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Faber","given":"Benjamin","non-dropping-particle":"","parse-names":false,"suffix":""},{"dropping-particle":"","family":"Krause","given":"Benjamin","non-dropping-particle":"","parse-names":false,"suffix":""},{"dropping-particle":"","family":"S</w:instrText>
            </w:r>
            <w:r w:rsidRPr="00C50B5C">
              <w:rPr>
                <w:sz w:val="20"/>
                <w:szCs w:val="20"/>
                <w:lang w:val="en-US"/>
              </w:rPr>
              <w:instrText>á</w:instrText>
            </w:r>
            <w:r w:rsidRPr="00C50B5C">
              <w:rPr>
                <w:sz w:val="20"/>
                <w:szCs w:val="20"/>
                <w:lang w:val="en-US"/>
              </w:rPr>
              <w:instrText>nchez de la Sierra","given":"Ra</w:instrText>
            </w:r>
            <w:r w:rsidRPr="00C50B5C">
              <w:rPr>
                <w:sz w:val="20"/>
                <w:szCs w:val="20"/>
                <w:lang w:val="en-US"/>
              </w:rPr>
              <w:instrText>ú</w:instrText>
            </w:r>
            <w:r w:rsidRPr="00C50B5C">
              <w:rPr>
                <w:sz w:val="20"/>
                <w:szCs w:val="20"/>
                <w:lang w:val="en-US"/>
              </w:rPr>
              <w:instrText>l","non-dropping-particle":"","parse-names":false,"suffix":""}],"id":"ITEM-1","issued":{"date-parts":[["2017"]]},"publisher-place":"Berkeley, USA","title":"Artisanal Mining, Livelihoods, and Child Labor in the Cobalt Supply Chain of the Democratic Republic of Congo","type":"report"},"uris":["http://www.mendeley.com/documents/?uuid=c19c2b80-3a83-38fe-b155-5e55df28abea"]}],"mendeley":{"formattedCitation":"&lt;sup&gt;6&lt;/sup&gt;","plainTextFormattedCitation":"6","previouslyFormattedCitation":"&lt;sup&gt;6&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6</w:t>
            </w:r>
            <w:r w:rsidRPr="00C50B5C">
              <w:rPr>
                <w:sz w:val="20"/>
                <w:szCs w:val="20"/>
                <w:lang w:val="en-US"/>
              </w:rPr>
              <w:fldChar w:fldCharType="end"/>
            </w:r>
          </w:p>
        </w:tc>
      </w:tr>
      <w:tr w:rsidR="00C50B5C" w:rsidRPr="00C50B5C" w14:paraId="3F7AB1EE"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3C2BDE44" w14:textId="7CE74C9D" w:rsidR="00C544CF" w:rsidRPr="00C50B5C" w:rsidRDefault="00C544CF"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Administration time</w:t>
            </w:r>
          </w:p>
        </w:tc>
        <w:tc>
          <w:tcPr>
            <w:tcW w:w="1121" w:type="dxa"/>
            <w:tcBorders>
              <w:top w:val="nil"/>
              <w:bottom w:val="nil"/>
            </w:tcBorders>
          </w:tcPr>
          <w:p w14:paraId="79FAA0A7" w14:textId="6A7ADFBB" w:rsidR="00C544CF" w:rsidRPr="00C50B5C" w:rsidRDefault="00C544C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10</w:t>
            </w:r>
          </w:p>
        </w:tc>
        <w:tc>
          <w:tcPr>
            <w:tcW w:w="1148" w:type="dxa"/>
            <w:tcBorders>
              <w:top w:val="nil"/>
              <w:bottom w:val="nil"/>
            </w:tcBorders>
          </w:tcPr>
          <w:p w14:paraId="1EF23196" w14:textId="418EFA2C" w:rsidR="00C544CF" w:rsidRPr="00C50B5C" w:rsidRDefault="00C544C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20</w:t>
            </w:r>
          </w:p>
        </w:tc>
        <w:tc>
          <w:tcPr>
            <w:tcW w:w="1160" w:type="dxa"/>
            <w:tcBorders>
              <w:top w:val="nil"/>
              <w:bottom w:val="nil"/>
            </w:tcBorders>
          </w:tcPr>
          <w:p w14:paraId="4C651857" w14:textId="510A72DE" w:rsidR="00C544CF" w:rsidRPr="00C50B5C" w:rsidRDefault="00C544C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Year</w:t>
            </w:r>
          </w:p>
        </w:tc>
        <w:tc>
          <w:tcPr>
            <w:tcW w:w="2903" w:type="dxa"/>
            <w:tcBorders>
              <w:top w:val="nil"/>
              <w:bottom w:val="nil"/>
            </w:tcBorders>
          </w:tcPr>
          <w:p w14:paraId="5D639B12" w14:textId="7ACA0C37" w:rsidR="00C544CF" w:rsidRPr="00C50B5C" w:rsidRDefault="00C544C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Time it takes from initiation of plan to build a new time to production</w:t>
            </w:r>
          </w:p>
        </w:tc>
        <w:tc>
          <w:tcPr>
            <w:tcW w:w="848" w:type="dxa"/>
            <w:tcBorders>
              <w:top w:val="nil"/>
              <w:bottom w:val="nil"/>
            </w:tcBorders>
          </w:tcPr>
          <w:p w14:paraId="5140D6BB" w14:textId="19A52CF1" w:rsidR="00C544CF" w:rsidRPr="00C50B5C" w:rsidRDefault="00C544CF"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{"citationItems":[{"id":"ITEM-1","itemData":{"author":[{"dropping-particle":"","family":"Auping","given":"W L","non-dropping-particle":"","parse-names":false,"suffix":""},{"dropping-particle":"","family":"Pruyt","given":"E","non-dropping-particle":"","parse-names":false,"suffix":""}],"container-title":"Proceedings of the 31st International Conference of the System Dynamics Society","id":"ITEM-1","issued":{"date-parts":[["2013"]]},"title":"(Un)desired Tantalum?","type":"paper-conference"},"uris":["http://www.mendeley.com/documents/?uuid=9f25d293-6587-408b-b090-3ba3ef5e4670"]}],"mendeley":{"formattedCitation":"&lt;sup&gt;5&lt;/sup&gt;","plainTextFormattedCitation":"5","previouslyFormattedCitation":"&lt;sup&gt;5&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5</w:t>
            </w:r>
            <w:r w:rsidRPr="00C50B5C">
              <w:rPr>
                <w:sz w:val="20"/>
                <w:szCs w:val="20"/>
                <w:lang w:val="en-US"/>
              </w:rPr>
              <w:fldChar w:fldCharType="end"/>
            </w:r>
          </w:p>
        </w:tc>
      </w:tr>
      <w:tr w:rsidR="00E50857" w:rsidRPr="00C50B5C" w14:paraId="219370E7"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single" w:sz="4" w:space="0" w:color="auto"/>
            </w:tcBorders>
          </w:tcPr>
          <w:p w14:paraId="6DA71D53" w14:textId="1D50663E" w:rsidR="000B1EDF" w:rsidRPr="00C50B5C" w:rsidRDefault="00C544CF"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Average time mining until refining</w:t>
            </w:r>
          </w:p>
        </w:tc>
        <w:tc>
          <w:tcPr>
            <w:tcW w:w="1121" w:type="dxa"/>
            <w:tcBorders>
              <w:top w:val="nil"/>
              <w:bottom w:val="single" w:sz="4" w:space="0" w:color="auto"/>
            </w:tcBorders>
          </w:tcPr>
          <w:p w14:paraId="3F1CF66F" w14:textId="018920D2" w:rsidR="000B1EDF" w:rsidRPr="00C50B5C" w:rsidRDefault="00C544C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0.09</w:t>
            </w:r>
          </w:p>
        </w:tc>
        <w:tc>
          <w:tcPr>
            <w:tcW w:w="1148" w:type="dxa"/>
            <w:tcBorders>
              <w:top w:val="nil"/>
              <w:bottom w:val="single" w:sz="4" w:space="0" w:color="auto"/>
            </w:tcBorders>
          </w:tcPr>
          <w:p w14:paraId="5526CEC6" w14:textId="6CE0B9B6" w:rsidR="000B1EDF" w:rsidRPr="00C50B5C" w:rsidRDefault="00C544C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0.11</w:t>
            </w:r>
          </w:p>
        </w:tc>
        <w:tc>
          <w:tcPr>
            <w:tcW w:w="1160" w:type="dxa"/>
            <w:tcBorders>
              <w:top w:val="nil"/>
              <w:bottom w:val="single" w:sz="4" w:space="0" w:color="auto"/>
            </w:tcBorders>
          </w:tcPr>
          <w:p w14:paraId="4CD76296" w14:textId="755FFAAB" w:rsidR="000B1EDF" w:rsidRPr="00C50B5C" w:rsidRDefault="00C544C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Year</w:t>
            </w:r>
          </w:p>
        </w:tc>
        <w:tc>
          <w:tcPr>
            <w:tcW w:w="2903" w:type="dxa"/>
            <w:tcBorders>
              <w:top w:val="nil"/>
              <w:bottom w:val="single" w:sz="4" w:space="0" w:color="auto"/>
            </w:tcBorders>
          </w:tcPr>
          <w:p w14:paraId="7DEDFA77" w14:textId="12798BDB" w:rsidR="000B1EDF" w:rsidRPr="00C50B5C" w:rsidRDefault="00C544C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Average time it takes for a raw metal to be refined</w:t>
            </w:r>
          </w:p>
        </w:tc>
        <w:tc>
          <w:tcPr>
            <w:tcW w:w="848" w:type="dxa"/>
            <w:tcBorders>
              <w:top w:val="nil"/>
              <w:bottom w:val="single" w:sz="4" w:space="0" w:color="auto"/>
            </w:tcBorders>
          </w:tcPr>
          <w:p w14:paraId="2DAEAF9A" w14:textId="01D7BDB6" w:rsidR="000B1EDF" w:rsidRPr="00C50B5C" w:rsidRDefault="003D602A"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w:t>
            </w:r>
          </w:p>
        </w:tc>
      </w:tr>
      <w:tr w:rsidR="000B1EDF" w:rsidRPr="00E51D3A" w14:paraId="49605EDF" w14:textId="77777777" w:rsidTr="002D47EB">
        <w:tc>
          <w:tcPr>
            <w:cnfStyle w:val="001000000000" w:firstRow="0" w:lastRow="0" w:firstColumn="1" w:lastColumn="0" w:oddVBand="0" w:evenVBand="0" w:oddHBand="0" w:evenHBand="0" w:firstRowFirstColumn="0" w:firstRowLastColumn="0" w:lastRowFirstColumn="0" w:lastRowLastColumn="0"/>
            <w:tcW w:w="9072" w:type="dxa"/>
            <w:gridSpan w:val="6"/>
            <w:tcBorders>
              <w:top w:val="single" w:sz="4" w:space="0" w:color="auto"/>
              <w:bottom w:val="single" w:sz="4" w:space="0" w:color="auto"/>
            </w:tcBorders>
          </w:tcPr>
          <w:p w14:paraId="305F0C1C" w14:textId="7FB3F10D" w:rsidR="000B1EDF" w:rsidRPr="00C50B5C" w:rsidRDefault="000B1EDF" w:rsidP="002D47EB">
            <w:pPr>
              <w:rPr>
                <w:rFonts w:hAnsiTheme="minorHAnsi" w:cstheme="minorHAnsi"/>
                <w:b w:val="0"/>
                <w:bCs w:val="0"/>
                <w:sz w:val="20"/>
                <w:szCs w:val="20"/>
                <w:lang w:val="en-US"/>
              </w:rPr>
            </w:pPr>
            <w:r w:rsidRPr="00C50B5C">
              <w:rPr>
                <w:rFonts w:hAnsiTheme="minorHAnsi" w:cstheme="minorHAnsi"/>
                <w:b w:val="0"/>
                <w:bCs w:val="0"/>
                <w:i/>
                <w:iCs/>
                <w:sz w:val="20"/>
                <w:szCs w:val="20"/>
                <w:lang w:val="en-US"/>
              </w:rPr>
              <w:t xml:space="preserve">Variables </w:t>
            </w:r>
            <w:r w:rsidR="00C544CF" w:rsidRPr="00C50B5C">
              <w:rPr>
                <w:rFonts w:hAnsiTheme="minorHAnsi" w:cstheme="minorHAnsi"/>
                <w:b w:val="0"/>
                <w:bCs w:val="0"/>
                <w:i/>
                <w:iCs/>
                <w:sz w:val="20"/>
                <w:szCs w:val="20"/>
                <w:lang w:val="en-US"/>
              </w:rPr>
              <w:t>related to mining, smelting and refining capacity</w:t>
            </w:r>
            <w:r w:rsidRPr="00C50B5C">
              <w:rPr>
                <w:rFonts w:hAnsiTheme="minorHAnsi" w:cstheme="minorHAnsi"/>
                <w:b w:val="0"/>
                <w:bCs w:val="0"/>
                <w:i/>
                <w:iCs/>
                <w:sz w:val="20"/>
                <w:szCs w:val="20"/>
                <w:lang w:val="en-US"/>
              </w:rPr>
              <w:t xml:space="preserve"> </w:t>
            </w:r>
          </w:p>
        </w:tc>
      </w:tr>
      <w:tr w:rsidR="00E50857" w:rsidRPr="00C50B5C" w14:paraId="55F93A08"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single" w:sz="4" w:space="0" w:color="auto"/>
              <w:bottom w:val="nil"/>
            </w:tcBorders>
          </w:tcPr>
          <w:p w14:paraId="11245C8B" w14:textId="213D6A09" w:rsidR="000B1EDF" w:rsidRPr="00C50B5C" w:rsidRDefault="00C544CF"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Short forecasting period</w:t>
            </w:r>
          </w:p>
        </w:tc>
        <w:tc>
          <w:tcPr>
            <w:tcW w:w="1121" w:type="dxa"/>
            <w:tcBorders>
              <w:top w:val="single" w:sz="4" w:space="0" w:color="auto"/>
              <w:bottom w:val="nil"/>
            </w:tcBorders>
          </w:tcPr>
          <w:p w14:paraId="3AFEF792" w14:textId="531DB2F3" w:rsidR="000B1EDF" w:rsidRPr="00C50B5C" w:rsidRDefault="00C544C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0.5</w:t>
            </w:r>
          </w:p>
        </w:tc>
        <w:tc>
          <w:tcPr>
            <w:tcW w:w="1148" w:type="dxa"/>
            <w:tcBorders>
              <w:top w:val="single" w:sz="4" w:space="0" w:color="auto"/>
              <w:bottom w:val="nil"/>
            </w:tcBorders>
          </w:tcPr>
          <w:p w14:paraId="626C62EB" w14:textId="3566FA1B" w:rsidR="000B1EDF" w:rsidRPr="00C50B5C" w:rsidRDefault="00C544C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2</w:t>
            </w:r>
          </w:p>
        </w:tc>
        <w:tc>
          <w:tcPr>
            <w:tcW w:w="1160" w:type="dxa"/>
            <w:tcBorders>
              <w:top w:val="single" w:sz="4" w:space="0" w:color="auto"/>
              <w:bottom w:val="nil"/>
            </w:tcBorders>
          </w:tcPr>
          <w:p w14:paraId="731BCB20" w14:textId="6A71623A" w:rsidR="000B1EDF" w:rsidRPr="00C50B5C" w:rsidRDefault="00C544CF"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Year</w:t>
            </w:r>
          </w:p>
        </w:tc>
        <w:tc>
          <w:tcPr>
            <w:tcW w:w="2903" w:type="dxa"/>
            <w:tcBorders>
              <w:top w:val="single" w:sz="4" w:space="0" w:color="auto"/>
              <w:bottom w:val="nil"/>
            </w:tcBorders>
          </w:tcPr>
          <w:p w14:paraId="0C4C9133" w14:textId="73B6C8BF" w:rsidR="000B1EDF" w:rsidRPr="00C50B5C" w:rsidRDefault="002D47EB"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Time to forecast ahead</w:t>
            </w:r>
          </w:p>
        </w:tc>
        <w:tc>
          <w:tcPr>
            <w:tcW w:w="848" w:type="dxa"/>
            <w:tcBorders>
              <w:top w:val="single" w:sz="4" w:space="0" w:color="auto"/>
              <w:bottom w:val="nil"/>
            </w:tcBorders>
          </w:tcPr>
          <w:p w14:paraId="706B0DB1" w14:textId="22FE993B" w:rsidR="000B1EDF" w:rsidRPr="00C50B5C" w:rsidRDefault="003D602A" w:rsidP="002D47EB">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w:t>
            </w:r>
          </w:p>
        </w:tc>
      </w:tr>
      <w:tr w:rsidR="00E50857" w:rsidRPr="00C50B5C" w14:paraId="60928A0A"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2F6DE8E8" w14:textId="2A7CC8F7" w:rsidR="00C544CF" w:rsidRPr="00C50B5C" w:rsidRDefault="002D47EB" w:rsidP="002D47EB">
            <w:pPr>
              <w:rPr>
                <w:rFonts w:hAnsiTheme="minorHAnsi" w:cstheme="minorHAnsi"/>
                <w:b w:val="0"/>
                <w:bCs w:val="0"/>
                <w:sz w:val="20"/>
                <w:szCs w:val="20"/>
                <w:lang w:val="en-US"/>
              </w:rPr>
            </w:pPr>
            <w:r w:rsidRPr="00C50B5C">
              <w:rPr>
                <w:rFonts w:hAnsiTheme="minorHAnsi" w:cstheme="minorHAnsi"/>
                <w:b w:val="0"/>
                <w:bCs w:val="0"/>
                <w:sz w:val="20"/>
                <w:szCs w:val="20"/>
                <w:lang w:val="en-US"/>
              </w:rPr>
              <w:t>Minimum usage smelting and refining capacity</w:t>
            </w:r>
          </w:p>
        </w:tc>
        <w:tc>
          <w:tcPr>
            <w:tcW w:w="1121" w:type="dxa"/>
            <w:tcBorders>
              <w:top w:val="nil"/>
              <w:bottom w:val="nil"/>
            </w:tcBorders>
          </w:tcPr>
          <w:p w14:paraId="268CD770" w14:textId="768C1F8D" w:rsidR="00C544CF" w:rsidRPr="00C50B5C" w:rsidRDefault="00B44741"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70</w:t>
            </w:r>
          </w:p>
        </w:tc>
        <w:tc>
          <w:tcPr>
            <w:tcW w:w="1148" w:type="dxa"/>
            <w:tcBorders>
              <w:top w:val="nil"/>
              <w:bottom w:val="nil"/>
            </w:tcBorders>
          </w:tcPr>
          <w:p w14:paraId="04319E49" w14:textId="0440DDA1" w:rsidR="00C544CF" w:rsidRPr="00C50B5C" w:rsidRDefault="00B44741"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90</w:t>
            </w:r>
          </w:p>
        </w:tc>
        <w:tc>
          <w:tcPr>
            <w:tcW w:w="1160" w:type="dxa"/>
            <w:tcBorders>
              <w:top w:val="nil"/>
              <w:bottom w:val="nil"/>
            </w:tcBorders>
          </w:tcPr>
          <w:p w14:paraId="7E920BA4" w14:textId="113BFA5D" w:rsidR="00C544CF" w:rsidRPr="00C50B5C" w:rsidRDefault="002D47EB"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w:t>
            </w:r>
          </w:p>
        </w:tc>
        <w:tc>
          <w:tcPr>
            <w:tcW w:w="2903" w:type="dxa"/>
            <w:tcBorders>
              <w:top w:val="nil"/>
              <w:bottom w:val="nil"/>
            </w:tcBorders>
          </w:tcPr>
          <w:p w14:paraId="43D58A77" w14:textId="668AC6F7" w:rsidR="00C544CF" w:rsidRPr="00C50B5C" w:rsidRDefault="00B44741"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Minimum percentage of smelting and refining capacity in use</w:t>
            </w:r>
          </w:p>
        </w:tc>
        <w:tc>
          <w:tcPr>
            <w:tcW w:w="848" w:type="dxa"/>
            <w:tcBorders>
              <w:top w:val="nil"/>
              <w:bottom w:val="nil"/>
            </w:tcBorders>
          </w:tcPr>
          <w:p w14:paraId="722DC2AE" w14:textId="140776A0" w:rsidR="00C544CF" w:rsidRPr="00C50B5C" w:rsidRDefault="00B44741" w:rsidP="002D47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sidR="000707B0" w:rsidRPr="00C50B5C">
              <w:rPr>
                <w:sz w:val="20"/>
                <w:szCs w:val="20"/>
                <w:lang w:val="en-US"/>
              </w:rPr>
              <w:instrText>ADDIN CSL_CITATION {"citationItems":[{"id":"ITEM-1","itemData":{"author":[{"dropping-particle":"","family":"Auping","given":"W L","non-dropping-particle":"","parse-names":false,"suffix":""}],"id":"ITEM-1","issued":{"date-parts":[["2011"]]},"publisher":"Delft University of Technology","title":"The Uncertain Future of Copper: An Exploratory System Dynamics Model and Analysis of the Global Copper System in the Next 40 Years","type":"thesis"},"uris":["http://www.mendeley.com/documents/?uuid=97434463-7786-3fa7-bf0b-3cd9beb0e418"]}],"mendeley":{"formattedCitation":"&lt;sup&gt;7&lt;/sup&gt;","plainTextFormattedCitation":"7","previouslyFormattedCitation":"&lt;sup&gt;7&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7</w:t>
            </w:r>
            <w:r w:rsidRPr="00C50B5C">
              <w:rPr>
                <w:sz w:val="20"/>
                <w:szCs w:val="20"/>
                <w:lang w:val="en-US"/>
              </w:rPr>
              <w:fldChar w:fldCharType="end"/>
            </w:r>
          </w:p>
        </w:tc>
      </w:tr>
      <w:tr w:rsidR="009F4043" w:rsidRPr="00C50B5C" w14:paraId="6D64FD23"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1AA0843F" w14:textId="73831DBD"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sz w:val="20"/>
                <w:szCs w:val="20"/>
                <w:lang w:val="en-US"/>
              </w:rPr>
              <w:t xml:space="preserve">Minimum usage </w:t>
            </w:r>
            <w:r>
              <w:rPr>
                <w:rFonts w:hAnsiTheme="minorHAnsi" w:cstheme="minorHAnsi"/>
                <w:b w:val="0"/>
                <w:bCs w:val="0"/>
                <w:sz w:val="20"/>
                <w:szCs w:val="20"/>
                <w:lang w:val="en-US"/>
              </w:rPr>
              <w:t xml:space="preserve">mining </w:t>
            </w:r>
            <w:r w:rsidRPr="00C50B5C">
              <w:rPr>
                <w:rFonts w:hAnsiTheme="minorHAnsi" w:cstheme="minorHAnsi"/>
                <w:b w:val="0"/>
                <w:bCs w:val="0"/>
                <w:sz w:val="20"/>
                <w:szCs w:val="20"/>
                <w:lang w:val="en-US"/>
              </w:rPr>
              <w:t>capacity</w:t>
            </w:r>
          </w:p>
        </w:tc>
        <w:tc>
          <w:tcPr>
            <w:tcW w:w="1121" w:type="dxa"/>
            <w:tcBorders>
              <w:top w:val="nil"/>
              <w:bottom w:val="nil"/>
            </w:tcBorders>
          </w:tcPr>
          <w:p w14:paraId="1AFE26C0" w14:textId="69DD2E37"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70</w:t>
            </w:r>
          </w:p>
        </w:tc>
        <w:tc>
          <w:tcPr>
            <w:tcW w:w="1148" w:type="dxa"/>
            <w:tcBorders>
              <w:top w:val="nil"/>
              <w:bottom w:val="nil"/>
            </w:tcBorders>
          </w:tcPr>
          <w:p w14:paraId="232160A1" w14:textId="6542D16A"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90</w:t>
            </w:r>
          </w:p>
        </w:tc>
        <w:tc>
          <w:tcPr>
            <w:tcW w:w="1160" w:type="dxa"/>
            <w:tcBorders>
              <w:top w:val="nil"/>
              <w:bottom w:val="nil"/>
            </w:tcBorders>
          </w:tcPr>
          <w:p w14:paraId="5284C1E6" w14:textId="4F68BCC1"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w:t>
            </w:r>
          </w:p>
        </w:tc>
        <w:tc>
          <w:tcPr>
            <w:tcW w:w="2903" w:type="dxa"/>
            <w:tcBorders>
              <w:top w:val="nil"/>
              <w:bottom w:val="nil"/>
            </w:tcBorders>
          </w:tcPr>
          <w:p w14:paraId="4A0F8459" w14:textId="020C8D9C"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 xml:space="preserve">Minimum percentage of </w:t>
            </w:r>
            <w:r>
              <w:rPr>
                <w:sz w:val="20"/>
                <w:szCs w:val="20"/>
                <w:lang w:val="en-US"/>
              </w:rPr>
              <w:t>mining</w:t>
            </w:r>
            <w:r w:rsidRPr="00C50B5C">
              <w:rPr>
                <w:sz w:val="20"/>
                <w:szCs w:val="20"/>
                <w:lang w:val="en-US"/>
              </w:rPr>
              <w:t xml:space="preserve"> capacity in use</w:t>
            </w:r>
          </w:p>
        </w:tc>
        <w:tc>
          <w:tcPr>
            <w:tcW w:w="848" w:type="dxa"/>
            <w:tcBorders>
              <w:top w:val="nil"/>
              <w:bottom w:val="nil"/>
            </w:tcBorders>
          </w:tcPr>
          <w:p w14:paraId="50552478" w14:textId="1BAC5A70"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{"citationItems":[{"id":"ITEM-1","itemData":{"author":[{"dropping-particle":"","family":"Auping","given":"W L","non-dropping-particle":"","parse-names":false,"suffix":""}],"id":"ITEM-1","issued":{"date-parts":[["2011"]]},"publisher":"Delft University of Technology","title":"The Uncertain Future of Copper: An Exploratory System Dynamics Model and Analysis of the Global Copper System in the Next 40 Years","type":"thesis"},"uris":["http://www.mendeley.com/documents/?uuid=97434463-7786-3fa7-bf0b-3cd9beb0e418"]}],"mendeley":{"formattedCitation":"&lt;sup&gt;7&lt;/sup&gt;","plainTextFormattedCitation":"7","previouslyFormattedCitation":"&lt;sup&gt;7&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7</w:t>
            </w:r>
            <w:r w:rsidRPr="00C50B5C">
              <w:rPr>
                <w:sz w:val="20"/>
                <w:szCs w:val="20"/>
                <w:lang w:val="en-US"/>
              </w:rPr>
              <w:fldChar w:fldCharType="end"/>
            </w:r>
          </w:p>
        </w:tc>
      </w:tr>
      <w:tr w:rsidR="009F4043" w:rsidRPr="00C50B5C" w14:paraId="4A2C62E9"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55343320" w14:textId="36FE6A5B"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sz w:val="20"/>
                <w:szCs w:val="20"/>
                <w:lang w:val="en-US"/>
              </w:rPr>
              <w:t>Percentage lost during operations</w:t>
            </w:r>
          </w:p>
        </w:tc>
        <w:tc>
          <w:tcPr>
            <w:tcW w:w="1121" w:type="dxa"/>
            <w:tcBorders>
              <w:top w:val="nil"/>
              <w:bottom w:val="nil"/>
            </w:tcBorders>
          </w:tcPr>
          <w:p w14:paraId="4E9A33E2" w14:textId="0BFDE147"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4</w:t>
            </w:r>
          </w:p>
        </w:tc>
        <w:tc>
          <w:tcPr>
            <w:tcW w:w="1148" w:type="dxa"/>
            <w:tcBorders>
              <w:top w:val="nil"/>
              <w:bottom w:val="nil"/>
            </w:tcBorders>
          </w:tcPr>
          <w:p w14:paraId="0CC5361A" w14:textId="25B80FB3"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8</w:t>
            </w:r>
          </w:p>
        </w:tc>
        <w:tc>
          <w:tcPr>
            <w:tcW w:w="1160" w:type="dxa"/>
            <w:tcBorders>
              <w:top w:val="nil"/>
              <w:bottom w:val="nil"/>
            </w:tcBorders>
          </w:tcPr>
          <w:p w14:paraId="04B9447D" w14:textId="213F14A1"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w:t>
            </w:r>
          </w:p>
        </w:tc>
        <w:tc>
          <w:tcPr>
            <w:tcW w:w="2903" w:type="dxa"/>
            <w:tcBorders>
              <w:top w:val="nil"/>
              <w:bottom w:val="nil"/>
            </w:tcBorders>
          </w:tcPr>
          <w:p w14:paraId="528515FF" w14:textId="6BB94197"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Percentage lost during mining, smelting and refining</w:t>
            </w:r>
          </w:p>
        </w:tc>
        <w:tc>
          <w:tcPr>
            <w:tcW w:w="848" w:type="dxa"/>
            <w:tcBorders>
              <w:top w:val="nil"/>
              <w:bottom w:val="nil"/>
            </w:tcBorders>
          </w:tcPr>
          <w:p w14:paraId="56A9C661" w14:textId="129C9B66"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{"citationItems":[{"id":"ITEM-1","itemData":{"author":[{"dropping-particle":"","family":"Auping","given":"W L","non-dropping-particle":"","parse-names":false,"suffix":""}],"id":"ITEM-1","issued":{"date-parts":[["2011"]]},"publisher":"Delft University of Technology","title":"The Uncertain Future of Copper: An Exploratory System Dynamics Model and Analysis of the Global Copper System in the Next 40 Years","type":"thesis"},"uris":["http://www.mendeley.com/documents/?uuid=97434463-7786-3fa7-bf0b-3cd9beb0e418"]}],"mendeley":{"formattedCitation":"&lt;sup&gt;7&lt;/sup&gt;","plainTextFormattedCitation":"7","previouslyFormattedCitation":"&lt;sup&gt;7&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7</w:t>
            </w:r>
            <w:r w:rsidRPr="00C50B5C">
              <w:rPr>
                <w:sz w:val="20"/>
                <w:szCs w:val="20"/>
                <w:lang w:val="en-US"/>
              </w:rPr>
              <w:fldChar w:fldCharType="end"/>
            </w:r>
          </w:p>
        </w:tc>
      </w:tr>
      <w:tr w:rsidR="009F4043" w:rsidRPr="00C50B5C" w14:paraId="0225AE63"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4B6A9394" w14:textId="6D55CBFB"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sz w:val="20"/>
                <w:szCs w:val="20"/>
                <w:lang w:val="en-US"/>
              </w:rPr>
              <w:t>Mining usage investment cap</w:t>
            </w:r>
          </w:p>
        </w:tc>
        <w:tc>
          <w:tcPr>
            <w:tcW w:w="1121" w:type="dxa"/>
            <w:tcBorders>
              <w:top w:val="nil"/>
              <w:bottom w:val="nil"/>
            </w:tcBorders>
          </w:tcPr>
          <w:p w14:paraId="52AC71E7" w14:textId="0F7F5412"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0</w:t>
            </w:r>
          </w:p>
        </w:tc>
        <w:tc>
          <w:tcPr>
            <w:tcW w:w="1148" w:type="dxa"/>
            <w:tcBorders>
              <w:top w:val="nil"/>
              <w:bottom w:val="nil"/>
            </w:tcBorders>
          </w:tcPr>
          <w:p w14:paraId="3C9A7C4A" w14:textId="2FC32CC5"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95</w:t>
            </w:r>
          </w:p>
        </w:tc>
        <w:tc>
          <w:tcPr>
            <w:tcW w:w="1160" w:type="dxa"/>
            <w:tcBorders>
              <w:top w:val="nil"/>
              <w:bottom w:val="nil"/>
            </w:tcBorders>
          </w:tcPr>
          <w:p w14:paraId="0D9F06C4" w14:textId="6D99540F"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w:t>
            </w:r>
          </w:p>
        </w:tc>
        <w:tc>
          <w:tcPr>
            <w:tcW w:w="2903" w:type="dxa"/>
            <w:tcBorders>
              <w:top w:val="nil"/>
              <w:bottom w:val="nil"/>
            </w:tcBorders>
          </w:tcPr>
          <w:p w14:paraId="28D3458D" w14:textId="6961CA6C"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Minimum percentage of mining capacity that needs to be in use before investments in new capacity takes place</w:t>
            </w:r>
          </w:p>
        </w:tc>
        <w:tc>
          <w:tcPr>
            <w:tcW w:w="848" w:type="dxa"/>
            <w:tcBorders>
              <w:top w:val="nil"/>
              <w:bottom w:val="nil"/>
            </w:tcBorders>
          </w:tcPr>
          <w:p w14:paraId="4C1FFC7A" w14:textId="3AED846B"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{"citationItems":[{"id":"ITEM-1","itemData":{"author":[{"dropping-particle":"","family":"Auping","given":"W L","non-dropping-particle":"","parse-names":false,"suffix":""}],"id":"ITEM-1","issued":{"date-parts":[["2011"]]},"publisher":"Delft University of Technology","title":"The Uncertain Future of Copper: An Exploratory System Dynamics Model and Analysis of the Global Copper System in the Next 40 Years","type":"thesis"},"uris":["http://www.mendeley.com/documents/?uuid=97434463-7786-3fa7-bf0b-3cd9beb0e418"]}],"mendeley":{"formattedCitation":"&lt;sup&gt;7&lt;/sup&gt;","plainTextFormattedCitation":"7","previouslyFormattedCitation":"&lt;sup&gt;7&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7</w:t>
            </w:r>
            <w:r w:rsidRPr="00C50B5C">
              <w:rPr>
                <w:sz w:val="20"/>
                <w:szCs w:val="20"/>
                <w:lang w:val="en-US"/>
              </w:rPr>
              <w:fldChar w:fldCharType="end"/>
            </w:r>
          </w:p>
        </w:tc>
      </w:tr>
      <w:tr w:rsidR="009F4043" w:rsidRPr="00C50B5C" w14:paraId="4407C89A"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76B69B4E" w14:textId="29B45346"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sz w:val="20"/>
                <w:szCs w:val="20"/>
                <w:lang w:val="en-US"/>
              </w:rPr>
              <w:lastRenderedPageBreak/>
              <w:t>Average permit term</w:t>
            </w:r>
          </w:p>
        </w:tc>
        <w:tc>
          <w:tcPr>
            <w:tcW w:w="1121" w:type="dxa"/>
            <w:tcBorders>
              <w:top w:val="nil"/>
              <w:bottom w:val="nil"/>
            </w:tcBorders>
          </w:tcPr>
          <w:p w14:paraId="56710349" w14:textId="7C343A7F"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5</w:t>
            </w:r>
          </w:p>
        </w:tc>
        <w:tc>
          <w:tcPr>
            <w:tcW w:w="1148" w:type="dxa"/>
            <w:tcBorders>
              <w:top w:val="nil"/>
              <w:bottom w:val="nil"/>
            </w:tcBorders>
          </w:tcPr>
          <w:p w14:paraId="4897DC6A" w14:textId="07309753"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20</w:t>
            </w:r>
          </w:p>
        </w:tc>
        <w:tc>
          <w:tcPr>
            <w:tcW w:w="1160" w:type="dxa"/>
            <w:tcBorders>
              <w:top w:val="nil"/>
              <w:bottom w:val="nil"/>
            </w:tcBorders>
          </w:tcPr>
          <w:p w14:paraId="04EFA0A2" w14:textId="74D4F15A"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Year</w:t>
            </w:r>
          </w:p>
        </w:tc>
        <w:tc>
          <w:tcPr>
            <w:tcW w:w="2903" w:type="dxa"/>
            <w:tcBorders>
              <w:top w:val="nil"/>
              <w:bottom w:val="nil"/>
            </w:tcBorders>
          </w:tcPr>
          <w:p w14:paraId="77F21D52" w14:textId="6FB5FF0E"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Average time before permits for new mining capacity are given</w:t>
            </w:r>
          </w:p>
        </w:tc>
        <w:tc>
          <w:tcPr>
            <w:tcW w:w="848" w:type="dxa"/>
            <w:tcBorders>
              <w:top w:val="nil"/>
              <w:bottom w:val="nil"/>
            </w:tcBorders>
          </w:tcPr>
          <w:p w14:paraId="1E5BD504" w14:textId="3CAB7200"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{"citationItems":[{"id":"ITEM-1","itemData":{"author":[{"dropping-particle":"","family":"Kindt","given":"P","non-dropping-particle":"","parse-names":false,"suffix":""}],"id":"ITEM-1","issued":{"date-parts":[["2019"]]},"title":"Private correspondence","type":"article"},"uris":["http://www.mendeley.com/documents/?uuid=84ce95dd-4f63-46eb-8767-fde181a177c4"]}],"mendeley":{"formattedCitation":"&lt;sup&gt;8&lt;/sup&gt;","plainTextFormattedCitation":"8","previouslyFormattedCitation":"&lt;sup&gt;8&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8</w:t>
            </w:r>
            <w:r w:rsidRPr="00C50B5C">
              <w:rPr>
                <w:sz w:val="20"/>
                <w:szCs w:val="20"/>
                <w:lang w:val="en-US"/>
              </w:rPr>
              <w:fldChar w:fldCharType="end"/>
            </w:r>
          </w:p>
        </w:tc>
      </w:tr>
      <w:tr w:rsidR="009F4043" w:rsidRPr="00C50B5C" w14:paraId="3B8D3259"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4EA78FD5" w14:textId="04EA4A9E"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sz w:val="20"/>
                <w:szCs w:val="20"/>
                <w:lang w:val="en-US"/>
              </w:rPr>
              <w:t xml:space="preserve">Smelter and </w:t>
            </w:r>
            <w:proofErr w:type="spellStart"/>
            <w:r w:rsidRPr="00C50B5C">
              <w:rPr>
                <w:rFonts w:hAnsiTheme="minorHAnsi" w:cstheme="minorHAnsi"/>
                <w:b w:val="0"/>
                <w:bCs w:val="0"/>
                <w:sz w:val="20"/>
                <w:szCs w:val="20"/>
                <w:lang w:val="en-US"/>
              </w:rPr>
              <w:t>refiner</w:t>
            </w:r>
            <w:proofErr w:type="spellEnd"/>
            <w:r w:rsidRPr="00C50B5C">
              <w:rPr>
                <w:rFonts w:hAnsiTheme="minorHAnsi" w:cstheme="minorHAnsi"/>
                <w:b w:val="0"/>
                <w:bCs w:val="0"/>
                <w:sz w:val="20"/>
                <w:szCs w:val="20"/>
                <w:lang w:val="en-US"/>
              </w:rPr>
              <w:t xml:space="preserve"> usage investment cap</w:t>
            </w:r>
          </w:p>
        </w:tc>
        <w:tc>
          <w:tcPr>
            <w:tcW w:w="1121" w:type="dxa"/>
            <w:tcBorders>
              <w:top w:val="nil"/>
              <w:bottom w:val="nil"/>
            </w:tcBorders>
          </w:tcPr>
          <w:p w14:paraId="0D45BC32" w14:textId="77777777"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48" w:type="dxa"/>
            <w:tcBorders>
              <w:top w:val="nil"/>
              <w:bottom w:val="nil"/>
            </w:tcBorders>
          </w:tcPr>
          <w:p w14:paraId="475172A0" w14:textId="77777777"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60" w:type="dxa"/>
            <w:tcBorders>
              <w:top w:val="nil"/>
              <w:bottom w:val="nil"/>
            </w:tcBorders>
          </w:tcPr>
          <w:p w14:paraId="1AA74143" w14:textId="77777777"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2903" w:type="dxa"/>
            <w:tcBorders>
              <w:top w:val="nil"/>
              <w:bottom w:val="nil"/>
            </w:tcBorders>
          </w:tcPr>
          <w:p w14:paraId="1D7F78B7" w14:textId="67E18639"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Minimum percentage of smelting and refining capacity that needs to be in use before investments in new capacity takes place</w:t>
            </w:r>
          </w:p>
        </w:tc>
        <w:tc>
          <w:tcPr>
            <w:tcW w:w="848" w:type="dxa"/>
            <w:tcBorders>
              <w:top w:val="nil"/>
              <w:bottom w:val="nil"/>
            </w:tcBorders>
          </w:tcPr>
          <w:p w14:paraId="3E46C1FF" w14:textId="60ACFB72"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{"citationItems":[{"id":"ITEM-1","itemData":{"author":[{"dropping-particle":"","family":"Auping","given":"W L","non-dropping-particle":"","parse-names":false,"suffix":""}],"id":"ITEM-1","issued":{"date-parts":[["2011"]]},"publisher":"Delft University of Technology","title":"The Uncertain Future of Copper: An Exploratory System Dynamics Model and Analysis of the Global Copper System in the Next 40 Years","type":"thesis"},"uris":["http://www.mendeley.com/documents/?uuid=97434463-7786-3fa7-bf0b-3cd9beb0e418"]}],"mendeley":{"formattedCitation":"&lt;sup&gt;7&lt;/sup&gt;","plainTextFormattedCitation":"7","previouslyFormattedCitation":"&lt;sup&gt;7&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7</w:t>
            </w:r>
            <w:r w:rsidRPr="00C50B5C">
              <w:rPr>
                <w:sz w:val="20"/>
                <w:szCs w:val="20"/>
                <w:lang w:val="en-US"/>
              </w:rPr>
              <w:fldChar w:fldCharType="end"/>
            </w:r>
          </w:p>
        </w:tc>
      </w:tr>
      <w:tr w:rsidR="009F4043" w:rsidRPr="00C50B5C" w14:paraId="3E0D604A"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01095B32" w14:textId="2F47C32F"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sz w:val="20"/>
                <w:szCs w:val="20"/>
                <w:lang w:val="en-US"/>
              </w:rPr>
              <w:t>Maximum increase recovery rate</w:t>
            </w:r>
          </w:p>
        </w:tc>
        <w:tc>
          <w:tcPr>
            <w:tcW w:w="1121" w:type="dxa"/>
            <w:tcBorders>
              <w:top w:val="nil"/>
              <w:bottom w:val="nil"/>
            </w:tcBorders>
          </w:tcPr>
          <w:p w14:paraId="5EFC3EB1" w14:textId="6F17AC1A"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5</w:t>
            </w:r>
          </w:p>
        </w:tc>
        <w:tc>
          <w:tcPr>
            <w:tcW w:w="1148" w:type="dxa"/>
            <w:tcBorders>
              <w:top w:val="nil"/>
              <w:bottom w:val="nil"/>
            </w:tcBorders>
          </w:tcPr>
          <w:p w14:paraId="0DFDE89E" w14:textId="76BF92BE"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25</w:t>
            </w:r>
          </w:p>
        </w:tc>
        <w:tc>
          <w:tcPr>
            <w:tcW w:w="1160" w:type="dxa"/>
            <w:tcBorders>
              <w:top w:val="nil"/>
              <w:bottom w:val="nil"/>
            </w:tcBorders>
          </w:tcPr>
          <w:p w14:paraId="60D1ABF2" w14:textId="2E6D7C55"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w:t>
            </w:r>
          </w:p>
        </w:tc>
        <w:tc>
          <w:tcPr>
            <w:tcW w:w="2903" w:type="dxa"/>
            <w:tcBorders>
              <w:top w:val="nil"/>
              <w:bottom w:val="nil"/>
            </w:tcBorders>
          </w:tcPr>
          <w:p w14:paraId="66BE45BE" w14:textId="307BE4DD"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Maximum increase in the recovery rate of cobalt</w:t>
            </w:r>
          </w:p>
        </w:tc>
        <w:tc>
          <w:tcPr>
            <w:tcW w:w="848" w:type="dxa"/>
            <w:tcBorders>
              <w:top w:val="nil"/>
              <w:bottom w:val="nil"/>
            </w:tcBorders>
          </w:tcPr>
          <w:p w14:paraId="2C867A44" w14:textId="34F64FE5"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Pr>
                <w:sz w:val="20"/>
                <w:szCs w:val="20"/>
                <w:lang w:val="en-US"/>
              </w:rPr>
              <w:instrText>ADDIN CSL_CITATION {"citationItems":[{"id":"ITEM-1","itemData":{"DOI":"10.1007/s41247-017-0017-0","ISBN":"0123456789","abstract":"The present business-as-usual cobalt use in society is not sustainable. Too much cobalt is lost if only market mechanisms are expected to improve recycling, and unnecessary cobalt is wasted if no policy actions are taken. Increased recycling and better conservation will be able to improve the supply situation, but this will need active policy participation beyond what market mechanisms can do alone. To conserve cobalt for coming generations, present policies must be changed within the next few decades. The sooner policies change, the better for future generations.","author":[{"dropping-particle":"","family":"Sverdrup","given":"Harald Ulrik","non-dropping-particle":"","parse-names":false,"suffix":""},{"dropping-particle":"","family":"Kristin","given":"</w:instrText>
            </w:r>
            <w:r>
              <w:rPr>
                <w:sz w:val="20"/>
                <w:szCs w:val="20"/>
                <w:lang w:val="en-US"/>
              </w:rPr>
              <w:instrText>·</w:instrText>
            </w:r>
            <w:r>
              <w:rPr>
                <w:sz w:val="20"/>
                <w:szCs w:val="20"/>
                <w:lang w:val="en-US"/>
              </w:rPr>
              <w:instrText>","non-dropping-particle":"","parse-names":false,"suffix":""},{"dropping-particle":"","family":"Ragnarsdottir","given":"Vala","non-dropping-particle":"","parse-names":false,"suffix":""},{"dropping-particle":"","family":"Deniz Koca","given":"</w:instrText>
            </w:r>
            <w:r>
              <w:rPr>
                <w:sz w:val="20"/>
                <w:szCs w:val="20"/>
                <w:lang w:val="en-US"/>
              </w:rPr>
              <w:instrText>·</w:instrText>
            </w:r>
            <w:r>
              <w:rPr>
                <w:sz w:val="20"/>
                <w:szCs w:val="20"/>
                <w:lang w:val="en-US"/>
              </w:rPr>
              <w:instrText>","non-dropping-particle":"","parse-names":false,"suffix":""}],"container-title":"BioPhysical Economics and Resource Quality","id":"ITEM-1","issue":"4","issued":{"date-parts":[["2017"]]},"title":"Integrated Modelling of the Global Cobalt Extraction, Supply, Price and Depletion of Extractable Resources Using the WORLD6 Model","type":"article-journal","volume":"2"},"uris":["http://www.mendeley.com/documents/?uuid=d93d1fd6-4048-32dc-be83-db2dbf8436ad"]}],"mendeley":{"formattedCitation":"&lt;sup&gt;9&lt;/sup&gt;","plainTextFormattedCitation":"9","previouslyFormattedCitation":"&lt;sup&gt;9&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9</w:t>
            </w:r>
            <w:r w:rsidRPr="00C50B5C">
              <w:rPr>
                <w:sz w:val="20"/>
                <w:szCs w:val="20"/>
                <w:lang w:val="en-US"/>
              </w:rPr>
              <w:fldChar w:fldCharType="end"/>
            </w:r>
          </w:p>
        </w:tc>
      </w:tr>
      <w:tr w:rsidR="009F4043" w:rsidRPr="00C50B5C" w14:paraId="55DD114E"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637E2FFF" w14:textId="2E11A8ED"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sz w:val="20"/>
                <w:szCs w:val="20"/>
                <w:lang w:val="en-US"/>
              </w:rPr>
              <w:t>Sed hosted typical Co recovery rate</w:t>
            </w:r>
          </w:p>
        </w:tc>
        <w:tc>
          <w:tcPr>
            <w:tcW w:w="1121" w:type="dxa"/>
            <w:tcBorders>
              <w:top w:val="nil"/>
              <w:bottom w:val="nil"/>
            </w:tcBorders>
          </w:tcPr>
          <w:p w14:paraId="7B043B73" w14:textId="5B8D9439"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65</w:t>
            </w:r>
          </w:p>
        </w:tc>
        <w:tc>
          <w:tcPr>
            <w:tcW w:w="1148" w:type="dxa"/>
            <w:tcBorders>
              <w:top w:val="nil"/>
              <w:bottom w:val="nil"/>
            </w:tcBorders>
          </w:tcPr>
          <w:p w14:paraId="6C69A79B" w14:textId="76A1ACB2"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75</w:t>
            </w:r>
          </w:p>
        </w:tc>
        <w:tc>
          <w:tcPr>
            <w:tcW w:w="1160" w:type="dxa"/>
            <w:tcBorders>
              <w:top w:val="nil"/>
              <w:bottom w:val="nil"/>
            </w:tcBorders>
          </w:tcPr>
          <w:p w14:paraId="2C4FD6D4" w14:textId="336B251F"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w:t>
            </w:r>
          </w:p>
        </w:tc>
        <w:tc>
          <w:tcPr>
            <w:tcW w:w="2903" w:type="dxa"/>
            <w:tcBorders>
              <w:top w:val="nil"/>
              <w:bottom w:val="nil"/>
            </w:tcBorders>
          </w:tcPr>
          <w:p w14:paraId="0DF13DB0" w14:textId="6D18A028"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Typical percentage of cobalt in Sediment hosted deposits that is recovered</w:t>
            </w:r>
            <w:r w:rsidR="00E83930">
              <w:rPr>
                <w:sz w:val="20"/>
                <w:szCs w:val="20"/>
                <w:lang w:val="en-US"/>
              </w:rPr>
              <w:t xml:space="preserve"> when mined as by-product</w:t>
            </w:r>
          </w:p>
        </w:tc>
        <w:tc>
          <w:tcPr>
            <w:tcW w:w="848" w:type="dxa"/>
            <w:tcBorders>
              <w:top w:val="nil"/>
              <w:bottom w:val="nil"/>
            </w:tcBorders>
          </w:tcPr>
          <w:p w14:paraId="7AD84507" w14:textId="2A41DE39"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fldChar w:fldCharType="begin" w:fldLock="1"/>
            </w:r>
            <w:r>
              <w:rPr>
                <w:sz w:val="20"/>
                <w:szCs w:val="20"/>
                <w:lang w:val="en-US"/>
              </w:rPr>
              <w:instrText>ADDIN CSL_CITATION {"citationItems":[{"id":"ITEM-1","itemData":{"DOI":"10.1007/s41247-017-0017-0","ISBN":"0123456789","abstract":"The present business-as-usual cobalt use in society is not sustainable. Too much cobalt is lost if only market mechanisms are expected to improve recycling, and unnecessary cobalt is wasted if no policy actions are taken. Increased recycling and better conservation will be able to improve the supply situation, but this will need active policy participation beyond what market mechanisms can do alone. To conserve cobalt for coming generations, present policies must be changed within the next few decades. The sooner policies change, the better for future generations.","author":[{"dropping-particle":"","family":"Sverdrup","given":"Harald Ulrik","non-dropping-particle":"","parse-names":false,"suffix":""},{"dropping-particle":"","family":"Kristin","given":"</w:instrText>
            </w:r>
            <w:r>
              <w:rPr>
                <w:sz w:val="20"/>
                <w:szCs w:val="20"/>
                <w:lang w:val="en-US"/>
              </w:rPr>
              <w:instrText>·</w:instrText>
            </w:r>
            <w:r>
              <w:rPr>
                <w:sz w:val="20"/>
                <w:szCs w:val="20"/>
                <w:lang w:val="en-US"/>
              </w:rPr>
              <w:instrText>","non-dropping-particle":"","parse-names":false,"suffix":""},{"dropping-particle":"","family":"Ragnarsdottir","given":"Vala","non-dropping-particle":"","parse-names":false,"suffix":""},{"dropping-particle":"","family":"Deniz Koca","given":"</w:instrText>
            </w:r>
            <w:r>
              <w:rPr>
                <w:sz w:val="20"/>
                <w:szCs w:val="20"/>
                <w:lang w:val="en-US"/>
              </w:rPr>
              <w:instrText>·</w:instrText>
            </w:r>
            <w:r>
              <w:rPr>
                <w:sz w:val="20"/>
                <w:szCs w:val="20"/>
                <w:lang w:val="en-US"/>
              </w:rPr>
              <w:instrText>","non-dropping-particle":"","parse-names":false,"suffix":""}],"container-title":"BioPhysical Economics and Resource Quality","id":"ITEM-1","issue":"4","issued":{"date-parts":[["2017"]]},"title":"Integrated Modelling of the Global Cobalt Extraction, Supply, Price and Depletion of Extractable Resources Using the WORLD6 Model","type":"article-journal","volume":"2"},"uris":["http://www.mendeley.com/documents/?uuid=d93d1fd6-4048-32dc-be83-db2dbf8436ad"]}],"mendeley":{"formattedCitation":"&lt;sup&gt;9&lt;/sup&gt;","plainTextFormattedCitation":"9","previouslyFormattedCitation":"&lt;sup&gt;9&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9</w:t>
            </w:r>
            <w:r w:rsidRPr="00C50B5C">
              <w:rPr>
                <w:sz w:val="20"/>
                <w:szCs w:val="20"/>
                <w:lang w:val="en-US"/>
              </w:rPr>
              <w:fldChar w:fldCharType="end"/>
            </w:r>
          </w:p>
        </w:tc>
      </w:tr>
      <w:tr w:rsidR="009F4043" w:rsidRPr="00C50B5C" w14:paraId="760B417C"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14FAEDA5" w14:textId="1A801762"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sz w:val="20"/>
                <w:szCs w:val="20"/>
                <w:lang w:val="en-US"/>
              </w:rPr>
              <w:t>Ni laterite Co typical Co recovery rate</w:t>
            </w:r>
          </w:p>
        </w:tc>
        <w:tc>
          <w:tcPr>
            <w:tcW w:w="1121" w:type="dxa"/>
            <w:tcBorders>
              <w:top w:val="nil"/>
              <w:bottom w:val="nil"/>
            </w:tcBorders>
          </w:tcPr>
          <w:p w14:paraId="797B87D6" w14:textId="1100DE23"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62.5</w:t>
            </w:r>
          </w:p>
        </w:tc>
        <w:tc>
          <w:tcPr>
            <w:tcW w:w="1148" w:type="dxa"/>
            <w:tcBorders>
              <w:top w:val="nil"/>
              <w:bottom w:val="nil"/>
            </w:tcBorders>
          </w:tcPr>
          <w:p w14:paraId="13172617" w14:textId="6A08C901"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77.5</w:t>
            </w:r>
          </w:p>
        </w:tc>
        <w:tc>
          <w:tcPr>
            <w:tcW w:w="1160" w:type="dxa"/>
            <w:tcBorders>
              <w:top w:val="nil"/>
              <w:bottom w:val="nil"/>
            </w:tcBorders>
          </w:tcPr>
          <w:p w14:paraId="7A1CF1E1" w14:textId="12307B0B"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w:t>
            </w:r>
          </w:p>
        </w:tc>
        <w:tc>
          <w:tcPr>
            <w:tcW w:w="2903" w:type="dxa"/>
            <w:tcBorders>
              <w:top w:val="nil"/>
              <w:bottom w:val="nil"/>
            </w:tcBorders>
          </w:tcPr>
          <w:p w14:paraId="4378476A" w14:textId="5966A45F"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Typical percentage of cobalt in Nickel laterite deposits that is recovered</w:t>
            </w:r>
            <w:r w:rsidR="00E83930">
              <w:rPr>
                <w:sz w:val="20"/>
                <w:szCs w:val="20"/>
                <w:lang w:val="en-US"/>
              </w:rPr>
              <w:t xml:space="preserve"> when mined as by-product</w:t>
            </w:r>
          </w:p>
        </w:tc>
        <w:tc>
          <w:tcPr>
            <w:tcW w:w="848" w:type="dxa"/>
            <w:tcBorders>
              <w:top w:val="nil"/>
              <w:bottom w:val="nil"/>
            </w:tcBorders>
          </w:tcPr>
          <w:p w14:paraId="78587EF4" w14:textId="14C39CC0"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Pr>
                <w:sz w:val="20"/>
                <w:szCs w:val="20"/>
                <w:lang w:val="en-US"/>
              </w:rPr>
              <w:instrText>ADDIN CSL_CITATION {"citationItems":[{"id":"ITEM-1","itemData":{"DOI":"10.1007/s41247-017-0017-0","ISBN":"0123456789","abstract":"The present business-as-usual cobalt use in society is not sustainable. Too much cobalt is lost if only market mechanisms are expected to improve recycling, and unnecessary cobalt is wasted if no policy actions are taken. Increased recycling and better conservation will be able to improve the supply situation, but this will need active policy participation beyond what market mechanisms can do alone. To conserve cobalt for coming generations, present policies must be changed within the next few decades. The sooner policies change, the better for future generations.","author":[{"dropping-particle":"","family":"Sverdrup","given":"Harald Ulrik","non-dropping-particle":"","parse-names":false,"suffix":""},{"dropping-particle":"","family":"Kristin","given":"</w:instrText>
            </w:r>
            <w:r>
              <w:rPr>
                <w:sz w:val="20"/>
                <w:szCs w:val="20"/>
                <w:lang w:val="en-US"/>
              </w:rPr>
              <w:instrText>·</w:instrText>
            </w:r>
            <w:r>
              <w:rPr>
                <w:sz w:val="20"/>
                <w:szCs w:val="20"/>
                <w:lang w:val="en-US"/>
              </w:rPr>
              <w:instrText>","non-dropping-particle":"","parse-names":false,"suffix":""},{"dropping-particle":"","family":"Ragnarsdottir","given":"Vala","non-dropping-particle":"","parse-names":false,"suffix":""},{"dropping-particle":"","family":"Deniz Koca","given":"</w:instrText>
            </w:r>
            <w:r>
              <w:rPr>
                <w:sz w:val="20"/>
                <w:szCs w:val="20"/>
                <w:lang w:val="en-US"/>
              </w:rPr>
              <w:instrText>·</w:instrText>
            </w:r>
            <w:r>
              <w:rPr>
                <w:sz w:val="20"/>
                <w:szCs w:val="20"/>
                <w:lang w:val="en-US"/>
              </w:rPr>
              <w:instrText>","non-dropping-particle":"","parse-names":false,"suffix":""}],"container-title":"BioPhysical Economics and Resource Quality","id":"ITEM-1","issue":"4","issued":{"date-parts":[["2017"]]},"title":"Integrated Modelling of the Global Cobalt Extraction, Supply, Price and Depletion of Extractable Resources Using the WORLD6 Model","type":"article-journal","volume":"2"},"uris":["http://www.mendeley.com/documents/?uuid=d93d1fd6-4048-32dc-be83-db2dbf8436ad"]}],"mendeley":{"formattedCitation":"&lt;sup&gt;9&lt;/sup&gt;","plainTextFormattedCitation":"9","previouslyFormattedCitation":"&lt;sup&gt;9&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9</w:t>
            </w:r>
            <w:r w:rsidRPr="00C50B5C">
              <w:rPr>
                <w:sz w:val="20"/>
                <w:szCs w:val="20"/>
                <w:lang w:val="en-US"/>
              </w:rPr>
              <w:fldChar w:fldCharType="end"/>
            </w:r>
          </w:p>
        </w:tc>
      </w:tr>
      <w:tr w:rsidR="009F4043" w:rsidRPr="00C50B5C" w14:paraId="136C98DF"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2EC55C70" w14:textId="1C1A0FD6" w:rsidR="009F4043" w:rsidRPr="00C50B5C" w:rsidRDefault="009F4043" w:rsidP="009F4043">
            <w:pPr>
              <w:rPr>
                <w:rFonts w:hAnsiTheme="minorHAnsi" w:cstheme="minorHAnsi"/>
                <w:b w:val="0"/>
                <w:bCs w:val="0"/>
                <w:sz w:val="20"/>
                <w:szCs w:val="20"/>
                <w:lang w:val="en-US"/>
              </w:rPr>
            </w:pPr>
            <w:proofErr w:type="spellStart"/>
            <w:r w:rsidRPr="00C50B5C">
              <w:rPr>
                <w:rFonts w:hAnsiTheme="minorHAnsi" w:cstheme="minorHAnsi"/>
                <w:b w:val="0"/>
                <w:bCs w:val="0"/>
                <w:sz w:val="20"/>
                <w:szCs w:val="20"/>
                <w:lang w:val="en-US"/>
              </w:rPr>
              <w:t>Magm</w:t>
            </w:r>
            <w:proofErr w:type="spellEnd"/>
            <w:r w:rsidRPr="00C50B5C">
              <w:rPr>
                <w:rFonts w:hAnsiTheme="minorHAnsi" w:cstheme="minorHAnsi"/>
                <w:b w:val="0"/>
                <w:bCs w:val="0"/>
                <w:sz w:val="20"/>
                <w:szCs w:val="20"/>
                <w:lang w:val="en-US"/>
              </w:rPr>
              <w:t xml:space="preserve"> sulfide Co typical Co recovery rate</w:t>
            </w:r>
          </w:p>
        </w:tc>
        <w:tc>
          <w:tcPr>
            <w:tcW w:w="1121" w:type="dxa"/>
            <w:tcBorders>
              <w:top w:val="nil"/>
              <w:bottom w:val="nil"/>
            </w:tcBorders>
          </w:tcPr>
          <w:p w14:paraId="64780C20" w14:textId="6126FACC"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55</w:t>
            </w:r>
          </w:p>
        </w:tc>
        <w:tc>
          <w:tcPr>
            <w:tcW w:w="1148" w:type="dxa"/>
            <w:tcBorders>
              <w:top w:val="nil"/>
              <w:bottom w:val="nil"/>
            </w:tcBorders>
          </w:tcPr>
          <w:p w14:paraId="6C7626DA" w14:textId="00502197"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65</w:t>
            </w:r>
          </w:p>
        </w:tc>
        <w:tc>
          <w:tcPr>
            <w:tcW w:w="1160" w:type="dxa"/>
            <w:tcBorders>
              <w:top w:val="nil"/>
              <w:bottom w:val="nil"/>
            </w:tcBorders>
          </w:tcPr>
          <w:p w14:paraId="0BBD635F" w14:textId="1D2558D4"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w:t>
            </w:r>
          </w:p>
        </w:tc>
        <w:tc>
          <w:tcPr>
            <w:tcW w:w="2903" w:type="dxa"/>
            <w:tcBorders>
              <w:top w:val="nil"/>
              <w:bottom w:val="nil"/>
            </w:tcBorders>
          </w:tcPr>
          <w:p w14:paraId="7B99F5D2" w14:textId="4DA3B315"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Typical percentage of cobalt in Magmatic sulfide deposits that is recovered</w:t>
            </w:r>
            <w:r w:rsidR="00E83930">
              <w:rPr>
                <w:sz w:val="20"/>
                <w:szCs w:val="20"/>
                <w:lang w:val="en-US"/>
              </w:rPr>
              <w:t xml:space="preserve"> when mined as by-product</w:t>
            </w:r>
          </w:p>
        </w:tc>
        <w:tc>
          <w:tcPr>
            <w:tcW w:w="848" w:type="dxa"/>
            <w:tcBorders>
              <w:top w:val="nil"/>
              <w:bottom w:val="nil"/>
            </w:tcBorders>
          </w:tcPr>
          <w:p w14:paraId="5C786FF9" w14:textId="7D86A7E7"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fldChar w:fldCharType="begin" w:fldLock="1"/>
            </w:r>
            <w:r>
              <w:rPr>
                <w:sz w:val="20"/>
                <w:szCs w:val="20"/>
                <w:lang w:val="en-US"/>
              </w:rPr>
              <w:instrText>ADDIN CSL_CITATION {"citationItems":[{"id":"ITEM-1","itemData":{"DOI":"10.1007/s41247-017-0017-0","ISBN":"0123456789","abstract":"The present business-as-usual cobalt use in society is not sustainable. Too much cobalt is lost if only market mechanisms are expected to improve recycling, and unnecessary cobalt is wasted if no policy actions are taken. Increased recycling and better conservation will be able to improve the supply situation, but this will need active policy participation beyond what market mechanisms can do alone. To conserve cobalt for coming generations, present policies must be changed within the next few decades. The sooner policies change, the better for future generations.","author":[{"dropping-particle":"","family":"Sverdrup","given":"Harald Ulrik","non-dropping-particle":"","parse-names":false,"suffix":""},{"dropping-particle":"","family":"Kristin","given":"</w:instrText>
            </w:r>
            <w:r>
              <w:rPr>
                <w:sz w:val="20"/>
                <w:szCs w:val="20"/>
                <w:lang w:val="en-US"/>
              </w:rPr>
              <w:instrText>·</w:instrText>
            </w:r>
            <w:r>
              <w:rPr>
                <w:sz w:val="20"/>
                <w:szCs w:val="20"/>
                <w:lang w:val="en-US"/>
              </w:rPr>
              <w:instrText>","non-dropping-particle":"","parse-names":false,"suffix":""},{"dropping-particle":"","family":"Ragnarsdottir","given":"Vala","non-dropping-particle":"","parse-names":false,"suffix":""},{"dropping-particle":"","family":"Deniz Koca","given":"</w:instrText>
            </w:r>
            <w:r>
              <w:rPr>
                <w:sz w:val="20"/>
                <w:szCs w:val="20"/>
                <w:lang w:val="en-US"/>
              </w:rPr>
              <w:instrText>·</w:instrText>
            </w:r>
            <w:r>
              <w:rPr>
                <w:sz w:val="20"/>
                <w:szCs w:val="20"/>
                <w:lang w:val="en-US"/>
              </w:rPr>
              <w:instrText>","non-dropping-particle":"","parse-names":false,"suffix":""}],"container-title":"BioPhysical Economics and Resource Quality","id":"ITEM-1","issue":"4","issued":{"date-parts":[["2017"]]},"title":"Integrated Modelling of the Global Cobalt Extraction, Supply, Price and Depletion of Extractable Resources Using the WORLD6 Model","type":"article-journal","volume":"2"},"uris":["http://www.mendeley.com/documents/?uuid=d93d1fd6-4048-32dc-be83-db2dbf8436ad"]}],"mendeley":{"formattedCitation":"&lt;sup&gt;9&lt;/sup&gt;","plainTextFormattedCitation":"9","previouslyFormattedCitation":"&lt;sup&gt;9&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9</w:t>
            </w:r>
            <w:r w:rsidRPr="00C50B5C">
              <w:rPr>
                <w:sz w:val="20"/>
                <w:szCs w:val="20"/>
                <w:lang w:val="en-US"/>
              </w:rPr>
              <w:fldChar w:fldCharType="end"/>
            </w:r>
          </w:p>
        </w:tc>
      </w:tr>
      <w:tr w:rsidR="009F4043" w:rsidRPr="00C50B5C" w14:paraId="78E202A2"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2A040891" w14:textId="0E83F040"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sz w:val="20"/>
                <w:szCs w:val="20"/>
                <w:lang w:val="en-US"/>
              </w:rPr>
              <w:t>Maximum increase production capacity</w:t>
            </w:r>
          </w:p>
        </w:tc>
        <w:tc>
          <w:tcPr>
            <w:tcW w:w="1121" w:type="dxa"/>
            <w:tcBorders>
              <w:top w:val="nil"/>
              <w:bottom w:val="nil"/>
            </w:tcBorders>
          </w:tcPr>
          <w:p w14:paraId="77C9782A" w14:textId="2285DAE5"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10</w:t>
            </w:r>
          </w:p>
        </w:tc>
        <w:tc>
          <w:tcPr>
            <w:tcW w:w="1148" w:type="dxa"/>
            <w:tcBorders>
              <w:top w:val="nil"/>
              <w:bottom w:val="nil"/>
            </w:tcBorders>
          </w:tcPr>
          <w:p w14:paraId="0713ED21" w14:textId="0B9A703E"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20</w:t>
            </w:r>
          </w:p>
        </w:tc>
        <w:tc>
          <w:tcPr>
            <w:tcW w:w="1160" w:type="dxa"/>
            <w:tcBorders>
              <w:top w:val="nil"/>
              <w:bottom w:val="nil"/>
            </w:tcBorders>
          </w:tcPr>
          <w:p w14:paraId="227CC6DC" w14:textId="4AD0FF69"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%/Year</w:t>
            </w:r>
          </w:p>
        </w:tc>
        <w:tc>
          <w:tcPr>
            <w:tcW w:w="2903" w:type="dxa"/>
            <w:tcBorders>
              <w:top w:val="nil"/>
              <w:bottom w:val="nil"/>
            </w:tcBorders>
          </w:tcPr>
          <w:p w14:paraId="27E59E6B" w14:textId="7595CE9F"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t>Maximum yearly increase in production capacity</w:t>
            </w:r>
          </w:p>
        </w:tc>
        <w:tc>
          <w:tcPr>
            <w:tcW w:w="848" w:type="dxa"/>
            <w:tcBorders>
              <w:top w:val="nil"/>
              <w:bottom w:val="nil"/>
            </w:tcBorders>
          </w:tcPr>
          <w:p w14:paraId="2EFB4710" w14:textId="413F46EE" w:rsidR="009F4043" w:rsidRPr="00C50B5C" w:rsidRDefault="003D602A"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w:t>
            </w:r>
          </w:p>
        </w:tc>
      </w:tr>
      <w:tr w:rsidR="009F4043" w:rsidRPr="00C50B5C" w14:paraId="232AC3BF"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single" w:sz="4" w:space="0" w:color="auto"/>
            </w:tcBorders>
          </w:tcPr>
          <w:p w14:paraId="23DB5F29" w14:textId="73BC3E27"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sz w:val="20"/>
                <w:szCs w:val="20"/>
                <w:lang w:val="en-US"/>
              </w:rPr>
              <w:t>Maximum decrease production capacity</w:t>
            </w:r>
          </w:p>
        </w:tc>
        <w:tc>
          <w:tcPr>
            <w:tcW w:w="1121" w:type="dxa"/>
            <w:tcBorders>
              <w:top w:val="nil"/>
              <w:bottom w:val="single" w:sz="4" w:space="0" w:color="auto"/>
            </w:tcBorders>
          </w:tcPr>
          <w:p w14:paraId="31DE6B8E" w14:textId="2F37AB77"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2</w:t>
            </w:r>
          </w:p>
        </w:tc>
        <w:tc>
          <w:tcPr>
            <w:tcW w:w="1148" w:type="dxa"/>
            <w:tcBorders>
              <w:top w:val="nil"/>
              <w:bottom w:val="single" w:sz="4" w:space="0" w:color="auto"/>
            </w:tcBorders>
          </w:tcPr>
          <w:p w14:paraId="3CD10140" w14:textId="445717E2"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5</w:t>
            </w:r>
          </w:p>
        </w:tc>
        <w:tc>
          <w:tcPr>
            <w:tcW w:w="1160" w:type="dxa"/>
            <w:tcBorders>
              <w:top w:val="nil"/>
              <w:bottom w:val="single" w:sz="4" w:space="0" w:color="auto"/>
            </w:tcBorders>
          </w:tcPr>
          <w:p w14:paraId="3929C5D9" w14:textId="2AC834B5"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%/Year</w:t>
            </w:r>
          </w:p>
        </w:tc>
        <w:tc>
          <w:tcPr>
            <w:tcW w:w="2903" w:type="dxa"/>
            <w:tcBorders>
              <w:top w:val="nil"/>
              <w:bottom w:val="single" w:sz="4" w:space="0" w:color="auto"/>
            </w:tcBorders>
          </w:tcPr>
          <w:p w14:paraId="1297E842" w14:textId="6E1CC435"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t>Maximum yearly decrease in production capacity</w:t>
            </w:r>
          </w:p>
        </w:tc>
        <w:tc>
          <w:tcPr>
            <w:tcW w:w="848" w:type="dxa"/>
            <w:tcBorders>
              <w:top w:val="nil"/>
              <w:bottom w:val="single" w:sz="4" w:space="0" w:color="auto"/>
            </w:tcBorders>
          </w:tcPr>
          <w:p w14:paraId="68B5D7F5" w14:textId="5B8C7B8E" w:rsidR="009F4043" w:rsidRPr="00C50B5C" w:rsidRDefault="003D602A"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w:t>
            </w:r>
          </w:p>
        </w:tc>
      </w:tr>
      <w:tr w:rsidR="009F4043" w:rsidRPr="00E51D3A" w14:paraId="04437011" w14:textId="77777777" w:rsidTr="002D47EB">
        <w:tc>
          <w:tcPr>
            <w:cnfStyle w:val="001000000000" w:firstRow="0" w:lastRow="0" w:firstColumn="1" w:lastColumn="0" w:oddVBand="0" w:evenVBand="0" w:oddHBand="0" w:evenHBand="0" w:firstRowFirstColumn="0" w:firstRowLastColumn="0" w:lastRowFirstColumn="0" w:lastRowLastColumn="0"/>
            <w:tcW w:w="9072" w:type="dxa"/>
            <w:gridSpan w:val="6"/>
            <w:tcBorders>
              <w:top w:val="single" w:sz="4" w:space="0" w:color="auto"/>
              <w:bottom w:val="single" w:sz="4" w:space="0" w:color="auto"/>
            </w:tcBorders>
          </w:tcPr>
          <w:p w14:paraId="5109E92E" w14:textId="77777777"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i/>
                <w:iCs/>
                <w:sz w:val="20"/>
                <w:szCs w:val="20"/>
                <w:lang w:val="en-US"/>
              </w:rPr>
              <w:t xml:space="preserve">Variables related to ore grade – energy requirements </w:t>
            </w:r>
          </w:p>
        </w:tc>
      </w:tr>
      <w:tr w:rsidR="009F4043" w:rsidRPr="00C50B5C" w14:paraId="51EC8913" w14:textId="77777777" w:rsidTr="00C50B5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892" w:type="dxa"/>
            <w:tcBorders>
              <w:top w:val="single" w:sz="4" w:space="0" w:color="auto"/>
              <w:bottom w:val="nil"/>
            </w:tcBorders>
          </w:tcPr>
          <w:p w14:paraId="2A2EF44C" w14:textId="5E16F10A" w:rsidR="009F4043" w:rsidRPr="00C50B5C"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Relation ore grade energy usage copper</w:t>
            </w:r>
          </w:p>
        </w:tc>
        <w:tc>
          <w:tcPr>
            <w:tcW w:w="1121" w:type="dxa"/>
            <w:tcBorders>
              <w:top w:val="single" w:sz="4" w:space="0" w:color="auto"/>
              <w:bottom w:val="nil"/>
            </w:tcBorders>
          </w:tcPr>
          <w:p w14:paraId="665EE352" w14:textId="2E7C644B"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-1.05</w:t>
            </w:r>
          </w:p>
        </w:tc>
        <w:tc>
          <w:tcPr>
            <w:tcW w:w="1148" w:type="dxa"/>
            <w:tcBorders>
              <w:top w:val="single" w:sz="4" w:space="0" w:color="auto"/>
              <w:bottom w:val="nil"/>
            </w:tcBorders>
          </w:tcPr>
          <w:p w14:paraId="6143A737" w14:textId="5A380443"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-0.95</w:t>
            </w:r>
          </w:p>
        </w:tc>
        <w:tc>
          <w:tcPr>
            <w:tcW w:w="1160" w:type="dxa"/>
            <w:tcBorders>
              <w:top w:val="single" w:sz="4" w:space="0" w:color="auto"/>
              <w:bottom w:val="nil"/>
            </w:tcBorders>
          </w:tcPr>
          <w:p w14:paraId="7B72CE6E" w14:textId="50818DE1"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single" w:sz="4" w:space="0" w:color="auto"/>
              <w:bottom w:val="nil"/>
            </w:tcBorders>
          </w:tcPr>
          <w:p w14:paraId="7E664FE9" w14:textId="5C99A816"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Relation between ore grade of copper and the related energy usage of its mining and refining</w:t>
            </w:r>
          </w:p>
        </w:tc>
        <w:tc>
          <w:tcPr>
            <w:tcW w:w="848" w:type="dxa"/>
            <w:tcBorders>
              <w:top w:val="single" w:sz="4" w:space="0" w:color="auto"/>
              <w:bottom w:val="nil"/>
            </w:tcBorders>
          </w:tcPr>
          <w:p w14:paraId="3614AAE3" w14:textId="0E5DA4DD"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{"citationItems":[{"id":"ITEM-1","itemData":{"DOI":"10.1007/s41247-016-0012-x","ISSN":"2366-0112","abstract":"The study evaluated implications of different ore grades and mine-depth on the energy inputs to extract and process copper. Based on a 191 value dataset from 28 copper mining operations, seven model equations explaining operational energy costs were statistically evaluated. Energy costs for copper mines with leaching operations were not found to be significantly affected by ore grades nor mine-depth as all tested equations were rejected in the analysis. In case of mines with milling/ flotation operations, a significant relation was established (p \\ 0.000, R 2 = 0.63 for surface mines and R 2 = 0.84 for underground mines) which was found to be: energy cost is log-linearly dependent on depth plus the reciprocal of ore grade. On the basis of the equation, an ore grade of 0.5, 0.4 and 0.3% at 300 m of depth results in an energy cost of 60, 127 and 447 MJ/kg to obtain a 30%? copper concentrate from underground mines, and 52, 95 and 255 MJ/kg for surface mines, respectively. Energy costs are found to accelerate significantly below the 0.5% ore grade level, which can be interpreted as a biophysical barrier below which mining plus milling/flotation becomes increasingly challenging under current efficiency. In splitting out energy use into diesel and electricity, the study found both impacted by decreasing ore grades, but only electricity usage to be substantially influenced by mine-depth. Depth impacts were established as a 7% increase in electricity costs per 100 m and compounded by ore grades.","author":[{"dropping-particle":"","family":"Koppelaar","given":"R. H. E. M.","non-dropping-particle":"","parse-names":false,"suffix":""},{"dropping-particle":"","family":"Koppelaar","given":"H.","non-dropping-particle":"","parse-names":false,"suffix":""}],"container-title":"BioPhysical Economics and Resource Quality","id":"ITEM-1","issue":"2","issued":{"date-parts":[["2016","12"]]},"publisher":"Springer Science and Business Media LLC","title":"The Ore Grade and Depth Influence on Copper Energy Inputs","type":"article-journal","volume":"1"},"uris":["http://www.mendeley.com/documents/?uuid=04df41cf-b25e-37ad-a54f-67e0cbfe601e"]}],"mendeley":{"formattedCitation":"&lt;sup&gt;10&lt;/sup&gt;","plainTextFormattedCitation":"10","previouslyFormattedCitation":"&lt;sup&gt;10&lt;/sup&gt;"},"properties":{"noteIndex":0},"schema":"https://github.com/citation-style-language/schema/raw/master/csl-citation.json"}</w:instrText>
            </w:r>
            <w:r>
              <w:rPr>
                <w:sz w:val="20"/>
                <w:szCs w:val="20"/>
                <w:lang w:val="en-US"/>
              </w:rPr>
              <w:fldChar w:fldCharType="separate"/>
            </w:r>
            <w:r w:rsidRPr="00C50B5C">
              <w:rPr>
                <w:noProof/>
                <w:sz w:val="20"/>
                <w:szCs w:val="20"/>
                <w:vertAlign w:val="superscript"/>
                <w:lang w:val="en-US"/>
              </w:rPr>
              <w:t>10</w:t>
            </w:r>
            <w:r>
              <w:rPr>
                <w:sz w:val="20"/>
                <w:szCs w:val="20"/>
                <w:lang w:val="en-US"/>
              </w:rPr>
              <w:fldChar w:fldCharType="end"/>
            </w:r>
          </w:p>
        </w:tc>
      </w:tr>
      <w:tr w:rsidR="009F4043" w:rsidRPr="00C50B5C" w14:paraId="61C32737"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7A538A18" w14:textId="5189E134" w:rsidR="009F4043" w:rsidRPr="00C50B5C"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Relation ore grade energy usage nickel</w:t>
            </w:r>
          </w:p>
        </w:tc>
        <w:tc>
          <w:tcPr>
            <w:tcW w:w="1121" w:type="dxa"/>
            <w:tcBorders>
              <w:top w:val="nil"/>
              <w:bottom w:val="nil"/>
            </w:tcBorders>
          </w:tcPr>
          <w:p w14:paraId="71E5C602" w14:textId="6AD9434D"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-0.77</w:t>
            </w:r>
          </w:p>
        </w:tc>
        <w:tc>
          <w:tcPr>
            <w:tcW w:w="1148" w:type="dxa"/>
            <w:tcBorders>
              <w:top w:val="nil"/>
              <w:bottom w:val="nil"/>
            </w:tcBorders>
          </w:tcPr>
          <w:p w14:paraId="16EA2E58" w14:textId="52BD49CE"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-0.67</w:t>
            </w:r>
          </w:p>
        </w:tc>
        <w:tc>
          <w:tcPr>
            <w:tcW w:w="1160" w:type="dxa"/>
            <w:tcBorders>
              <w:top w:val="nil"/>
              <w:bottom w:val="nil"/>
            </w:tcBorders>
          </w:tcPr>
          <w:p w14:paraId="3100A3F0" w14:textId="4BA5D99F"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nil"/>
            </w:tcBorders>
          </w:tcPr>
          <w:p w14:paraId="009DE9FC" w14:textId="0DD232B4"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Relation between ore grade of nickel and the related energy usage of its mining and refining</w:t>
            </w:r>
          </w:p>
        </w:tc>
        <w:tc>
          <w:tcPr>
            <w:tcW w:w="848" w:type="dxa"/>
            <w:tcBorders>
              <w:top w:val="nil"/>
              <w:bottom w:val="nil"/>
            </w:tcBorders>
          </w:tcPr>
          <w:p w14:paraId="45261A13" w14:textId="1D3D991A"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{"citationItems":[{"id":"ITEM-1","itemData":{"DOI":"10.1016/j.resconrec.2017.07.002","ISSN":"18790658","abstract":"Concerns about the long-run availability of metals have led to speculation that resources that have traditionally been available may become increasingly scarce in the future. To investigate this possibility in the case of nickel, we have built upon the history of nickel flows into use for the period 1988 to the present to develop plausible scenarios for the potential future supply and demand of nickel for the planet, and the associated energy and water use. As in other work, these scenarios are not predictions, but rather stories of possible futures that have the purpose of providing perspective and contemplating policy options. We report herein on our results for nickel supply and demand under four scenarios. We find that calculated nickel demand increases by 140</w:instrText>
            </w:r>
            <w:r>
              <w:rPr>
                <w:sz w:val="20"/>
                <w:szCs w:val="20"/>
                <w:lang w:val="en-US"/>
              </w:rPr>
              <w:instrText>–</w:instrText>
            </w:r>
            <w:r>
              <w:rPr>
                <w:sz w:val="20"/>
                <w:szCs w:val="20"/>
                <w:lang w:val="en-US"/>
              </w:rPr>
              <w:instrText>175% by 2025 and 215</w:instrText>
            </w:r>
            <w:r>
              <w:rPr>
                <w:sz w:val="20"/>
                <w:szCs w:val="20"/>
                <w:lang w:val="en-US"/>
              </w:rPr>
              <w:instrText>–</w:instrText>
            </w:r>
            <w:r>
              <w:rPr>
                <w:sz w:val="20"/>
                <w:szCs w:val="20"/>
                <w:lang w:val="en-US"/>
              </w:rPr>
              <w:instrText>350% by 2050, depending on the scenario. The scenario with the highest prospective demand is termed Equitability World, a scenario of transition to a world of more equitable values and institutions. From the perspective of the results for the four scenarios, we conclude that nickel demands could be met until at least 2050 given known geological nickel resources. The energy and water required for nickel production are anticipated to increase to as much as 0.3% and 0.035% of projected 2050 overall global energy and water demands.","author":[{"dropping-particle":"","family":"Elshkaki","given":"Ayman","non-dropping-particle":"","parse-names":false,"suffix":""},{"dropping-particle":"","family":"Reck","given":"B K","non-dropping-particle":"","parse-names":false,"suffix":""},{"dropping-particle":"","family":"Graedel","given":"T E","non-dropping-particle":"","parse-names":false,"suffix":""}],"container-title":"Resources, Conservation and Recycling","id":"ITEM-1","issued":{"date-parts":[["2017"]]},"page":"300-307","title":"Anthropogenic nickel supply, demand, and associated energy and water use","type":"article-journal","volume":"125"},"uris":["http://www.mendeley.com/documents/?uuid=b10b9b17-5d8e-31ca-aa86-a46772d4bc70"]}],"mendeley":{"formattedCitation":"&lt;sup&gt;11&lt;/sup&gt;","plainTextFormattedCitation":"11","previouslyFormattedCitation":"&lt;sup&gt;11&lt;/sup&gt;"},"properties":{"noteIndex":0},"schema":"https://github.com/citation-style-language/schema/raw/master/csl-citation.json"}</w:instrText>
            </w:r>
            <w:r>
              <w:rPr>
                <w:sz w:val="20"/>
                <w:szCs w:val="20"/>
                <w:lang w:val="en-US"/>
              </w:rPr>
              <w:fldChar w:fldCharType="separate"/>
            </w:r>
            <w:r w:rsidRPr="00C50B5C">
              <w:rPr>
                <w:noProof/>
                <w:sz w:val="20"/>
                <w:szCs w:val="20"/>
                <w:vertAlign w:val="superscript"/>
                <w:lang w:val="en-US"/>
              </w:rPr>
              <w:t>11</w:t>
            </w:r>
            <w:r>
              <w:rPr>
                <w:sz w:val="20"/>
                <w:szCs w:val="20"/>
                <w:lang w:val="en-US"/>
              </w:rPr>
              <w:fldChar w:fldCharType="end"/>
            </w:r>
          </w:p>
        </w:tc>
      </w:tr>
      <w:tr w:rsidR="009F4043" w:rsidRPr="00C50B5C" w14:paraId="317092FC"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758237D3" w14:textId="13B95FDB" w:rsidR="009F4043"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Relation ore grade energy usage cobalt</w:t>
            </w:r>
          </w:p>
        </w:tc>
        <w:tc>
          <w:tcPr>
            <w:tcW w:w="1121" w:type="dxa"/>
            <w:tcBorders>
              <w:top w:val="nil"/>
              <w:bottom w:val="nil"/>
            </w:tcBorders>
          </w:tcPr>
          <w:p w14:paraId="1FA49776" w14:textId="35031F5B"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-3.1</w:t>
            </w:r>
          </w:p>
        </w:tc>
        <w:tc>
          <w:tcPr>
            <w:tcW w:w="1148" w:type="dxa"/>
            <w:tcBorders>
              <w:top w:val="nil"/>
              <w:bottom w:val="nil"/>
            </w:tcBorders>
          </w:tcPr>
          <w:p w14:paraId="08533C73" w14:textId="5F1C05DD"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-2.9</w:t>
            </w:r>
          </w:p>
        </w:tc>
        <w:tc>
          <w:tcPr>
            <w:tcW w:w="1160" w:type="dxa"/>
            <w:tcBorders>
              <w:top w:val="nil"/>
              <w:bottom w:val="nil"/>
            </w:tcBorders>
          </w:tcPr>
          <w:p w14:paraId="7C42AC30" w14:textId="7F3D424F"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nil"/>
            </w:tcBorders>
          </w:tcPr>
          <w:p w14:paraId="24D4B848" w14:textId="53EFEDA5"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Relation between ore grade of cobalt and the related energy usage of its mining and refining</w:t>
            </w:r>
          </w:p>
        </w:tc>
        <w:tc>
          <w:tcPr>
            <w:tcW w:w="848" w:type="dxa"/>
            <w:tcBorders>
              <w:top w:val="nil"/>
              <w:bottom w:val="nil"/>
            </w:tcBorders>
          </w:tcPr>
          <w:p w14:paraId="0FAE6BF7" w14:textId="79F24257"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50B5C">
              <w:rPr>
                <w:sz w:val="20"/>
                <w:szCs w:val="20"/>
                <w:lang w:val="en-US"/>
              </w:rPr>
              <w:fldChar w:fldCharType="begin" w:fldLock="1"/>
            </w:r>
            <w:r>
              <w:rPr>
                <w:sz w:val="20"/>
                <w:szCs w:val="20"/>
                <w:lang w:val="en-US"/>
              </w:rPr>
              <w:instrText>ADDIN CSL_CITATION {"citationItems":[{"id":"ITEM-1","itemData":{"DOI":"10.1007/s41247-017-0017-0","ISBN":"0123456789","abstract":"The present business-as-usual cobalt use in society is not sustainable. Too much cobalt is lost if only market mechanisms are expected to improve recycling, and unnecessary cobalt is wasted if no policy actions are taken. Increased recycling and better conservation will be able to improve the supply situation, but this will need active policy participation beyond what market mechanisms can do alone. To conserve cobalt for coming generations, present policies must be changed within the next few decades. The sooner policies change, the better for future generations.","author":[{"dropping-particle":"","family":"Sverdrup","given":"Harald Ulrik","non-dropping-particle":"","parse-names":false,"suffix":""},{"dropping-particle":"","family":"Kristin","given":"</w:instrText>
            </w:r>
            <w:r>
              <w:rPr>
                <w:sz w:val="20"/>
                <w:szCs w:val="20"/>
                <w:lang w:val="en-US"/>
              </w:rPr>
              <w:instrText>·</w:instrText>
            </w:r>
            <w:r>
              <w:rPr>
                <w:sz w:val="20"/>
                <w:szCs w:val="20"/>
                <w:lang w:val="en-US"/>
              </w:rPr>
              <w:instrText>","non-dropping-particle":"","parse-names":false,"suffix":""},{"dropping-particle":"","family":"Ragnarsdottir","given":"Vala","non-dropping-particle":"","parse-names":false,"suffix":""},{"dropping-particle":"","family":"Deniz Koca","given":"</w:instrText>
            </w:r>
            <w:r>
              <w:rPr>
                <w:sz w:val="20"/>
                <w:szCs w:val="20"/>
                <w:lang w:val="en-US"/>
              </w:rPr>
              <w:instrText>·</w:instrText>
            </w:r>
            <w:r>
              <w:rPr>
                <w:sz w:val="20"/>
                <w:szCs w:val="20"/>
                <w:lang w:val="en-US"/>
              </w:rPr>
              <w:instrText>","non-dropping-particle":"","parse-names":false,"suffix":""}],"container-title":"BioPhysical Economics and Resource Quality","id":"ITEM-1","issue":"4","issued":{"date-parts":[["2017"]]},"title":"Integrated Modelling of the Global Cobalt Extraction, Supply, Price and Depletion of Extractable Resources Using the WORLD6 Model","type":"article-journal","volume":"2"},"uris":["http://www.mendeley.com/documents/?uuid=d93d1fd6-4048-32dc-be83-db2dbf8436ad"]}],"mendeley":{"formattedCitation":"&lt;sup&gt;9&lt;/sup&gt;","plainTextFormattedCitation":"9","previouslyFormattedCitation":"&lt;sup&gt;9&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9</w:t>
            </w:r>
            <w:r w:rsidRPr="00C50B5C">
              <w:rPr>
                <w:sz w:val="20"/>
                <w:szCs w:val="20"/>
                <w:lang w:val="en-US"/>
              </w:rPr>
              <w:fldChar w:fldCharType="end"/>
            </w:r>
          </w:p>
        </w:tc>
      </w:tr>
      <w:tr w:rsidR="009F4043" w:rsidRPr="00C50B5C" w14:paraId="20F0062D"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29435374" w14:textId="327C0481" w:rsidR="009F4043"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Base energy usage copper</w:t>
            </w:r>
          </w:p>
        </w:tc>
        <w:tc>
          <w:tcPr>
            <w:tcW w:w="1121" w:type="dxa"/>
            <w:tcBorders>
              <w:top w:val="nil"/>
              <w:bottom w:val="nil"/>
            </w:tcBorders>
          </w:tcPr>
          <w:p w14:paraId="16E55186" w14:textId="69994C3B"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0.075</w:t>
            </w:r>
          </w:p>
        </w:tc>
        <w:tc>
          <w:tcPr>
            <w:tcW w:w="1148" w:type="dxa"/>
            <w:tcBorders>
              <w:top w:val="nil"/>
              <w:bottom w:val="nil"/>
            </w:tcBorders>
          </w:tcPr>
          <w:p w14:paraId="767546FC" w14:textId="37E9F1CB"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0.085</w:t>
            </w:r>
          </w:p>
        </w:tc>
        <w:tc>
          <w:tcPr>
            <w:tcW w:w="1160" w:type="dxa"/>
            <w:tcBorders>
              <w:top w:val="nil"/>
              <w:bottom w:val="nil"/>
            </w:tcBorders>
          </w:tcPr>
          <w:p w14:paraId="0C31326D" w14:textId="364CDEA3"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GJ/</w:t>
            </w:r>
            <w:proofErr w:type="spellStart"/>
            <w:r>
              <w:rPr>
                <w:sz w:val="20"/>
                <w:szCs w:val="20"/>
                <w:lang w:val="en-US"/>
              </w:rPr>
              <w:t>lb</w:t>
            </w:r>
            <w:proofErr w:type="spellEnd"/>
          </w:p>
        </w:tc>
        <w:tc>
          <w:tcPr>
            <w:tcW w:w="2903" w:type="dxa"/>
            <w:tcBorders>
              <w:top w:val="nil"/>
              <w:bottom w:val="nil"/>
            </w:tcBorders>
          </w:tcPr>
          <w:p w14:paraId="56684342" w14:textId="190032DE"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Base energy usage of copper mining and refining per </w:t>
            </w:r>
            <w:proofErr w:type="spellStart"/>
            <w:r>
              <w:rPr>
                <w:sz w:val="20"/>
                <w:szCs w:val="20"/>
                <w:lang w:val="en-US"/>
              </w:rPr>
              <w:t>lb</w:t>
            </w:r>
            <w:proofErr w:type="spellEnd"/>
          </w:p>
        </w:tc>
        <w:tc>
          <w:tcPr>
            <w:tcW w:w="848" w:type="dxa"/>
            <w:tcBorders>
              <w:top w:val="nil"/>
              <w:bottom w:val="nil"/>
            </w:tcBorders>
          </w:tcPr>
          <w:p w14:paraId="78E915A3" w14:textId="326FCD5A"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{"citationItems":[{"id":"ITEM-1","itemData":{"DOI":"10.1007/s41247-016-0012-x","ISSN":"2366-0112","abstract":"The study evaluated implications of different ore grades and mine-depth on the energy inputs to extract and process copper. Based on a 191 value dataset from 28 copper mining operations, seven model equations explaining operational energy costs were statistically evaluated. Energy costs for copper mines with leaching operations were not found to be significantly affected by ore grades nor mine-depth as all tested equations were rejected in the analysis. In case of mines with milling/ flotation operations, a significant relation was established (p \\ 0.000, R 2 = 0.63 for surface mines and R 2 = 0.84 for underground mines) which was found to be: energy cost is log-linearly dependent on depth plus the reciprocal of ore grade. On the basis of the equation, an ore grade of 0.5, 0.4 and 0.3% at 300 m of depth results in an energy cost of 60, 127 and 447 MJ/kg to obtain a 30%? copper concentrate from underground mines, and 52, 95 and 255 MJ/kg for surface mines, respectively. Energy costs are found to accelerate significantly below the 0.5% ore grade level, which can be interpreted as a biophysical barrier below which mining plus milling/flotation becomes increasingly challenging under current efficiency. In splitting out energy use into diesel and electricity, the study found both impacted by decreasing ore grades, but only electricity usage to be substantially influenced by mine-depth. Depth impacts were established as a 7% increase in electricity costs per 100 m and compounded by ore grades.","author":[{"dropping-particle":"","family":"Koppelaar","given":"R. H. E. M.","non-dropping-particle":"","parse-names":false,"suffix":""},{"dropping-particle":"","family":"Koppelaar","given":"H.","non-dropping-particle":"","parse-names":false,"suffix":""}],"container-title":"BioPhysical Economics and Resource Quality","id":"ITEM-1","issue":"2","issued":{"date-parts":[["2016","12"]]},"publisher":"Springer Science and Business Media LLC","title":"The Ore Grade and Depth Influence on Copper Energy Inputs","type":"article-journal","volume":"1"},"uris":["http://www.mendeley.com/documents/?uuid=04df41cf-b25e-37ad-a54f-67e0cbfe601e"]}],"mendeley":{"formattedCitation":"&lt;sup&gt;10&lt;/sup&gt;","plainTextFormattedCitation":"10","previouslyFormattedCitation":"&lt;sup&gt;10&lt;/sup&gt;"},"properties":{"noteIndex":0},"schema":"https://github.com/citation-style-language/schema/raw/master/csl-citation.json"}</w:instrText>
            </w:r>
            <w:r>
              <w:rPr>
                <w:sz w:val="20"/>
                <w:szCs w:val="20"/>
                <w:lang w:val="en-US"/>
              </w:rPr>
              <w:fldChar w:fldCharType="separate"/>
            </w:r>
            <w:r w:rsidRPr="00C50B5C">
              <w:rPr>
                <w:noProof/>
                <w:sz w:val="20"/>
                <w:szCs w:val="20"/>
                <w:vertAlign w:val="superscript"/>
                <w:lang w:val="en-US"/>
              </w:rPr>
              <w:t>10</w:t>
            </w:r>
            <w:r>
              <w:rPr>
                <w:sz w:val="20"/>
                <w:szCs w:val="20"/>
                <w:lang w:val="en-US"/>
              </w:rPr>
              <w:fldChar w:fldCharType="end"/>
            </w:r>
          </w:p>
        </w:tc>
      </w:tr>
      <w:tr w:rsidR="009F4043" w:rsidRPr="00C50B5C" w14:paraId="5F25F185"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16C445E5" w14:textId="71C97918" w:rsidR="009F4043" w:rsidRPr="00C50B5C"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Base energy usage nickel</w:t>
            </w:r>
          </w:p>
        </w:tc>
        <w:tc>
          <w:tcPr>
            <w:tcW w:w="1121" w:type="dxa"/>
            <w:tcBorders>
              <w:top w:val="nil"/>
              <w:bottom w:val="nil"/>
            </w:tcBorders>
          </w:tcPr>
          <w:p w14:paraId="02BA1EAA" w14:textId="2C1A3FED"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0.09</w:t>
            </w:r>
          </w:p>
        </w:tc>
        <w:tc>
          <w:tcPr>
            <w:tcW w:w="1148" w:type="dxa"/>
            <w:tcBorders>
              <w:top w:val="nil"/>
              <w:bottom w:val="nil"/>
            </w:tcBorders>
          </w:tcPr>
          <w:p w14:paraId="39370346" w14:textId="6CD2FE5E"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0.13</w:t>
            </w:r>
          </w:p>
        </w:tc>
        <w:tc>
          <w:tcPr>
            <w:tcW w:w="1160" w:type="dxa"/>
            <w:tcBorders>
              <w:top w:val="nil"/>
              <w:bottom w:val="nil"/>
            </w:tcBorders>
          </w:tcPr>
          <w:p w14:paraId="0E857205" w14:textId="16ACDCAC"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GJ/</w:t>
            </w:r>
            <w:proofErr w:type="spellStart"/>
            <w:r>
              <w:rPr>
                <w:sz w:val="20"/>
                <w:szCs w:val="20"/>
                <w:lang w:val="en-US"/>
              </w:rPr>
              <w:t>lb</w:t>
            </w:r>
            <w:proofErr w:type="spellEnd"/>
          </w:p>
        </w:tc>
        <w:tc>
          <w:tcPr>
            <w:tcW w:w="2903" w:type="dxa"/>
            <w:tcBorders>
              <w:top w:val="nil"/>
              <w:bottom w:val="nil"/>
            </w:tcBorders>
          </w:tcPr>
          <w:p w14:paraId="3073EF47" w14:textId="7E8AC5E7"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Base energy usage of nickel mining and refining per </w:t>
            </w:r>
            <w:proofErr w:type="spellStart"/>
            <w:r>
              <w:rPr>
                <w:sz w:val="20"/>
                <w:szCs w:val="20"/>
                <w:lang w:val="en-US"/>
              </w:rPr>
              <w:t>lb</w:t>
            </w:r>
            <w:proofErr w:type="spellEnd"/>
          </w:p>
        </w:tc>
        <w:tc>
          <w:tcPr>
            <w:tcW w:w="848" w:type="dxa"/>
            <w:tcBorders>
              <w:top w:val="nil"/>
              <w:bottom w:val="nil"/>
            </w:tcBorders>
          </w:tcPr>
          <w:p w14:paraId="6AAF38E1" w14:textId="1105421D"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{"citationItems":[{"id":"ITEM-1","itemData":{"DOI":"10.1016/j.resconrec.2017.07.002","ISSN":"18790658","abstract":"Concerns about the long-run availability of metals have led to speculation that resources that have traditionally been available may become increasingly scarce in the future. To investigate this possibility in the case of nickel, we have built upon the history of nickel flows into use for the period 1988 to the present to develop plausible scenarios for the potential future supply and demand of nickel for the planet, and the associated energy and water use. As in other work, these scenarios are not predictions, but rather stories of possible futures that have the purpose of providing perspective and contemplating policy options. We report herein on our results for nickel supply and demand under four scenarios. We find that calculated nickel demand increases by 140</w:instrText>
            </w:r>
            <w:r>
              <w:rPr>
                <w:sz w:val="20"/>
                <w:szCs w:val="20"/>
                <w:lang w:val="en-US"/>
              </w:rPr>
              <w:instrText>–</w:instrText>
            </w:r>
            <w:r>
              <w:rPr>
                <w:sz w:val="20"/>
                <w:szCs w:val="20"/>
                <w:lang w:val="en-US"/>
              </w:rPr>
              <w:instrText>175% by 2025 and 215</w:instrText>
            </w:r>
            <w:r>
              <w:rPr>
                <w:sz w:val="20"/>
                <w:szCs w:val="20"/>
                <w:lang w:val="en-US"/>
              </w:rPr>
              <w:instrText>–</w:instrText>
            </w:r>
            <w:r>
              <w:rPr>
                <w:sz w:val="20"/>
                <w:szCs w:val="20"/>
                <w:lang w:val="en-US"/>
              </w:rPr>
              <w:instrText>350% by 2050, depending on the scenario. The scenario with the highest prospective demand is termed Equitability World, a scenario of transition to a world of more equitable values and institutions. From the perspective of the results for the four scenarios, we conclude that nickel demands could be met until at least 2050 given known geological nickel resources. The energy and water required for nickel production are anticipated to increase to as much as 0.3% and 0.035% of projected 2050 overall global energy and water demands.","author":[{"dropping-particle":"","family":"Elshkaki","given":"Ayman","non-dropping-particle":"","parse-names":false,"suffix":""},{"dropping-particle":"","family":"Reck","given":"B K","non-dropping-particle":"","parse-names":false,"suffix":""},{"dropping-particle":"","family":"Graedel","given":"T E","non-dropping-particle":"","parse-names":false,"suffix":""}],"container-title":"Resources, Conservation and Recycling","id":"ITEM-1","issued":{"date-parts":[["2017"]]},"page":"300-307","title":"Anthropogenic nickel supply, demand, and associated energy and water use","type":"article-journal","volume":"125"},"uris":["http://www.mendeley.com/documents/?uuid=b10b9b17-5d8e-31ca-aa86-a46772d4bc70"]}],"mendeley":{"formattedCitation":"&lt;sup&gt;11&lt;/sup&gt;","plainTextFormattedCitation":"11","previouslyFormattedCitation":"&lt;sup&gt;11&lt;/sup&gt;"},"properties":{"noteIndex":0},"schema":"https://github.com/citation-style-language/schema/raw/master/csl-citation.json"}</w:instrText>
            </w:r>
            <w:r>
              <w:rPr>
                <w:sz w:val="20"/>
                <w:szCs w:val="20"/>
                <w:lang w:val="en-US"/>
              </w:rPr>
              <w:fldChar w:fldCharType="separate"/>
            </w:r>
            <w:r w:rsidRPr="00C50B5C">
              <w:rPr>
                <w:noProof/>
                <w:sz w:val="20"/>
                <w:szCs w:val="20"/>
                <w:vertAlign w:val="superscript"/>
                <w:lang w:val="en-US"/>
              </w:rPr>
              <w:t>11</w:t>
            </w:r>
            <w:r>
              <w:rPr>
                <w:sz w:val="20"/>
                <w:szCs w:val="20"/>
                <w:lang w:val="en-US"/>
              </w:rPr>
              <w:fldChar w:fldCharType="end"/>
            </w:r>
          </w:p>
        </w:tc>
      </w:tr>
      <w:tr w:rsidR="009F4043" w:rsidRPr="00C50B5C" w14:paraId="02B1798A"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5FAE6FAB" w14:textId="72E02EF9" w:rsidR="009F4043"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Base energy usage cobalt</w:t>
            </w:r>
          </w:p>
        </w:tc>
        <w:tc>
          <w:tcPr>
            <w:tcW w:w="1121" w:type="dxa"/>
            <w:tcBorders>
              <w:top w:val="nil"/>
              <w:bottom w:val="nil"/>
            </w:tcBorders>
          </w:tcPr>
          <w:p w14:paraId="41FED79A" w14:textId="1D76FE6B"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0.09</w:t>
            </w:r>
          </w:p>
        </w:tc>
        <w:tc>
          <w:tcPr>
            <w:tcW w:w="1148" w:type="dxa"/>
            <w:tcBorders>
              <w:top w:val="nil"/>
              <w:bottom w:val="nil"/>
            </w:tcBorders>
          </w:tcPr>
          <w:p w14:paraId="68A1F8AC" w14:textId="790B215D"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0.11</w:t>
            </w:r>
          </w:p>
        </w:tc>
        <w:tc>
          <w:tcPr>
            <w:tcW w:w="1160" w:type="dxa"/>
            <w:tcBorders>
              <w:top w:val="nil"/>
              <w:bottom w:val="nil"/>
            </w:tcBorders>
          </w:tcPr>
          <w:p w14:paraId="28CDD480" w14:textId="3B0BEC77"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GJ/</w:t>
            </w:r>
            <w:proofErr w:type="spellStart"/>
            <w:r>
              <w:rPr>
                <w:sz w:val="20"/>
                <w:szCs w:val="20"/>
                <w:lang w:val="en-US"/>
              </w:rPr>
              <w:t>lb</w:t>
            </w:r>
            <w:proofErr w:type="spellEnd"/>
          </w:p>
        </w:tc>
        <w:tc>
          <w:tcPr>
            <w:tcW w:w="2903" w:type="dxa"/>
            <w:tcBorders>
              <w:top w:val="nil"/>
              <w:bottom w:val="nil"/>
            </w:tcBorders>
          </w:tcPr>
          <w:p w14:paraId="7B5DE932" w14:textId="537B587D"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Base energy usage of nickel mining and refining per </w:t>
            </w:r>
            <w:proofErr w:type="spellStart"/>
            <w:r>
              <w:rPr>
                <w:sz w:val="20"/>
                <w:szCs w:val="20"/>
                <w:lang w:val="en-US"/>
              </w:rPr>
              <w:t>lb</w:t>
            </w:r>
            <w:proofErr w:type="spellEnd"/>
          </w:p>
        </w:tc>
        <w:tc>
          <w:tcPr>
            <w:tcW w:w="848" w:type="dxa"/>
            <w:tcBorders>
              <w:top w:val="nil"/>
              <w:bottom w:val="nil"/>
            </w:tcBorders>
          </w:tcPr>
          <w:p w14:paraId="5CC813EE" w14:textId="3DFE8349"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Pr>
                <w:sz w:val="20"/>
                <w:szCs w:val="20"/>
                <w:lang w:val="en-US"/>
              </w:rPr>
              <w:instrText>ADDIN CSL_CITATION {"citationItems":[{"id":"ITEM-1","itemData":{"DOI":"10.1007/s41247-017-0017-0","ISBN":"0123456789","abstract":"The present business-as-usual cobalt use in society is not sustainable. Too much cobalt is lost if only market mechanisms are expected to improve recycling, and unnecessary cobalt is wasted if no policy actions are taken. Increased recycling and better conservation will be able to improve the supply situation, but this will need active policy participation beyond what market mechanisms can do alone. To conserve cobalt for coming generations, present policies must be changed within the next few decades. The sooner policies change, the better for future generations.","author":[{"dropping-particle":"","family":"Sverdrup","given":"Harald Ulrik","non-dropping-particle":"","parse-names":false,"suffix":""},{"dropping-particle":"","family":"Kristin","given":"</w:instrText>
            </w:r>
            <w:r>
              <w:rPr>
                <w:sz w:val="20"/>
                <w:szCs w:val="20"/>
                <w:lang w:val="en-US"/>
              </w:rPr>
              <w:instrText>·</w:instrText>
            </w:r>
            <w:r>
              <w:rPr>
                <w:sz w:val="20"/>
                <w:szCs w:val="20"/>
                <w:lang w:val="en-US"/>
              </w:rPr>
              <w:instrText>","non-dropping-particle":"","parse-names":false,"suffix":""},{"dropping-particle":"","family":"Ragnarsdottir","given":"Vala","non-dropping-particle":"","parse-names":false,"suffix":""},{"dropping-particle":"","family":"Deniz Koca","given":"</w:instrText>
            </w:r>
            <w:r>
              <w:rPr>
                <w:sz w:val="20"/>
                <w:szCs w:val="20"/>
                <w:lang w:val="en-US"/>
              </w:rPr>
              <w:instrText>·</w:instrText>
            </w:r>
            <w:r>
              <w:rPr>
                <w:sz w:val="20"/>
                <w:szCs w:val="20"/>
                <w:lang w:val="en-US"/>
              </w:rPr>
              <w:instrText>","non-dropping-particle":"","parse-names":false,"suffix":""}],"container-title":"BioPhysical Economics and Resource Quality","id":"ITEM-1","issue":"4","issued":{"date-parts":[["2017"]]},"title":"Integrated Modelling of the Global Cobalt Extraction, Supply, Price and Depletion of Extractable Resources Using the WORLD6 Model","type":"article-journal","volume":"2"},"uris":["http://www.mendeley.com/documents/?uuid=d93d1fd6-4048-32dc-be83-db2dbf8436ad"]}],"mendeley":{"formattedCitation":"&lt;sup&gt;9&lt;/sup&gt;","plainTextFormattedCitation":"9","previouslyFormattedCitation":"&lt;sup&gt;9&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9</w:t>
            </w:r>
            <w:r w:rsidRPr="00C50B5C">
              <w:rPr>
                <w:sz w:val="20"/>
                <w:szCs w:val="20"/>
                <w:lang w:val="en-US"/>
              </w:rPr>
              <w:fldChar w:fldCharType="end"/>
            </w:r>
          </w:p>
        </w:tc>
      </w:tr>
      <w:tr w:rsidR="009F4043" w:rsidRPr="00E51D3A" w14:paraId="6FC300DA"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6"/>
            <w:tcBorders>
              <w:top w:val="single" w:sz="4" w:space="0" w:color="auto"/>
              <w:bottom w:val="single" w:sz="4" w:space="0" w:color="auto"/>
            </w:tcBorders>
          </w:tcPr>
          <w:p w14:paraId="46FCEAA8" w14:textId="2D9C88F8" w:rsidR="009F4043" w:rsidRPr="00C50B5C" w:rsidRDefault="009F4043" w:rsidP="009F4043">
            <w:pPr>
              <w:rPr>
                <w:rFonts w:hAnsiTheme="minorHAnsi" w:cstheme="minorHAnsi"/>
                <w:b w:val="0"/>
                <w:bCs w:val="0"/>
                <w:sz w:val="20"/>
                <w:szCs w:val="20"/>
                <w:lang w:val="en-US"/>
              </w:rPr>
            </w:pPr>
            <w:bookmarkStart w:id="1" w:name="_Hlk42606972"/>
            <w:r w:rsidRPr="00C50B5C">
              <w:rPr>
                <w:rFonts w:hAnsiTheme="minorHAnsi" w:cstheme="minorHAnsi"/>
                <w:b w:val="0"/>
                <w:bCs w:val="0"/>
                <w:i/>
                <w:iCs/>
                <w:sz w:val="20"/>
                <w:szCs w:val="20"/>
                <w:lang w:val="en-US"/>
              </w:rPr>
              <w:t xml:space="preserve">Variables related </w:t>
            </w:r>
            <w:r>
              <w:rPr>
                <w:rFonts w:hAnsiTheme="minorHAnsi" w:cstheme="minorHAnsi"/>
                <w:b w:val="0"/>
                <w:bCs w:val="0"/>
                <w:i/>
                <w:iCs/>
                <w:sz w:val="20"/>
                <w:szCs w:val="20"/>
                <w:lang w:val="en-US"/>
              </w:rPr>
              <w:t>to the price curves</w:t>
            </w:r>
            <w:r w:rsidRPr="00C50B5C">
              <w:rPr>
                <w:rFonts w:hAnsiTheme="minorHAnsi" w:cstheme="minorHAnsi"/>
                <w:b w:val="0"/>
                <w:bCs w:val="0"/>
                <w:i/>
                <w:iCs/>
                <w:sz w:val="20"/>
                <w:szCs w:val="20"/>
                <w:lang w:val="en-US"/>
              </w:rPr>
              <w:t xml:space="preserve"> </w:t>
            </w:r>
          </w:p>
        </w:tc>
      </w:tr>
      <w:tr w:rsidR="009F4043" w:rsidRPr="00C50B5C" w14:paraId="4AA4150E" w14:textId="77777777" w:rsidTr="00E16ADE">
        <w:trPr>
          <w:trHeight w:val="384"/>
        </w:trPr>
        <w:tc>
          <w:tcPr>
            <w:cnfStyle w:val="001000000000" w:firstRow="0" w:lastRow="0" w:firstColumn="1" w:lastColumn="0" w:oddVBand="0" w:evenVBand="0" w:oddHBand="0" w:evenHBand="0" w:firstRowFirstColumn="0" w:firstRowLastColumn="0" w:lastRowFirstColumn="0" w:lastRowLastColumn="0"/>
            <w:tcW w:w="1892" w:type="dxa"/>
            <w:tcBorders>
              <w:top w:val="single" w:sz="4" w:space="0" w:color="auto"/>
              <w:bottom w:val="nil"/>
            </w:tcBorders>
          </w:tcPr>
          <w:p w14:paraId="27049286" w14:textId="3B8B0619" w:rsidR="009F4043" w:rsidRPr="00C50B5C"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Marginal cost bottom price relationship copper</w:t>
            </w:r>
          </w:p>
        </w:tc>
        <w:tc>
          <w:tcPr>
            <w:tcW w:w="1121" w:type="dxa"/>
            <w:tcBorders>
              <w:top w:val="single" w:sz="4" w:space="0" w:color="auto"/>
              <w:bottom w:val="nil"/>
            </w:tcBorders>
          </w:tcPr>
          <w:p w14:paraId="7575E4BC" w14:textId="3EE90AAE"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6.5</w:t>
            </w:r>
          </w:p>
        </w:tc>
        <w:tc>
          <w:tcPr>
            <w:tcW w:w="1148" w:type="dxa"/>
            <w:tcBorders>
              <w:top w:val="single" w:sz="4" w:space="0" w:color="auto"/>
              <w:bottom w:val="nil"/>
            </w:tcBorders>
          </w:tcPr>
          <w:p w14:paraId="46D4FA21" w14:textId="2582657E"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p>
        </w:tc>
        <w:tc>
          <w:tcPr>
            <w:tcW w:w="1160" w:type="dxa"/>
            <w:tcBorders>
              <w:top w:val="single" w:sz="4" w:space="0" w:color="auto"/>
              <w:bottom w:val="nil"/>
            </w:tcBorders>
          </w:tcPr>
          <w:p w14:paraId="738CAB50" w14:textId="3CA208C1"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2903" w:type="dxa"/>
            <w:tcBorders>
              <w:top w:val="single" w:sz="4" w:space="0" w:color="auto"/>
              <w:bottom w:val="nil"/>
            </w:tcBorders>
          </w:tcPr>
          <w:p w14:paraId="76950868" w14:textId="375CAAFE"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Minimum percentage of marginal cost for determining the price of copper</w:t>
            </w:r>
          </w:p>
        </w:tc>
        <w:tc>
          <w:tcPr>
            <w:tcW w:w="848" w:type="dxa"/>
            <w:tcBorders>
              <w:top w:val="single" w:sz="4" w:space="0" w:color="auto"/>
              <w:bottom w:val="nil"/>
            </w:tcBorders>
          </w:tcPr>
          <w:p w14:paraId="4E7070CC" w14:textId="14A035E7"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{"citationItems":[{"id":"ITEM-1","itemData":{"author":[{"dropping-particle":"","family":"AME","given":"","non-dropping-particle":"","parse-names":false,"suffix":""}],"id":"ITEM-1","issued":{"date-parts":[["2019"]]},"publisher":"AME Group","publisher-place":"London, UK","title":"Cobalt Equivalent Method Cash Costs curve","type":"book"},"uris":["http://www.mendeley.com/documents/?uuid=487003ce-9004-4d16-b143-282f750edf56"]}],"mendeley":{"formattedCitation":"&lt;sup&gt;12&lt;/sup&gt;","plainTextFormattedCitation":"12","previouslyFormattedCitation":"&lt;sup&gt;12&lt;/sup&gt;"},"properties":{"noteIndex":0},"schema":"https://github.com/citation-style-language/schema/raw/master/csl-citation.json"}</w:instrText>
            </w:r>
            <w:r>
              <w:rPr>
                <w:sz w:val="20"/>
                <w:szCs w:val="20"/>
                <w:lang w:val="en-US"/>
              </w:rPr>
              <w:fldChar w:fldCharType="separate"/>
            </w:r>
            <w:r w:rsidRPr="00E23C2E">
              <w:rPr>
                <w:noProof/>
                <w:sz w:val="20"/>
                <w:szCs w:val="20"/>
                <w:vertAlign w:val="superscript"/>
                <w:lang w:val="en-US"/>
              </w:rPr>
              <w:t>12</w:t>
            </w:r>
            <w:r>
              <w:rPr>
                <w:sz w:val="20"/>
                <w:szCs w:val="20"/>
                <w:lang w:val="en-US"/>
              </w:rPr>
              <w:fldChar w:fldCharType="end"/>
            </w:r>
          </w:p>
        </w:tc>
      </w:tr>
      <w:bookmarkEnd w:id="1"/>
      <w:tr w:rsidR="009F4043" w:rsidRPr="00C50B5C" w14:paraId="08EA1029"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13C896DA" w14:textId="2BF4F57C" w:rsidR="009F4043" w:rsidRPr="00C50B5C"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Marginal cost bottom price relationship nickel</w:t>
            </w:r>
          </w:p>
        </w:tc>
        <w:tc>
          <w:tcPr>
            <w:tcW w:w="1121" w:type="dxa"/>
            <w:tcBorders>
              <w:top w:val="nil"/>
              <w:bottom w:val="nil"/>
            </w:tcBorders>
          </w:tcPr>
          <w:p w14:paraId="114FD7BB" w14:textId="4BB174B3"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3</w:t>
            </w:r>
          </w:p>
        </w:tc>
        <w:tc>
          <w:tcPr>
            <w:tcW w:w="1148" w:type="dxa"/>
            <w:tcBorders>
              <w:top w:val="nil"/>
              <w:bottom w:val="nil"/>
            </w:tcBorders>
          </w:tcPr>
          <w:p w14:paraId="3F13CCB1" w14:textId="798B08D1"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3.6</w:t>
            </w:r>
          </w:p>
        </w:tc>
        <w:tc>
          <w:tcPr>
            <w:tcW w:w="1160" w:type="dxa"/>
            <w:tcBorders>
              <w:top w:val="nil"/>
              <w:bottom w:val="nil"/>
            </w:tcBorders>
          </w:tcPr>
          <w:p w14:paraId="75A07F22" w14:textId="64A207DA"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2903" w:type="dxa"/>
            <w:tcBorders>
              <w:top w:val="nil"/>
              <w:bottom w:val="nil"/>
            </w:tcBorders>
          </w:tcPr>
          <w:p w14:paraId="293A3D94" w14:textId="2C72C7CE"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Minimum percentage of marginal cost for determining the price of nickel</w:t>
            </w:r>
          </w:p>
        </w:tc>
        <w:tc>
          <w:tcPr>
            <w:tcW w:w="848" w:type="dxa"/>
            <w:tcBorders>
              <w:top w:val="nil"/>
              <w:bottom w:val="nil"/>
            </w:tcBorders>
          </w:tcPr>
          <w:p w14:paraId="3A5924EB" w14:textId="2B2430FE"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{"citationItems":[{"id":"ITEM-1","itemData":{"author":[{"dropping-particle":"","family":"AME","given":"","non-dropping-particle":"","parse-names":false,"suffix":""}],"id":"ITEM-1","issued":{"date-parts":[["2019"]]},"publisher":"AME Group","publisher-place":"London, UK","title":"Cobalt Equivalent Method Cash Costs curve","type":"book"},"uris":["http://www.mendeley.com/documents/?uuid=487003ce-9004-4d16-b143-282f750edf56"]}],"mendeley":{"formattedCitation":"&lt;sup&gt;12&lt;/sup&gt;","plainTextFormattedCitation":"12","previouslyFormattedCitation":"&lt;sup&gt;12&lt;/sup&gt;"},"properties":{"noteIndex":0},"schema":"https://github.com/citation-style-language/schema/raw/master/csl-citation.json"}</w:instrText>
            </w:r>
            <w:r>
              <w:rPr>
                <w:sz w:val="20"/>
                <w:szCs w:val="20"/>
                <w:lang w:val="en-US"/>
              </w:rPr>
              <w:fldChar w:fldCharType="separate"/>
            </w:r>
            <w:r w:rsidRPr="00E23C2E">
              <w:rPr>
                <w:noProof/>
                <w:sz w:val="20"/>
                <w:szCs w:val="20"/>
                <w:vertAlign w:val="superscript"/>
                <w:lang w:val="en-US"/>
              </w:rPr>
              <w:t>12</w:t>
            </w:r>
            <w:r>
              <w:rPr>
                <w:sz w:val="20"/>
                <w:szCs w:val="20"/>
                <w:lang w:val="en-US"/>
              </w:rPr>
              <w:fldChar w:fldCharType="end"/>
            </w:r>
          </w:p>
        </w:tc>
      </w:tr>
      <w:tr w:rsidR="009F4043" w14:paraId="36B865A6" w14:textId="77777777" w:rsidTr="00E16ADE">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167A9EA2" w14:textId="545ACF1F" w:rsidR="009F4043"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Marginal cost bottom price relationship cobalt</w:t>
            </w:r>
          </w:p>
        </w:tc>
        <w:tc>
          <w:tcPr>
            <w:tcW w:w="1121" w:type="dxa"/>
            <w:tcBorders>
              <w:top w:val="nil"/>
              <w:bottom w:val="nil"/>
            </w:tcBorders>
          </w:tcPr>
          <w:p w14:paraId="792466FE" w14:textId="6DA399EE"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0.05</w:t>
            </w:r>
          </w:p>
        </w:tc>
        <w:tc>
          <w:tcPr>
            <w:tcW w:w="1148" w:type="dxa"/>
            <w:tcBorders>
              <w:top w:val="nil"/>
              <w:bottom w:val="nil"/>
            </w:tcBorders>
          </w:tcPr>
          <w:p w14:paraId="04901CAE" w14:textId="5ECBDA82"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0.075</w:t>
            </w:r>
          </w:p>
        </w:tc>
        <w:tc>
          <w:tcPr>
            <w:tcW w:w="1160" w:type="dxa"/>
            <w:tcBorders>
              <w:top w:val="nil"/>
              <w:bottom w:val="nil"/>
            </w:tcBorders>
          </w:tcPr>
          <w:p w14:paraId="27A9032C" w14:textId="5AB6A49F"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2903" w:type="dxa"/>
            <w:tcBorders>
              <w:top w:val="nil"/>
              <w:bottom w:val="nil"/>
            </w:tcBorders>
          </w:tcPr>
          <w:p w14:paraId="19EB7F29" w14:textId="7FB8FD8A"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Minimum percentage of marginal cost for determining the price of cobalt</w:t>
            </w:r>
          </w:p>
        </w:tc>
        <w:tc>
          <w:tcPr>
            <w:tcW w:w="848" w:type="dxa"/>
            <w:tcBorders>
              <w:top w:val="nil"/>
              <w:bottom w:val="nil"/>
            </w:tcBorders>
          </w:tcPr>
          <w:p w14:paraId="7A7A0901" w14:textId="2E571527"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{"citationItems":[{"id":"ITEM-1","itemData":{"author":[{"dropping-particle":"","family":"AME","given":"","non-dropping-particle":"","parse-names":false,"suffix":""}],"id":"ITEM-1","issued":{"date-parts":[["2019"]]},"publisher":"AME Group","publisher-place":"London, UK","title":"Cobalt Equivalent Method Cash Costs curve","type":"book"},"uris":["http://www.mendeley.com/documents/?uuid=487003ce-9004-4d16-b143-282f750edf56"]}],"mendeley":{"formattedCitation":"&lt;sup&gt;12&lt;/sup&gt;","plainTextFormattedCitation":"12","previouslyFormattedCitation":"&lt;sup&gt;12&lt;/sup&gt;"},"properties":{"noteIndex":0},"schema":"https://github.com/citation-style-language/schema/raw/master/csl-citation.json"}</w:instrText>
            </w:r>
            <w:r>
              <w:rPr>
                <w:sz w:val="20"/>
                <w:szCs w:val="20"/>
                <w:lang w:val="en-US"/>
              </w:rPr>
              <w:fldChar w:fldCharType="separate"/>
            </w:r>
            <w:r w:rsidRPr="00E23C2E">
              <w:rPr>
                <w:noProof/>
                <w:sz w:val="20"/>
                <w:szCs w:val="20"/>
                <w:vertAlign w:val="superscript"/>
                <w:lang w:val="en-US"/>
              </w:rPr>
              <w:t>12</w:t>
            </w:r>
            <w:r>
              <w:rPr>
                <w:sz w:val="20"/>
                <w:szCs w:val="20"/>
                <w:lang w:val="en-US"/>
              </w:rPr>
              <w:fldChar w:fldCharType="end"/>
            </w:r>
          </w:p>
        </w:tc>
      </w:tr>
      <w:tr w:rsidR="009F4043" w:rsidRPr="00C50B5C" w14:paraId="44A3C8B3"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5B205590" w14:textId="45058A61" w:rsidR="009F4043"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Exponent copper price curve</w:t>
            </w:r>
          </w:p>
        </w:tc>
        <w:tc>
          <w:tcPr>
            <w:tcW w:w="1121" w:type="dxa"/>
            <w:tcBorders>
              <w:top w:val="nil"/>
              <w:bottom w:val="nil"/>
            </w:tcBorders>
          </w:tcPr>
          <w:p w14:paraId="027F615D" w14:textId="3BCAE0E1"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-1.2</w:t>
            </w:r>
          </w:p>
        </w:tc>
        <w:tc>
          <w:tcPr>
            <w:tcW w:w="1148" w:type="dxa"/>
            <w:tcBorders>
              <w:top w:val="nil"/>
              <w:bottom w:val="nil"/>
            </w:tcBorders>
          </w:tcPr>
          <w:p w14:paraId="6BC6DD69" w14:textId="3E320CF5"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w:t>
            </w:r>
          </w:p>
        </w:tc>
        <w:tc>
          <w:tcPr>
            <w:tcW w:w="1160" w:type="dxa"/>
            <w:tcBorders>
              <w:top w:val="nil"/>
              <w:bottom w:val="nil"/>
            </w:tcBorders>
          </w:tcPr>
          <w:p w14:paraId="472900EE" w14:textId="32C8DFCD"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nil"/>
            </w:tcBorders>
          </w:tcPr>
          <w:p w14:paraId="0B1577B7" w14:textId="5514B538"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Sensitivity of copper price to supply fluctuations</w:t>
            </w:r>
          </w:p>
        </w:tc>
        <w:tc>
          <w:tcPr>
            <w:tcW w:w="848" w:type="dxa"/>
            <w:tcBorders>
              <w:top w:val="nil"/>
              <w:bottom w:val="nil"/>
            </w:tcBorders>
          </w:tcPr>
          <w:p w14:paraId="519E655F" w14:textId="61D0242B"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{"citationItems":[{"id":"ITEM-1","itemData":{"author":[{"dropping-particle":"","family":"AME","given":"","non-dropping-particle":"","parse-names":false,"suffix":""}],"id":"ITEM-1","issued":{"date-parts":[["2019"]]},"publisher":"AME Group","publisher-place":"London, UK","title":"Cobalt Equivalent Method Cash Costs curve","type":"book"},"uris":["http://www.mendeley.com/documents/?uuid=487003ce-9004-4d16-b143-282f750edf56"]}],"mendeley":{"formattedCitation":"&lt;sup&gt;12&lt;/sup&gt;","plainTextFormattedCitation":"12","previouslyFormattedCitation":"&lt;sup&gt;12&lt;/sup&gt;"},"properties":{"noteIndex":0},"schema":"https://github.com/citation-style-language/schema/raw/master/csl-citation.json"}</w:instrText>
            </w:r>
            <w:r>
              <w:rPr>
                <w:sz w:val="20"/>
                <w:szCs w:val="20"/>
                <w:lang w:val="en-US"/>
              </w:rPr>
              <w:fldChar w:fldCharType="separate"/>
            </w:r>
            <w:r w:rsidRPr="00E23C2E">
              <w:rPr>
                <w:noProof/>
                <w:sz w:val="20"/>
                <w:szCs w:val="20"/>
                <w:vertAlign w:val="superscript"/>
                <w:lang w:val="en-US"/>
              </w:rPr>
              <w:t>12</w:t>
            </w:r>
            <w:r>
              <w:rPr>
                <w:sz w:val="20"/>
                <w:szCs w:val="20"/>
                <w:lang w:val="en-US"/>
              </w:rPr>
              <w:fldChar w:fldCharType="end"/>
            </w:r>
          </w:p>
        </w:tc>
      </w:tr>
      <w:tr w:rsidR="009F4043" w:rsidRPr="00C50B5C" w14:paraId="63FE7667" w14:textId="77777777" w:rsidTr="00E16ADE">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5A57570A" w14:textId="14AD5525" w:rsidR="009F4043" w:rsidRPr="00C50B5C"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Exponent nickel price curve</w:t>
            </w:r>
          </w:p>
        </w:tc>
        <w:tc>
          <w:tcPr>
            <w:tcW w:w="1121" w:type="dxa"/>
            <w:tcBorders>
              <w:top w:val="nil"/>
              <w:bottom w:val="nil"/>
            </w:tcBorders>
          </w:tcPr>
          <w:p w14:paraId="63B2F691" w14:textId="35B40A95"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-0.85</w:t>
            </w:r>
          </w:p>
        </w:tc>
        <w:tc>
          <w:tcPr>
            <w:tcW w:w="1148" w:type="dxa"/>
            <w:tcBorders>
              <w:top w:val="nil"/>
              <w:bottom w:val="nil"/>
            </w:tcBorders>
          </w:tcPr>
          <w:p w14:paraId="63AA1402" w14:textId="51589B83"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-0.65</w:t>
            </w:r>
          </w:p>
        </w:tc>
        <w:tc>
          <w:tcPr>
            <w:tcW w:w="1160" w:type="dxa"/>
            <w:tcBorders>
              <w:top w:val="nil"/>
              <w:bottom w:val="nil"/>
            </w:tcBorders>
          </w:tcPr>
          <w:p w14:paraId="0ECE69D2" w14:textId="405E0982"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nil"/>
            </w:tcBorders>
          </w:tcPr>
          <w:p w14:paraId="1FBE4FA5" w14:textId="6BAC4F00"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Sensitivity of nickel price to supply fluctuations</w:t>
            </w:r>
          </w:p>
        </w:tc>
        <w:tc>
          <w:tcPr>
            <w:tcW w:w="848" w:type="dxa"/>
            <w:tcBorders>
              <w:top w:val="nil"/>
              <w:bottom w:val="nil"/>
            </w:tcBorders>
          </w:tcPr>
          <w:p w14:paraId="630222D0" w14:textId="5DC459F4"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{"citationItems":[{"id":"ITEM-1","itemData":{"author":[{"dropping-particle":"","family":"AME","given":"","non-dropping-particle":"","parse-names":false,"suffix":""}],"id":"ITEM-1","issued":{"date-parts":[["2019"]]},"publisher":"AME Group","publisher-place":"London, UK","title":"Cobalt Equivalent Method Cash Costs curve","type":"book"},"uris":["http://www.mendeley.com/documents/?uuid=487003ce-9004-4d16-b143-282f750edf56"]}],"mendeley":{"formattedCitation":"&lt;sup&gt;12&lt;/sup&gt;","plainTextFormattedCitation":"12","previouslyFormattedCitation":"&lt;sup&gt;12&lt;/sup&gt;"},"properties":{"noteIndex":0},"schema":"https://github.com/citation-style-language/schema/raw/master/csl-citation.json"}</w:instrText>
            </w:r>
            <w:r>
              <w:rPr>
                <w:sz w:val="20"/>
                <w:szCs w:val="20"/>
                <w:lang w:val="en-US"/>
              </w:rPr>
              <w:fldChar w:fldCharType="separate"/>
            </w:r>
            <w:r w:rsidRPr="00E23C2E">
              <w:rPr>
                <w:noProof/>
                <w:sz w:val="20"/>
                <w:szCs w:val="20"/>
                <w:vertAlign w:val="superscript"/>
                <w:lang w:val="en-US"/>
              </w:rPr>
              <w:t>12</w:t>
            </w:r>
            <w:r>
              <w:rPr>
                <w:sz w:val="20"/>
                <w:szCs w:val="20"/>
                <w:lang w:val="en-US"/>
              </w:rPr>
              <w:fldChar w:fldCharType="end"/>
            </w:r>
          </w:p>
        </w:tc>
      </w:tr>
      <w:tr w:rsidR="009F4043" w:rsidRPr="00C50B5C" w14:paraId="03341B4C" w14:textId="77777777" w:rsidTr="002D4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1A1B0E9B" w14:textId="734583C3" w:rsidR="009F4043"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Exponent cobalt price curve</w:t>
            </w:r>
          </w:p>
        </w:tc>
        <w:tc>
          <w:tcPr>
            <w:tcW w:w="1121" w:type="dxa"/>
            <w:tcBorders>
              <w:top w:val="nil"/>
              <w:bottom w:val="nil"/>
            </w:tcBorders>
          </w:tcPr>
          <w:p w14:paraId="1B0BFFBE" w14:textId="66EAB5FD"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-1.3</w:t>
            </w:r>
          </w:p>
        </w:tc>
        <w:tc>
          <w:tcPr>
            <w:tcW w:w="1148" w:type="dxa"/>
            <w:tcBorders>
              <w:top w:val="nil"/>
              <w:bottom w:val="nil"/>
            </w:tcBorders>
          </w:tcPr>
          <w:p w14:paraId="365EE5AE" w14:textId="7F8976CA"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-1.1</w:t>
            </w:r>
          </w:p>
        </w:tc>
        <w:tc>
          <w:tcPr>
            <w:tcW w:w="1160" w:type="dxa"/>
            <w:tcBorders>
              <w:top w:val="nil"/>
              <w:bottom w:val="nil"/>
            </w:tcBorders>
          </w:tcPr>
          <w:p w14:paraId="719E0CE4" w14:textId="45F163FC"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nil"/>
            </w:tcBorders>
          </w:tcPr>
          <w:p w14:paraId="57616802" w14:textId="7C20134D"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Sensitivity of cobalt price to supply fluctuations</w:t>
            </w:r>
          </w:p>
        </w:tc>
        <w:tc>
          <w:tcPr>
            <w:tcW w:w="848" w:type="dxa"/>
            <w:tcBorders>
              <w:top w:val="nil"/>
              <w:bottom w:val="nil"/>
            </w:tcBorders>
          </w:tcPr>
          <w:p w14:paraId="4EE00531" w14:textId="1910868E"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{"citationItems":[{"id":"ITEM-1","itemData":{"author":[{"dropping-particle":"","family":"AME","given":"","non-dropping-particle":"","parse-names":false,"suffix":""}],"id":"ITEM-1","issued":{"date-parts":[["2019"]]},"publisher":"AME Group","publisher-place":"London, UK","title":"Cobalt Equivalent Method Cash Costs curve","type":"book"},"uris":["http://www.mendeley.com/documents/?uuid=487003ce-9004-4d16-b143-282f750edf56"]}],"mendeley":{"formattedCitation":"&lt;sup&gt;12&lt;/sup&gt;","plainTextFormattedCitation":"12","previouslyFormattedCitation":"&lt;sup&gt;12&lt;/sup&gt;"},"properties":{"noteIndex":0},"schema":"https://github.com/citation-style-language/schema/raw/master/csl-citation.json"}</w:instrText>
            </w:r>
            <w:r>
              <w:rPr>
                <w:sz w:val="20"/>
                <w:szCs w:val="20"/>
                <w:lang w:val="en-US"/>
              </w:rPr>
              <w:fldChar w:fldCharType="separate"/>
            </w:r>
            <w:r w:rsidRPr="00E23C2E">
              <w:rPr>
                <w:noProof/>
                <w:sz w:val="20"/>
                <w:szCs w:val="20"/>
                <w:vertAlign w:val="superscript"/>
                <w:lang w:val="en-US"/>
              </w:rPr>
              <w:t>12</w:t>
            </w:r>
            <w:r>
              <w:rPr>
                <w:sz w:val="20"/>
                <w:szCs w:val="20"/>
                <w:lang w:val="en-US"/>
              </w:rPr>
              <w:fldChar w:fldCharType="end"/>
            </w:r>
          </w:p>
        </w:tc>
      </w:tr>
      <w:tr w:rsidR="009F4043" w:rsidRPr="00C50B5C" w14:paraId="441BFC10" w14:textId="77777777" w:rsidTr="002D47EB">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0D6D91DA" w14:textId="50C11C9B" w:rsidR="009F4043"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lastRenderedPageBreak/>
              <w:t>Percentage cost on top of marginal cost</w:t>
            </w:r>
          </w:p>
        </w:tc>
        <w:tc>
          <w:tcPr>
            <w:tcW w:w="1121" w:type="dxa"/>
            <w:tcBorders>
              <w:top w:val="nil"/>
              <w:bottom w:val="nil"/>
            </w:tcBorders>
          </w:tcPr>
          <w:p w14:paraId="3F810B12" w14:textId="079873A5"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0.05</w:t>
            </w:r>
          </w:p>
        </w:tc>
        <w:tc>
          <w:tcPr>
            <w:tcW w:w="1148" w:type="dxa"/>
            <w:tcBorders>
              <w:top w:val="nil"/>
              <w:bottom w:val="nil"/>
            </w:tcBorders>
          </w:tcPr>
          <w:p w14:paraId="54929831" w14:textId="626A3B7F"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0.25</w:t>
            </w:r>
          </w:p>
        </w:tc>
        <w:tc>
          <w:tcPr>
            <w:tcW w:w="1160" w:type="dxa"/>
            <w:tcBorders>
              <w:top w:val="nil"/>
              <w:bottom w:val="nil"/>
            </w:tcBorders>
          </w:tcPr>
          <w:p w14:paraId="16E563CC" w14:textId="2F448014"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nil"/>
            </w:tcBorders>
          </w:tcPr>
          <w:p w14:paraId="79325456" w14:textId="722278B9"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w:t>
            </w:r>
            <w:r w:rsidRPr="00B2171F">
              <w:rPr>
                <w:sz w:val="20"/>
                <w:szCs w:val="20"/>
                <w:lang w:val="en-US"/>
              </w:rPr>
              <w:t>inimum percentage on top of</w:t>
            </w:r>
            <w:r>
              <w:rPr>
                <w:sz w:val="20"/>
                <w:szCs w:val="20"/>
                <w:lang w:val="en-US"/>
              </w:rPr>
              <w:t xml:space="preserve"> m</w:t>
            </w:r>
            <w:r w:rsidRPr="00B2171F">
              <w:rPr>
                <w:sz w:val="20"/>
                <w:szCs w:val="20"/>
                <w:lang w:val="en-US"/>
              </w:rPr>
              <w:t>arginal cost</w:t>
            </w:r>
          </w:p>
        </w:tc>
        <w:tc>
          <w:tcPr>
            <w:tcW w:w="848" w:type="dxa"/>
            <w:tcBorders>
              <w:top w:val="nil"/>
              <w:bottom w:val="nil"/>
            </w:tcBorders>
          </w:tcPr>
          <w:p w14:paraId="1ADA4F2C" w14:textId="665D5723"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50B5C">
              <w:rPr>
                <w:sz w:val="20"/>
                <w:szCs w:val="20"/>
                <w:lang w:val="en-US"/>
              </w:rPr>
              <w:fldChar w:fldCharType="begin" w:fldLock="1"/>
            </w:r>
            <w:r w:rsidRPr="00C50B5C">
              <w:rPr>
                <w:sz w:val="20"/>
                <w:szCs w:val="20"/>
                <w:lang w:val="en-US"/>
              </w:rPr>
              <w:instrText>ADDIN CSL_CITATION {"citationItems":[{"id":"ITEM-1","itemData":{"author":[{"dropping-particle":"","family":"Auping","given":"W L","non-dropping-particle":"","parse-names":false,"suffix":""}],"id":"ITEM-1","issued":{"date-parts":[["2011"]]},"publisher":"Delft University of Technology","title":"The Uncertain Future of Copper: An Exploratory System Dynamics Model and Analysis of the Global Copper System in the Next 40 Years","type":"thesis"},"uris":["http://www.mendeley.com/documents/?uuid=97434463-7786-3fa7-bf0b-3cd9beb0e418"]}],"mendeley":{"formattedCitation":"&lt;sup&gt;7&lt;/sup&gt;","plainTextFormattedCitation":"7","previouslyFormattedCitation":"&lt;sup&gt;7&lt;/sup&gt;"},"properties":{"noteIndex":0},"schema":"https://github.com/citation-style-language/schema/raw/master/csl-citation.json"}</w:instrText>
            </w:r>
            <w:r w:rsidRPr="00C50B5C">
              <w:rPr>
                <w:sz w:val="20"/>
                <w:szCs w:val="20"/>
                <w:lang w:val="en-US"/>
              </w:rPr>
              <w:fldChar w:fldCharType="separate"/>
            </w:r>
            <w:r w:rsidRPr="00C50B5C">
              <w:rPr>
                <w:noProof/>
                <w:sz w:val="20"/>
                <w:szCs w:val="20"/>
                <w:vertAlign w:val="superscript"/>
                <w:lang w:val="en-US"/>
              </w:rPr>
              <w:t>7</w:t>
            </w:r>
            <w:r w:rsidRPr="00C50B5C">
              <w:rPr>
                <w:sz w:val="20"/>
                <w:szCs w:val="20"/>
                <w:lang w:val="en-US"/>
              </w:rPr>
              <w:fldChar w:fldCharType="end"/>
            </w:r>
          </w:p>
        </w:tc>
      </w:tr>
      <w:tr w:rsidR="009F4043" w:rsidRPr="00C50B5C" w14:paraId="046D680A"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6"/>
            <w:tcBorders>
              <w:top w:val="single" w:sz="4" w:space="0" w:color="auto"/>
              <w:bottom w:val="single" w:sz="4" w:space="0" w:color="auto"/>
            </w:tcBorders>
          </w:tcPr>
          <w:p w14:paraId="721E0331" w14:textId="710C1EC0"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i/>
                <w:iCs/>
                <w:sz w:val="20"/>
                <w:szCs w:val="20"/>
                <w:lang w:val="en-US"/>
              </w:rPr>
              <w:t xml:space="preserve">Variables related </w:t>
            </w:r>
            <w:r>
              <w:rPr>
                <w:rFonts w:hAnsiTheme="minorHAnsi" w:cstheme="minorHAnsi"/>
                <w:b w:val="0"/>
                <w:bCs w:val="0"/>
                <w:i/>
                <w:iCs/>
                <w:sz w:val="20"/>
                <w:szCs w:val="20"/>
                <w:lang w:val="en-US"/>
              </w:rPr>
              <w:t>to recycling</w:t>
            </w:r>
            <w:r w:rsidRPr="00C50B5C">
              <w:rPr>
                <w:rFonts w:hAnsiTheme="minorHAnsi" w:cstheme="minorHAnsi"/>
                <w:b w:val="0"/>
                <w:bCs w:val="0"/>
                <w:i/>
                <w:iCs/>
                <w:sz w:val="20"/>
                <w:szCs w:val="20"/>
                <w:lang w:val="en-US"/>
              </w:rPr>
              <w:t xml:space="preserve"> </w:t>
            </w:r>
          </w:p>
        </w:tc>
      </w:tr>
      <w:tr w:rsidR="009F4043" w:rsidRPr="00C50B5C" w14:paraId="6464F4AF" w14:textId="77777777" w:rsidTr="00E16ADE">
        <w:trPr>
          <w:trHeight w:val="384"/>
        </w:trPr>
        <w:tc>
          <w:tcPr>
            <w:cnfStyle w:val="001000000000" w:firstRow="0" w:lastRow="0" w:firstColumn="1" w:lastColumn="0" w:oddVBand="0" w:evenVBand="0" w:oddHBand="0" w:evenHBand="0" w:firstRowFirstColumn="0" w:firstRowLastColumn="0" w:lastRowFirstColumn="0" w:lastRowLastColumn="0"/>
            <w:tcW w:w="1892" w:type="dxa"/>
            <w:tcBorders>
              <w:top w:val="single" w:sz="4" w:space="0" w:color="auto"/>
              <w:bottom w:val="nil"/>
            </w:tcBorders>
          </w:tcPr>
          <w:p w14:paraId="743CF736" w14:textId="3CEE31F7" w:rsidR="009F4043" w:rsidRPr="00C50B5C"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Average time scrap until recycling</w:t>
            </w:r>
          </w:p>
        </w:tc>
        <w:tc>
          <w:tcPr>
            <w:tcW w:w="1121" w:type="dxa"/>
            <w:tcBorders>
              <w:top w:val="single" w:sz="4" w:space="0" w:color="auto"/>
              <w:bottom w:val="nil"/>
            </w:tcBorders>
          </w:tcPr>
          <w:p w14:paraId="61E4B991" w14:textId="7647BBA5"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0.38</w:t>
            </w:r>
          </w:p>
        </w:tc>
        <w:tc>
          <w:tcPr>
            <w:tcW w:w="1148" w:type="dxa"/>
            <w:tcBorders>
              <w:top w:val="single" w:sz="4" w:space="0" w:color="auto"/>
              <w:bottom w:val="nil"/>
            </w:tcBorders>
          </w:tcPr>
          <w:p w14:paraId="1EAFDFB2" w14:textId="00460101"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0.42</w:t>
            </w:r>
          </w:p>
        </w:tc>
        <w:tc>
          <w:tcPr>
            <w:tcW w:w="1160" w:type="dxa"/>
            <w:tcBorders>
              <w:top w:val="single" w:sz="4" w:space="0" w:color="auto"/>
              <w:bottom w:val="nil"/>
            </w:tcBorders>
          </w:tcPr>
          <w:p w14:paraId="5C257858" w14:textId="69D8529C"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Year</w:t>
            </w:r>
          </w:p>
        </w:tc>
        <w:tc>
          <w:tcPr>
            <w:tcW w:w="2903" w:type="dxa"/>
            <w:tcBorders>
              <w:top w:val="single" w:sz="4" w:space="0" w:color="auto"/>
              <w:bottom w:val="nil"/>
            </w:tcBorders>
          </w:tcPr>
          <w:p w14:paraId="2486A927" w14:textId="7800B404" w:rsidR="009F4043" w:rsidRPr="00C50B5C"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Average time it takes scrap to be recycled</w:t>
            </w:r>
          </w:p>
        </w:tc>
        <w:tc>
          <w:tcPr>
            <w:tcW w:w="848" w:type="dxa"/>
            <w:tcBorders>
              <w:top w:val="single" w:sz="4" w:space="0" w:color="auto"/>
              <w:bottom w:val="nil"/>
            </w:tcBorders>
          </w:tcPr>
          <w:p w14:paraId="5D140732" w14:textId="68058EEB" w:rsidR="009F4043" w:rsidRPr="00C50B5C" w:rsidRDefault="003D602A"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w:t>
            </w:r>
          </w:p>
        </w:tc>
      </w:tr>
      <w:tr w:rsidR="009F4043" w:rsidRPr="00C50B5C" w14:paraId="14378558"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100BD084" w14:textId="0CE108A4" w:rsidR="009F4043" w:rsidRPr="00C50B5C"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Maximum copper recycling efficiency score</w:t>
            </w:r>
          </w:p>
        </w:tc>
        <w:tc>
          <w:tcPr>
            <w:tcW w:w="1121" w:type="dxa"/>
            <w:tcBorders>
              <w:top w:val="nil"/>
              <w:bottom w:val="nil"/>
            </w:tcBorders>
          </w:tcPr>
          <w:p w14:paraId="304B23DB" w14:textId="6BBCD7EC"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98</w:t>
            </w:r>
          </w:p>
        </w:tc>
        <w:tc>
          <w:tcPr>
            <w:tcW w:w="1148" w:type="dxa"/>
            <w:tcBorders>
              <w:top w:val="nil"/>
              <w:bottom w:val="nil"/>
            </w:tcBorders>
          </w:tcPr>
          <w:p w14:paraId="4DAB6279" w14:textId="1EAF77CC"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99</w:t>
            </w:r>
          </w:p>
        </w:tc>
        <w:tc>
          <w:tcPr>
            <w:tcW w:w="1160" w:type="dxa"/>
            <w:tcBorders>
              <w:top w:val="nil"/>
              <w:bottom w:val="nil"/>
            </w:tcBorders>
          </w:tcPr>
          <w:p w14:paraId="42ED9499" w14:textId="56B232DF"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2903" w:type="dxa"/>
            <w:tcBorders>
              <w:top w:val="nil"/>
              <w:bottom w:val="nil"/>
            </w:tcBorders>
          </w:tcPr>
          <w:p w14:paraId="2F6A86DA" w14:textId="5FAF8D47"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Maximum percentage of copper that can be recovered from recycled scrap</w:t>
            </w:r>
          </w:p>
        </w:tc>
        <w:tc>
          <w:tcPr>
            <w:tcW w:w="848" w:type="dxa"/>
            <w:tcBorders>
              <w:top w:val="nil"/>
              <w:bottom w:val="nil"/>
            </w:tcBorders>
          </w:tcPr>
          <w:p w14:paraId="24C427CC" w14:textId="57E7741A" w:rsidR="009F4043" w:rsidRPr="00C50B5C"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 xml:space="preserve">ADDIN CSL_CITATION {"citationItems":[{"id":"ITEM-1","itemData":{"DOI":"10.1021/es400069b","ISSN":"0013936X","abstract":"We present a dynamic model of global copper stocks and flows which allows a detailed analysis of recycling efficiencies, copper stocks in use, and dissipated and landfilled copper. The model is based on historical mining and refined copper production data (1910-2010) enhanced by a unique data set of recent global semifinished goods production and copper end-use sectors provided by the copper industry. To enable the consistency of the simulated copper life cycle in terms of a closed mass balance, particularly the matching of recycled metal flows to reported historical annual production data, a method was developed to estimate the yearly global collection rates of end-of-life (postconsumer) scrap. Based on this method, we provide estimates of 8 different recycling indicators over time. The main indicator for the efficiency of global copper recycling from end-of-life (EoL) scrap -the EoL recycling rate -was estimated to be 45% on average, </w:instrText>
            </w:r>
            <w:r>
              <w:rPr>
                <w:sz w:val="20"/>
                <w:szCs w:val="20"/>
                <w:lang w:val="en-US"/>
              </w:rPr>
              <w:instrText>±</w:instrText>
            </w:r>
            <w:r>
              <w:rPr>
                <w:sz w:val="20"/>
                <w:szCs w:val="20"/>
                <w:lang w:val="en-US"/>
              </w:rPr>
              <w:instrText xml:space="preserve"> 5% (one standard deviation) due to uncertainty and variability over time in the period 2000-2010. As uncertainties of specific input data -mainly concerning assumptions on end-use lifetimes and their distribution -are high, a sensitivity analysis with regard to the effect of uncertainties in the input data on the calculated recycling indicators was performed. The sensitivity analysis included a stochastic (Monte Carlo) uncertainty evaluation with 105 simulation runs. </w:instrText>
            </w:r>
            <w:r>
              <w:rPr>
                <w:sz w:val="20"/>
                <w:szCs w:val="20"/>
                <w:lang w:val="en-US"/>
              </w:rPr>
              <w:instrText>©</w:instrText>
            </w:r>
            <w:r>
              <w:rPr>
                <w:sz w:val="20"/>
                <w:szCs w:val="20"/>
                <w:lang w:val="en-US"/>
              </w:rPr>
              <w:instrText xml:space="preserve"> 2013 American Chemical Society.","author":[{"dropping-particle":"","family":"Gl</w:instrText>
            </w:r>
            <w:r>
              <w:rPr>
                <w:sz w:val="20"/>
                <w:szCs w:val="20"/>
                <w:lang w:val="en-US"/>
              </w:rPr>
              <w:instrText>ö</w:instrText>
            </w:r>
            <w:r>
              <w:rPr>
                <w:sz w:val="20"/>
                <w:szCs w:val="20"/>
                <w:lang w:val="en-US"/>
              </w:rPr>
              <w:instrText>ser","given":"Simon","non-dropping-particle":"","parse-names":false,"suffix":""},{"dropping-particle":"","family":"Soulier","given":"Marcel","non-dropping-particle":"","parse-names":false,"suffix":""},{"dropping-particle":"","family":"Tercero Espinoza","given":"Luis A.","non-dropping-particle":"","parse-names":false,"suffix":""}],"container-title":"Environmental Science and Technology","id":"ITEM-1","issue":"12","issued":{"date-parts":[["2013","6","18"]]},"page":"6564-6572","title":"Dynamic analysis of global copper flows. Global stocks, postconsumer material flows, recycling indicators, and uncertainty evaluation","type":"article-journal","volume":"47"},"uris":["http://www.mendeley.com/documents/?uuid=80d0b0ae-3362-36a0-8109-9c447e2c81b0"]}],"mendeley":{"formattedCitation":"&lt;sup&gt;13&lt;/sup&gt;","plainTextFormattedCitation":"13","previouslyFormattedCitation":"&lt;sup&gt;13&lt;/sup&gt;"},"properties":{"noteIndex":0},"schema":"https://github.com/citation-style-language/schema/raw/master/csl-citation.json"}</w:instrText>
            </w:r>
            <w:r>
              <w:rPr>
                <w:sz w:val="20"/>
                <w:szCs w:val="20"/>
                <w:lang w:val="en-US"/>
              </w:rPr>
              <w:fldChar w:fldCharType="separate"/>
            </w:r>
            <w:r w:rsidRPr="00A94F6B">
              <w:rPr>
                <w:noProof/>
                <w:sz w:val="20"/>
                <w:szCs w:val="20"/>
                <w:vertAlign w:val="superscript"/>
                <w:lang w:val="en-US"/>
              </w:rPr>
              <w:t>13</w:t>
            </w:r>
            <w:r>
              <w:rPr>
                <w:sz w:val="20"/>
                <w:szCs w:val="20"/>
                <w:lang w:val="en-US"/>
              </w:rPr>
              <w:fldChar w:fldCharType="end"/>
            </w:r>
          </w:p>
        </w:tc>
      </w:tr>
      <w:tr w:rsidR="009F4043" w:rsidRPr="00C50B5C" w14:paraId="34D2CAEF" w14:textId="77777777" w:rsidTr="00E16ADE">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59C16967" w14:textId="4DDA8688" w:rsidR="009F4043"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Maximum nickel recycling efficiency score</w:t>
            </w:r>
          </w:p>
        </w:tc>
        <w:tc>
          <w:tcPr>
            <w:tcW w:w="1121" w:type="dxa"/>
            <w:tcBorders>
              <w:top w:val="nil"/>
              <w:bottom w:val="nil"/>
            </w:tcBorders>
          </w:tcPr>
          <w:p w14:paraId="6BF58748" w14:textId="1F7158C3"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94</w:t>
            </w:r>
          </w:p>
        </w:tc>
        <w:tc>
          <w:tcPr>
            <w:tcW w:w="1148" w:type="dxa"/>
            <w:tcBorders>
              <w:top w:val="nil"/>
              <w:bottom w:val="nil"/>
            </w:tcBorders>
          </w:tcPr>
          <w:p w14:paraId="4553C074" w14:textId="24E90889"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96</w:t>
            </w:r>
          </w:p>
        </w:tc>
        <w:tc>
          <w:tcPr>
            <w:tcW w:w="1160" w:type="dxa"/>
            <w:tcBorders>
              <w:top w:val="nil"/>
              <w:bottom w:val="nil"/>
            </w:tcBorders>
          </w:tcPr>
          <w:p w14:paraId="390B002D" w14:textId="094320A0"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2903" w:type="dxa"/>
            <w:tcBorders>
              <w:top w:val="nil"/>
              <w:bottom w:val="nil"/>
            </w:tcBorders>
          </w:tcPr>
          <w:p w14:paraId="7612969C" w14:textId="0162F4CF"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Maximum percentage of nickel that can be recovered from recycled scrap</w:t>
            </w:r>
          </w:p>
        </w:tc>
        <w:tc>
          <w:tcPr>
            <w:tcW w:w="848" w:type="dxa"/>
            <w:tcBorders>
              <w:top w:val="nil"/>
              <w:bottom w:val="nil"/>
            </w:tcBorders>
          </w:tcPr>
          <w:p w14:paraId="4228DDD3" w14:textId="3FC13053"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 xml:space="preserve">ADDIN CSL_CITATION {"citationItems":[{"id":"ITEM-1","itemData":{"DOI":"10.1021/es400069b","ISSN":"0013936X","abstract":"We present a dynamic model of global copper stocks and flows which allows a detailed analysis of recycling efficiencies, copper stocks in use, and dissipated and landfilled copper. The model is based on historical mining and refined copper production data (1910-2010) enhanced by a unique data set of recent global semifinished goods production and copper end-use sectors provided by the copper industry. To enable the consistency of the simulated copper life cycle in terms of a closed mass balance, particularly the matching of recycled metal flows to reported historical annual production data, a method was developed to estimate the yearly global collection rates of end-of-life (postconsumer) scrap. Based on this method, we provide estimates of 8 different recycling indicators over time. The main indicator for the efficiency of global copper recycling from end-of-life (EoL) scrap -the EoL recycling rate -was estimated to be 45% on average, </w:instrText>
            </w:r>
            <w:r>
              <w:rPr>
                <w:sz w:val="20"/>
                <w:szCs w:val="20"/>
                <w:lang w:val="en-US"/>
              </w:rPr>
              <w:instrText>±</w:instrText>
            </w:r>
            <w:r>
              <w:rPr>
                <w:sz w:val="20"/>
                <w:szCs w:val="20"/>
                <w:lang w:val="en-US"/>
              </w:rPr>
              <w:instrText xml:space="preserve"> 5% (one standard deviation) due to uncertainty and variability over time in the period 2000-2010. As uncertainties of specific input data -mainly concerning assumptions on end-use lifetimes and their distribution -are high, a sensitivity analysis with regard to the effect of uncertainties in the input data on the calculated recycling indicators was performed. The sensitivity analysis included a stochastic (Monte Carlo) uncertainty evaluation with 105 simulation runs. </w:instrText>
            </w:r>
            <w:r>
              <w:rPr>
                <w:sz w:val="20"/>
                <w:szCs w:val="20"/>
                <w:lang w:val="en-US"/>
              </w:rPr>
              <w:instrText>©</w:instrText>
            </w:r>
            <w:r>
              <w:rPr>
                <w:sz w:val="20"/>
                <w:szCs w:val="20"/>
                <w:lang w:val="en-US"/>
              </w:rPr>
              <w:instrText xml:space="preserve"> 2013 American Chemical Society.","author":[{"dropping-particle":"","family":"Gl</w:instrText>
            </w:r>
            <w:r>
              <w:rPr>
                <w:sz w:val="20"/>
                <w:szCs w:val="20"/>
                <w:lang w:val="en-US"/>
              </w:rPr>
              <w:instrText>ö</w:instrText>
            </w:r>
            <w:r>
              <w:rPr>
                <w:sz w:val="20"/>
                <w:szCs w:val="20"/>
                <w:lang w:val="en-US"/>
              </w:rPr>
              <w:instrText>ser","given":"Simon","non-dropping-particle":"","parse-names":false,"suffix":""},{"dropping-particle":"","family":"Soulier","given":"Marcel","non-dropping-particle":"","parse-names":false,"suffix":""},{"dropping-particle":"","family":"Tercero Espinoza","given":"Luis A.","non-dropping-particle":"","parse-names":false,"suffix":""}],"container-title":"Environmental Science and Technology","id":"ITEM-1","issue":"12","issued":{"date-parts":[["2013","6","18"]]},"page":"6564-6572","title":"Dynamic analysis of global copper flows. Global stocks, postconsumer material flows, recycling indicators, and uncertainty evaluation","type":"article-journal","volume":"47"},"uris":["http://www.mendeley.com/documents/?uuid=80d0b0ae-3362-36a0-8109-9c447e2c81b0"]}],"mendeley":{"formattedCitation":"&lt;sup&gt;13&lt;/sup&gt;","plainTextFormattedCitation":"13","previouslyFormattedCitation":"&lt;sup&gt;13&lt;/sup&gt;"},"properties":{"noteIndex":0},"schema":"https://github.com/citation-style-language/schema/raw/master/csl-citation.json"}</w:instrText>
            </w:r>
            <w:r>
              <w:rPr>
                <w:sz w:val="20"/>
                <w:szCs w:val="20"/>
                <w:lang w:val="en-US"/>
              </w:rPr>
              <w:fldChar w:fldCharType="separate"/>
            </w:r>
            <w:r w:rsidRPr="00A94F6B">
              <w:rPr>
                <w:noProof/>
                <w:sz w:val="20"/>
                <w:szCs w:val="20"/>
                <w:vertAlign w:val="superscript"/>
                <w:lang w:val="en-US"/>
              </w:rPr>
              <w:t>13</w:t>
            </w:r>
            <w:r>
              <w:rPr>
                <w:sz w:val="20"/>
                <w:szCs w:val="20"/>
                <w:lang w:val="en-US"/>
              </w:rPr>
              <w:fldChar w:fldCharType="end"/>
            </w:r>
          </w:p>
        </w:tc>
      </w:tr>
      <w:tr w:rsidR="009F4043" w:rsidRPr="00C50B5C" w14:paraId="40F21E41"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1B72724C" w14:textId="644F446D" w:rsidR="009F4043"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Maximum cobalt recycling efficiency score</w:t>
            </w:r>
          </w:p>
        </w:tc>
        <w:tc>
          <w:tcPr>
            <w:tcW w:w="1121" w:type="dxa"/>
            <w:tcBorders>
              <w:top w:val="nil"/>
              <w:bottom w:val="nil"/>
            </w:tcBorders>
          </w:tcPr>
          <w:p w14:paraId="10978463" w14:textId="5CC84D91"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94</w:t>
            </w:r>
          </w:p>
        </w:tc>
        <w:tc>
          <w:tcPr>
            <w:tcW w:w="1148" w:type="dxa"/>
            <w:tcBorders>
              <w:top w:val="nil"/>
              <w:bottom w:val="nil"/>
            </w:tcBorders>
          </w:tcPr>
          <w:p w14:paraId="1FBE74FA" w14:textId="0B54A9C4"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96</w:t>
            </w:r>
          </w:p>
        </w:tc>
        <w:tc>
          <w:tcPr>
            <w:tcW w:w="1160" w:type="dxa"/>
            <w:tcBorders>
              <w:top w:val="nil"/>
              <w:bottom w:val="nil"/>
            </w:tcBorders>
          </w:tcPr>
          <w:p w14:paraId="689A5856" w14:textId="4A018D55"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c>
          <w:tcPr>
            <w:tcW w:w="2903" w:type="dxa"/>
            <w:tcBorders>
              <w:top w:val="nil"/>
              <w:bottom w:val="nil"/>
            </w:tcBorders>
          </w:tcPr>
          <w:p w14:paraId="043BB9F5" w14:textId="732BD1F0"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Maximum percentage of cobalt that can be recovered from recycled scrap</w:t>
            </w:r>
          </w:p>
        </w:tc>
        <w:tc>
          <w:tcPr>
            <w:tcW w:w="848" w:type="dxa"/>
            <w:tcBorders>
              <w:top w:val="nil"/>
              <w:bottom w:val="nil"/>
            </w:tcBorders>
          </w:tcPr>
          <w:p w14:paraId="02598FE6" w14:textId="36ECD544"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 xml:space="preserve">ADDIN CSL_CITATION {"citationItems":[{"id":"ITEM-1","itemData":{"DOI":"10.1021/es400069b","ISSN":"0013936X","abstract":"We present a dynamic model of global copper stocks and flows which allows a detailed analysis of recycling efficiencies, copper stocks in use, and dissipated and landfilled copper. The model is based on historical mining and refined copper production data (1910-2010) enhanced by a unique data set of recent global semifinished goods production and copper end-use sectors provided by the copper industry. To enable the consistency of the simulated copper life cycle in terms of a closed mass balance, particularly the matching of recycled metal flows to reported historical annual production data, a method was developed to estimate the yearly global collection rates of end-of-life (postconsumer) scrap. Based on this method, we provide estimates of 8 different recycling indicators over time. The main indicator for the efficiency of global copper recycling from end-of-life (EoL) scrap -the EoL recycling rate -was estimated to be 45% on average, </w:instrText>
            </w:r>
            <w:r>
              <w:rPr>
                <w:sz w:val="20"/>
                <w:szCs w:val="20"/>
                <w:lang w:val="en-US"/>
              </w:rPr>
              <w:instrText>±</w:instrText>
            </w:r>
            <w:r>
              <w:rPr>
                <w:sz w:val="20"/>
                <w:szCs w:val="20"/>
                <w:lang w:val="en-US"/>
              </w:rPr>
              <w:instrText xml:space="preserve"> 5% (one standard deviation) due to uncertainty and variability over time in the period 2000-2010. As uncertainties of specific input data -mainly concerning assumptions on end-use lifetimes and their distribution -are high, a sensitivity analysis with regard to the effect of uncertainties in the input data on the calculated recycling indicators was performed. The sensitivity analysis included a stochastic (Monte Carlo) uncertainty evaluation with 105 simulation runs. </w:instrText>
            </w:r>
            <w:r>
              <w:rPr>
                <w:sz w:val="20"/>
                <w:szCs w:val="20"/>
                <w:lang w:val="en-US"/>
              </w:rPr>
              <w:instrText>©</w:instrText>
            </w:r>
            <w:r>
              <w:rPr>
                <w:sz w:val="20"/>
                <w:szCs w:val="20"/>
                <w:lang w:val="en-US"/>
              </w:rPr>
              <w:instrText xml:space="preserve"> 2013 American Chemical Society.","author":[{"dropping-particle":"","family":"Gl</w:instrText>
            </w:r>
            <w:r>
              <w:rPr>
                <w:sz w:val="20"/>
                <w:szCs w:val="20"/>
                <w:lang w:val="en-US"/>
              </w:rPr>
              <w:instrText>ö</w:instrText>
            </w:r>
            <w:r>
              <w:rPr>
                <w:sz w:val="20"/>
                <w:szCs w:val="20"/>
                <w:lang w:val="en-US"/>
              </w:rPr>
              <w:instrText>ser","given":"Simon","non-dropping-particle":"","parse-names":false,"suffix":""},{"dropping-particle":"","family":"Soulier","given":"Marcel","non-dropping-particle":"","parse-names":false,"suffix":""},{"dropping-particle":"","family":"Tercero Espinoza","given":"Luis A.","non-dropping-particle":"","parse-names":false,"suffix":""}],"container-title":"Environmental Science and Technology","id":"ITEM-1","issue":"12","issued":{"date-parts":[["2013","6","18"]]},"page":"6564-6572","title":"Dynamic analysis of global copper flows. Global stocks, postconsumer material flows, recycling indicators, and uncertainty evaluation","type":"article-journal","volume":"47"},"uris":["http://www.mendeley.com/documents/?uuid=80d0b0ae-3362-36a0-8109-9c447e2c81b0"]}],"mendeley":{"formattedCitation":"&lt;sup&gt;13&lt;/sup&gt;","plainTextFormattedCitation":"13","previouslyFormattedCitation":"&lt;sup&gt;13&lt;/sup&gt;"},"properties":{"noteIndex":0},"schema":"https://github.com/citation-style-language/schema/raw/master/csl-citation.json"}</w:instrText>
            </w:r>
            <w:r>
              <w:rPr>
                <w:sz w:val="20"/>
                <w:szCs w:val="20"/>
                <w:lang w:val="en-US"/>
              </w:rPr>
              <w:fldChar w:fldCharType="separate"/>
            </w:r>
            <w:r w:rsidRPr="00A94F6B">
              <w:rPr>
                <w:noProof/>
                <w:sz w:val="20"/>
                <w:szCs w:val="20"/>
                <w:vertAlign w:val="superscript"/>
                <w:lang w:val="en-US"/>
              </w:rPr>
              <w:t>13</w:t>
            </w:r>
            <w:r>
              <w:rPr>
                <w:sz w:val="20"/>
                <w:szCs w:val="20"/>
                <w:lang w:val="en-US"/>
              </w:rPr>
              <w:fldChar w:fldCharType="end"/>
            </w:r>
          </w:p>
        </w:tc>
      </w:tr>
      <w:tr w:rsidR="009F4043" w:rsidRPr="00C50B5C" w14:paraId="5004ED38" w14:textId="77777777" w:rsidTr="00E16ADE">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23F0420A" w14:textId="117024A9" w:rsidR="009F4043"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Percentage of primary scrap</w:t>
            </w:r>
          </w:p>
        </w:tc>
        <w:tc>
          <w:tcPr>
            <w:tcW w:w="1121" w:type="dxa"/>
            <w:tcBorders>
              <w:top w:val="nil"/>
              <w:bottom w:val="nil"/>
            </w:tcBorders>
          </w:tcPr>
          <w:p w14:paraId="53224037" w14:textId="7690B704"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25</w:t>
            </w:r>
          </w:p>
        </w:tc>
        <w:tc>
          <w:tcPr>
            <w:tcW w:w="1148" w:type="dxa"/>
            <w:tcBorders>
              <w:top w:val="nil"/>
              <w:bottom w:val="nil"/>
            </w:tcBorders>
          </w:tcPr>
          <w:p w14:paraId="64065BDD" w14:textId="67AD4F0F"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40</w:t>
            </w:r>
          </w:p>
        </w:tc>
        <w:tc>
          <w:tcPr>
            <w:tcW w:w="1160" w:type="dxa"/>
            <w:tcBorders>
              <w:top w:val="nil"/>
              <w:bottom w:val="nil"/>
            </w:tcBorders>
          </w:tcPr>
          <w:p w14:paraId="62FF1DFA" w14:textId="7EBEEC47"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c>
          <w:tcPr>
            <w:tcW w:w="2903" w:type="dxa"/>
            <w:tcBorders>
              <w:top w:val="nil"/>
              <w:bottom w:val="nil"/>
            </w:tcBorders>
          </w:tcPr>
          <w:p w14:paraId="702DE0DA" w14:textId="4C0BB7D3"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Percentage of metal that becomes scrap during production</w:t>
            </w:r>
          </w:p>
        </w:tc>
        <w:tc>
          <w:tcPr>
            <w:tcW w:w="848" w:type="dxa"/>
            <w:tcBorders>
              <w:top w:val="nil"/>
              <w:bottom w:val="nil"/>
            </w:tcBorders>
          </w:tcPr>
          <w:p w14:paraId="2B17EDA7" w14:textId="3BFBBCD1" w:rsidR="009F4043" w:rsidRDefault="009F4043" w:rsidP="009F4043">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sidR="00F43364">
              <w:rPr>
                <w:sz w:val="20"/>
                <w:szCs w:val="20"/>
                <w:lang w:val="en-US"/>
              </w:rPr>
              <w:instrText>ADDIN CSL_CITATION {"citationItems":[{"id":"ITEM-1","itemData":{"DOI":"10.1021/es400069b","author":[{"dropping-particle":"","family":"International Copper Association","given":"","non-dropping-particle":"","parse-names":false,"suffix":""}],"id":"ITEM-1","issued":{"date-parts":[["2017"]]},"title":"Copper Recycling","type":"book"},"uris":["http://www.mendeley.com/documents/?uuid=8378e779-5e9e-32b9-b67d-f570c8830833"]}],"mendeley":{"formattedCitation":"&lt;sup&gt;14&lt;/sup&gt;","plainTextFormattedCitation":"14","previouslyFormattedCitation":"&lt;sup&gt;14&lt;/sup&gt;"},"properties":{"noteIndex":0},"schema":"https://github.com/citation-style-language/schema/raw/master/csl-citation.json"}</w:instrText>
            </w:r>
            <w:r>
              <w:rPr>
                <w:sz w:val="20"/>
                <w:szCs w:val="20"/>
                <w:lang w:val="en-US"/>
              </w:rPr>
              <w:fldChar w:fldCharType="separate"/>
            </w:r>
            <w:r w:rsidRPr="009F4043">
              <w:rPr>
                <w:noProof/>
                <w:sz w:val="20"/>
                <w:szCs w:val="20"/>
                <w:vertAlign w:val="superscript"/>
                <w:lang w:val="en-US"/>
              </w:rPr>
              <w:t>14</w:t>
            </w:r>
            <w:r>
              <w:rPr>
                <w:sz w:val="20"/>
                <w:szCs w:val="20"/>
                <w:lang w:val="en-US"/>
              </w:rPr>
              <w:fldChar w:fldCharType="end"/>
            </w:r>
          </w:p>
        </w:tc>
      </w:tr>
      <w:tr w:rsidR="009F4043" w:rsidRPr="00C50B5C" w14:paraId="25A12F1A"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3007EDB5" w14:textId="712287E7" w:rsidR="009F4043" w:rsidRDefault="009F4043" w:rsidP="009F4043">
            <w:pPr>
              <w:rPr>
                <w:rFonts w:hAnsiTheme="minorHAnsi" w:cstheme="minorHAnsi"/>
                <w:b w:val="0"/>
                <w:bCs w:val="0"/>
                <w:sz w:val="20"/>
                <w:szCs w:val="20"/>
                <w:lang w:val="en-US"/>
              </w:rPr>
            </w:pPr>
            <w:r>
              <w:rPr>
                <w:rFonts w:hAnsiTheme="minorHAnsi" w:cstheme="minorHAnsi"/>
                <w:b w:val="0"/>
                <w:bCs w:val="0"/>
                <w:sz w:val="20"/>
                <w:szCs w:val="20"/>
                <w:lang w:val="en-US"/>
              </w:rPr>
              <w:t>Initial average lifetime of metal in use</w:t>
            </w:r>
          </w:p>
        </w:tc>
        <w:tc>
          <w:tcPr>
            <w:tcW w:w="1121" w:type="dxa"/>
            <w:tcBorders>
              <w:top w:val="nil"/>
              <w:bottom w:val="nil"/>
            </w:tcBorders>
          </w:tcPr>
          <w:p w14:paraId="3B3703D5" w14:textId="54C4ABF7"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5</w:t>
            </w:r>
          </w:p>
        </w:tc>
        <w:tc>
          <w:tcPr>
            <w:tcW w:w="1148" w:type="dxa"/>
            <w:tcBorders>
              <w:top w:val="nil"/>
              <w:bottom w:val="nil"/>
            </w:tcBorders>
          </w:tcPr>
          <w:p w14:paraId="489ADC5E" w14:textId="3CB0D0EE"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15</w:t>
            </w:r>
          </w:p>
        </w:tc>
        <w:tc>
          <w:tcPr>
            <w:tcW w:w="1160" w:type="dxa"/>
            <w:tcBorders>
              <w:top w:val="nil"/>
              <w:bottom w:val="nil"/>
            </w:tcBorders>
          </w:tcPr>
          <w:p w14:paraId="7804E1C1" w14:textId="5B06850C"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Year</w:t>
            </w:r>
          </w:p>
        </w:tc>
        <w:tc>
          <w:tcPr>
            <w:tcW w:w="2903" w:type="dxa"/>
            <w:tcBorders>
              <w:top w:val="nil"/>
              <w:bottom w:val="nil"/>
            </w:tcBorders>
          </w:tcPr>
          <w:p w14:paraId="6E55A09F" w14:textId="49E359FE"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Average lifetime of metal in use in 2000</w:t>
            </w:r>
          </w:p>
        </w:tc>
        <w:tc>
          <w:tcPr>
            <w:tcW w:w="848" w:type="dxa"/>
            <w:tcBorders>
              <w:top w:val="nil"/>
              <w:bottom w:val="nil"/>
            </w:tcBorders>
          </w:tcPr>
          <w:p w14:paraId="65FFE92C" w14:textId="543D952B" w:rsidR="009F4043" w:rsidRDefault="009F4043" w:rsidP="009F4043">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 xml:space="preserve">ADDIN CSL_CITATION {"citationItems":[{"id":"ITEM-1","itemData":{"DOI":"10.1021/es400069b","ISSN":"0013936X","abstract":"We present a dynamic model of global copper stocks and flows which allows a detailed analysis of recycling efficiencies, copper stocks in use, and dissipated and landfilled copper. The model is based on historical mining and refined copper production data (1910-2010) enhanced by a unique data set of recent global semifinished goods production and copper end-use sectors provided by the copper industry. To enable the consistency of the simulated copper life cycle in terms of a closed mass balance, particularly the matching of recycled metal flows to reported historical annual production data, a method was developed to estimate the yearly global collection rates of end-of-life (postconsumer) scrap. Based on this method, we provide estimates of 8 different recycling indicators over time. The main indicator for the efficiency of global copper recycling from end-of-life (EoL) scrap -the EoL recycling rate -was estimated to be 45% on average, </w:instrText>
            </w:r>
            <w:r>
              <w:rPr>
                <w:sz w:val="20"/>
                <w:szCs w:val="20"/>
                <w:lang w:val="en-US"/>
              </w:rPr>
              <w:instrText>±</w:instrText>
            </w:r>
            <w:r>
              <w:rPr>
                <w:sz w:val="20"/>
                <w:szCs w:val="20"/>
                <w:lang w:val="en-US"/>
              </w:rPr>
              <w:instrText xml:space="preserve"> 5% (one standard deviation) due to uncertainty and variability over time in the period 2000-2010. As uncertainties of specific input data -mainly concerning assumptions on end-use lifetimes and their distribution -are high, a sensitivity analysis with regard to the effect of uncertainties in the input data on the calculated recycling indicators was performed. The sensitivity analysis included a stochastic (Monte Carlo) uncertainty evaluation with 105 simulation runs. </w:instrText>
            </w:r>
            <w:r>
              <w:rPr>
                <w:sz w:val="20"/>
                <w:szCs w:val="20"/>
                <w:lang w:val="en-US"/>
              </w:rPr>
              <w:instrText>©</w:instrText>
            </w:r>
            <w:r>
              <w:rPr>
                <w:sz w:val="20"/>
                <w:szCs w:val="20"/>
                <w:lang w:val="en-US"/>
              </w:rPr>
              <w:instrText xml:space="preserve"> 2013 American Chemical Society.","author":[{"dropping-particle":"","family":"Gl</w:instrText>
            </w:r>
            <w:r>
              <w:rPr>
                <w:sz w:val="20"/>
                <w:szCs w:val="20"/>
                <w:lang w:val="en-US"/>
              </w:rPr>
              <w:instrText>ö</w:instrText>
            </w:r>
            <w:r>
              <w:rPr>
                <w:sz w:val="20"/>
                <w:szCs w:val="20"/>
                <w:lang w:val="en-US"/>
              </w:rPr>
              <w:instrText>ser","given":"Simon","non-dropping-particle":"","parse-names":false,"suffix":""},{"dropping-particle":"","family":"Soulier","given":"Marcel","non-dropping-particle":"","parse-names":false,"suffix":""},{"dropping-particle":"","family":"Tercero Espinoza","given":"Luis A.","non-dropping-particle":"","parse-names":false,"suffix":""}],"container-title":"Environmental Science and Technology","id":"ITEM-1","issue":"12","issued":{"date-parts":[["2013","6","18"]]},"page":"6564-6572","title":"Dynamic analysis of global copper flows. Global stocks, postconsumer material flows, recycling indicators, and uncertainty evaluation","type":"article-journal","volume":"47"},"uris":["http://www.mendeley.com/documents/?uuid=80d0b0ae-3362-36a0-8109-9c447e2c81b0"]}],"mendeley":{"formattedCitation":"&lt;sup&gt;13&lt;/sup&gt;","plainTextFormattedCitation":"13","previouslyFormattedCitation":"&lt;sup&gt;13&lt;/sup&gt;"},"properties":{"noteIndex":0},"schema":"https://github.com/citation-style-language/schema/raw/master/csl-citation.json"}</w:instrText>
            </w:r>
            <w:r>
              <w:rPr>
                <w:sz w:val="20"/>
                <w:szCs w:val="20"/>
                <w:lang w:val="en-US"/>
              </w:rPr>
              <w:fldChar w:fldCharType="separate"/>
            </w:r>
            <w:r w:rsidRPr="00A94F6B">
              <w:rPr>
                <w:noProof/>
                <w:sz w:val="20"/>
                <w:szCs w:val="20"/>
                <w:vertAlign w:val="superscript"/>
                <w:lang w:val="en-US"/>
              </w:rPr>
              <w:t>13</w:t>
            </w:r>
            <w:r>
              <w:rPr>
                <w:sz w:val="20"/>
                <w:szCs w:val="20"/>
                <w:lang w:val="en-US"/>
              </w:rPr>
              <w:fldChar w:fldCharType="end"/>
            </w:r>
          </w:p>
        </w:tc>
      </w:tr>
      <w:tr w:rsidR="009F4043" w:rsidRPr="00C50B5C" w14:paraId="71CF9D9B" w14:textId="77777777" w:rsidTr="00E16ADE">
        <w:tc>
          <w:tcPr>
            <w:cnfStyle w:val="001000000000" w:firstRow="0" w:lastRow="0" w:firstColumn="1" w:lastColumn="0" w:oddVBand="0" w:evenVBand="0" w:oddHBand="0" w:evenHBand="0" w:firstRowFirstColumn="0" w:firstRowLastColumn="0" w:lastRowFirstColumn="0" w:lastRowLastColumn="0"/>
            <w:tcW w:w="9072" w:type="dxa"/>
            <w:gridSpan w:val="6"/>
            <w:tcBorders>
              <w:top w:val="single" w:sz="4" w:space="0" w:color="auto"/>
              <w:bottom w:val="single" w:sz="4" w:space="0" w:color="auto"/>
            </w:tcBorders>
          </w:tcPr>
          <w:p w14:paraId="1691C8C3" w14:textId="5D7251B9" w:rsidR="009F4043" w:rsidRPr="00C50B5C" w:rsidRDefault="009F4043" w:rsidP="009F4043">
            <w:pPr>
              <w:rPr>
                <w:rFonts w:hAnsiTheme="minorHAnsi" w:cstheme="minorHAnsi"/>
                <w:b w:val="0"/>
                <w:bCs w:val="0"/>
                <w:sz w:val="20"/>
                <w:szCs w:val="20"/>
                <w:lang w:val="en-US"/>
              </w:rPr>
            </w:pPr>
            <w:r w:rsidRPr="00C50B5C">
              <w:rPr>
                <w:rFonts w:hAnsiTheme="minorHAnsi" w:cstheme="minorHAnsi"/>
                <w:b w:val="0"/>
                <w:bCs w:val="0"/>
                <w:i/>
                <w:iCs/>
                <w:sz w:val="20"/>
                <w:szCs w:val="20"/>
                <w:lang w:val="en-US"/>
              </w:rPr>
              <w:t xml:space="preserve">Variables related </w:t>
            </w:r>
            <w:r>
              <w:rPr>
                <w:rFonts w:hAnsiTheme="minorHAnsi" w:cstheme="minorHAnsi"/>
                <w:b w:val="0"/>
                <w:bCs w:val="0"/>
                <w:i/>
                <w:iCs/>
                <w:sz w:val="20"/>
                <w:szCs w:val="20"/>
                <w:lang w:val="en-US"/>
              </w:rPr>
              <w:t>to demand</w:t>
            </w:r>
            <w:r w:rsidRPr="00C50B5C">
              <w:rPr>
                <w:rFonts w:hAnsiTheme="minorHAnsi" w:cstheme="minorHAnsi"/>
                <w:b w:val="0"/>
                <w:bCs w:val="0"/>
                <w:i/>
                <w:iCs/>
                <w:sz w:val="20"/>
                <w:szCs w:val="20"/>
                <w:lang w:val="en-US"/>
              </w:rPr>
              <w:t xml:space="preserve"> </w:t>
            </w:r>
          </w:p>
        </w:tc>
      </w:tr>
      <w:tr w:rsidR="00F43364" w:rsidRPr="00C50B5C" w14:paraId="7DF2C1B9" w14:textId="77777777" w:rsidTr="00E16AD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535DE950" w14:textId="7C8D8D3B" w:rsidR="00F43364" w:rsidRPr="00C50B5C" w:rsidRDefault="00F43364" w:rsidP="00E16ADE">
            <w:pPr>
              <w:rPr>
                <w:rFonts w:hAnsiTheme="minorHAnsi" w:cstheme="minorHAnsi"/>
                <w:b w:val="0"/>
                <w:bCs w:val="0"/>
                <w:sz w:val="20"/>
                <w:szCs w:val="20"/>
                <w:lang w:val="en-US"/>
              </w:rPr>
            </w:pPr>
            <w:r>
              <w:rPr>
                <w:rFonts w:hAnsiTheme="minorHAnsi" w:cstheme="minorHAnsi"/>
                <w:b w:val="0"/>
                <w:bCs w:val="0"/>
                <w:sz w:val="20"/>
                <w:szCs w:val="20"/>
                <w:lang w:val="en-US"/>
              </w:rPr>
              <w:t>Cu per dollar GDP</w:t>
            </w:r>
          </w:p>
        </w:tc>
        <w:tc>
          <w:tcPr>
            <w:tcW w:w="1121" w:type="dxa"/>
            <w:tcBorders>
              <w:top w:val="nil"/>
              <w:bottom w:val="nil"/>
            </w:tcBorders>
          </w:tcPr>
          <w:p w14:paraId="54CC8C16" w14:textId="37B38CB8" w:rsidR="00F43364" w:rsidRPr="00C50B5C" w:rsidRDefault="00F43364"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6E-5</w:t>
            </w:r>
          </w:p>
        </w:tc>
        <w:tc>
          <w:tcPr>
            <w:tcW w:w="1148" w:type="dxa"/>
            <w:tcBorders>
              <w:top w:val="nil"/>
              <w:bottom w:val="nil"/>
            </w:tcBorders>
          </w:tcPr>
          <w:p w14:paraId="462702A8" w14:textId="61F42EE2" w:rsidR="00F43364" w:rsidRPr="00C50B5C" w:rsidRDefault="00F43364"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8E-5</w:t>
            </w:r>
          </w:p>
        </w:tc>
        <w:tc>
          <w:tcPr>
            <w:tcW w:w="1160" w:type="dxa"/>
            <w:tcBorders>
              <w:top w:val="nil"/>
              <w:bottom w:val="nil"/>
            </w:tcBorders>
          </w:tcPr>
          <w:p w14:paraId="619DB8A0" w14:textId="77777777" w:rsidR="00F43364" w:rsidRPr="00C50B5C" w:rsidRDefault="00F43364"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lb</w:t>
            </w:r>
            <w:proofErr w:type="spellEnd"/>
            <w:r>
              <w:rPr>
                <w:sz w:val="20"/>
                <w:szCs w:val="20"/>
                <w:lang w:val="en-US"/>
              </w:rPr>
              <w:t>/Dollar</w:t>
            </w:r>
          </w:p>
        </w:tc>
        <w:tc>
          <w:tcPr>
            <w:tcW w:w="2903" w:type="dxa"/>
            <w:tcBorders>
              <w:top w:val="nil"/>
              <w:bottom w:val="nil"/>
            </w:tcBorders>
          </w:tcPr>
          <w:p w14:paraId="7AC0CAE8" w14:textId="77777777" w:rsidR="00F43364" w:rsidRPr="00C50B5C" w:rsidRDefault="00F43364"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Nickel demand per dollar increase in GDP</w:t>
            </w:r>
          </w:p>
        </w:tc>
        <w:tc>
          <w:tcPr>
            <w:tcW w:w="848" w:type="dxa"/>
            <w:tcBorders>
              <w:top w:val="nil"/>
              <w:bottom w:val="nil"/>
            </w:tcBorders>
          </w:tcPr>
          <w:p w14:paraId="51351EFD" w14:textId="7E30D122" w:rsidR="00F43364" w:rsidRPr="00C50B5C" w:rsidRDefault="00F43364"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{"citationItems":[{"id":"ITEM-1","itemData":{"URL":"https://databank.worldbank.org/home.aspx","accessed":{"date-parts":[["2019","10","28"]]},"author":[{"dropping-particle":"","family":"World Bank","given":"","non-dropping-particle":"","parse-names":false,"suffix":""}],"id":"ITEM-1","issued":{"date-parts":[["2019"]]},"title":"World development indicators","type":"webpage"},"uris":["http://www.mendeley.com/documents/?uuid=edd25af0-8793-49e8-9b4b-b7d4cc28074c"]},{"id":"ITEM-2","itemData":{"author":[{"dropping-particle":"","family":"ICSG","given":"","non-dropping-particle":"","parse-names":false,"suffix":""}],"id":"ITEM-2","issued":{"date-parts":[["2019"]]},"publisher-place":"Lisbon","title":"The World Copper Factbook 2019","type":"report"},"uris":["http://www.mendeley.com/documents/?uuid=026b2225-3ebb-44f1-87fe-6444a84f0656"]}],"mendeley":{"formattedCitation":"&lt;sup&gt;15,16&lt;/sup&gt;","plainTextFormattedCitation":"15,16","previouslyFormattedCitation":"&lt;sup&gt;15,16&lt;/sup&gt;"},"properties":{"noteIndex":0},"schema":"https://github.com/citation-style-language/schema/raw/master/csl-citation.json"}</w:instrText>
            </w:r>
            <w:r>
              <w:rPr>
                <w:sz w:val="20"/>
                <w:szCs w:val="20"/>
                <w:lang w:val="en-US"/>
              </w:rPr>
              <w:fldChar w:fldCharType="separate"/>
            </w:r>
            <w:r w:rsidRPr="00F43364">
              <w:rPr>
                <w:noProof/>
                <w:sz w:val="20"/>
                <w:szCs w:val="20"/>
                <w:vertAlign w:val="superscript"/>
                <w:lang w:val="en-US"/>
              </w:rPr>
              <w:t>15,16</w:t>
            </w:r>
            <w:r>
              <w:rPr>
                <w:sz w:val="20"/>
                <w:szCs w:val="20"/>
                <w:lang w:val="en-US"/>
              </w:rPr>
              <w:fldChar w:fldCharType="end"/>
            </w:r>
          </w:p>
        </w:tc>
      </w:tr>
      <w:tr w:rsidR="00F43364" w:rsidRPr="00C50B5C" w14:paraId="423D8FA4" w14:textId="77777777" w:rsidTr="00F43364">
        <w:trPr>
          <w:trHeight w:val="465"/>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5DD2FF80" w14:textId="241EC8F9" w:rsidR="00F43364" w:rsidRPr="00C50B5C" w:rsidRDefault="00F43364" w:rsidP="00E16ADE">
            <w:pPr>
              <w:rPr>
                <w:rFonts w:hAnsiTheme="minorHAnsi" w:cstheme="minorHAnsi"/>
                <w:b w:val="0"/>
                <w:bCs w:val="0"/>
                <w:sz w:val="20"/>
                <w:szCs w:val="20"/>
                <w:lang w:val="en-US"/>
              </w:rPr>
            </w:pPr>
            <w:r>
              <w:rPr>
                <w:rFonts w:hAnsiTheme="minorHAnsi" w:cstheme="minorHAnsi"/>
                <w:b w:val="0"/>
                <w:bCs w:val="0"/>
                <w:sz w:val="20"/>
                <w:szCs w:val="20"/>
                <w:lang w:val="en-US"/>
              </w:rPr>
              <w:t>Ni per dollar GDP</w:t>
            </w:r>
          </w:p>
        </w:tc>
        <w:tc>
          <w:tcPr>
            <w:tcW w:w="1121" w:type="dxa"/>
            <w:tcBorders>
              <w:top w:val="nil"/>
              <w:bottom w:val="nil"/>
            </w:tcBorders>
          </w:tcPr>
          <w:p w14:paraId="02A0BEC0" w14:textId="77777777" w:rsidR="00F43364" w:rsidRPr="00C50B5C" w:rsidRDefault="00F43364" w:rsidP="00E16ADE">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4E-6</w:t>
            </w:r>
          </w:p>
        </w:tc>
        <w:tc>
          <w:tcPr>
            <w:tcW w:w="1148" w:type="dxa"/>
            <w:tcBorders>
              <w:top w:val="nil"/>
              <w:bottom w:val="nil"/>
            </w:tcBorders>
          </w:tcPr>
          <w:p w14:paraId="6BC278C8" w14:textId="77777777" w:rsidR="00F43364" w:rsidRPr="00C50B5C" w:rsidRDefault="00F43364" w:rsidP="00E16ADE">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8E-6</w:t>
            </w:r>
          </w:p>
        </w:tc>
        <w:tc>
          <w:tcPr>
            <w:tcW w:w="1160" w:type="dxa"/>
            <w:tcBorders>
              <w:top w:val="nil"/>
              <w:bottom w:val="nil"/>
            </w:tcBorders>
          </w:tcPr>
          <w:p w14:paraId="1EA070DE" w14:textId="77777777" w:rsidR="00F43364" w:rsidRPr="00C50B5C" w:rsidRDefault="00F43364" w:rsidP="00E16ADE">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lb</w:t>
            </w:r>
            <w:proofErr w:type="spellEnd"/>
            <w:r>
              <w:rPr>
                <w:sz w:val="20"/>
                <w:szCs w:val="20"/>
                <w:lang w:val="en-US"/>
              </w:rPr>
              <w:t>/Dollar</w:t>
            </w:r>
          </w:p>
        </w:tc>
        <w:tc>
          <w:tcPr>
            <w:tcW w:w="2903" w:type="dxa"/>
            <w:tcBorders>
              <w:top w:val="nil"/>
              <w:bottom w:val="nil"/>
            </w:tcBorders>
          </w:tcPr>
          <w:p w14:paraId="0C16C7E6" w14:textId="77777777" w:rsidR="00F43364" w:rsidRPr="00C50B5C" w:rsidRDefault="00F43364" w:rsidP="00E16ADE">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Nickel demand per dollar increase in GDP</w:t>
            </w:r>
          </w:p>
        </w:tc>
        <w:tc>
          <w:tcPr>
            <w:tcW w:w="848" w:type="dxa"/>
            <w:tcBorders>
              <w:top w:val="nil"/>
              <w:bottom w:val="nil"/>
            </w:tcBorders>
          </w:tcPr>
          <w:p w14:paraId="60FF6E76" w14:textId="17C848FD" w:rsidR="00F43364" w:rsidRPr="00C50B5C" w:rsidRDefault="00F43364" w:rsidP="00E16ADE">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sidR="008928EC">
              <w:rPr>
                <w:sz w:val="20"/>
                <w:szCs w:val="20"/>
                <w:lang w:val="en-US"/>
              </w:rPr>
              <w:instrText>ADDIN CSL_CITATION {"citationItems":[{"id":"ITEM-1","itemData":{"author":[{"dropping-particle":"","family":"INSG","given":"","non-dropping-particle":"","parse-names":false,"suffix":""}],"id":"ITEM-1","issued":{"date-parts":[["2018"]]},"publisher-place":"Lisbon, Portugal","title":"THE WORLD NICKEL FACTBOOK 2018","type":"report"},"uris":["http://www.mendeley.com/documents/?uuid=59cc4e2c-ea2e-4bea-b4fb-df482f3edd18"]},{"id":"ITEM-2","itemData":{"URL":"https://databank.worldbank.org/home.aspx","accessed":{"date-parts":[["2019","10","28"]]},"author":[{"dropping-particle":"","family":"World Bank","given":"","non-dropping-particle":"","parse-names":false,"suffix":""}],"id":"ITEM-2","issued":{"date-parts":[["2019"]]},"title":"World development indicators","type":"webpage"},"uris":["http://www.mendeley.com/documents/?uuid=edd25af0-8793-49e8-9b4b-b7d4cc28074c"]}],"mendeley":{"formattedCitation":"&lt;sup&gt;15,17&lt;/sup&gt;","plainTextFormattedCitation":"15,17","previouslyFormattedCitation":"&lt;sup&gt;15,17&lt;/sup&gt;"},"properties":{"noteIndex":0},"schema":"https://github.com/citation-style-language/schema/raw/master/csl-citation.json"}</w:instrText>
            </w:r>
            <w:r>
              <w:rPr>
                <w:sz w:val="20"/>
                <w:szCs w:val="20"/>
                <w:lang w:val="en-US"/>
              </w:rPr>
              <w:fldChar w:fldCharType="separate"/>
            </w:r>
            <w:r w:rsidRPr="00F43364">
              <w:rPr>
                <w:noProof/>
                <w:sz w:val="20"/>
                <w:szCs w:val="20"/>
                <w:vertAlign w:val="superscript"/>
                <w:lang w:val="en-US"/>
              </w:rPr>
              <w:t>15,17</w:t>
            </w:r>
            <w:r>
              <w:rPr>
                <w:sz w:val="20"/>
                <w:szCs w:val="20"/>
                <w:lang w:val="en-US"/>
              </w:rPr>
              <w:fldChar w:fldCharType="end"/>
            </w:r>
          </w:p>
        </w:tc>
      </w:tr>
      <w:tr w:rsidR="00F43364" w:rsidRPr="00C50B5C" w14:paraId="6026C1F5"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4EBC5A33" w14:textId="77777777" w:rsidR="00F43364" w:rsidRPr="00C50B5C" w:rsidRDefault="00F43364" w:rsidP="00E16ADE">
            <w:pPr>
              <w:rPr>
                <w:rFonts w:hAnsiTheme="minorHAnsi" w:cstheme="minorHAnsi"/>
                <w:b w:val="0"/>
                <w:bCs w:val="0"/>
                <w:sz w:val="20"/>
                <w:szCs w:val="20"/>
                <w:lang w:val="en-US"/>
              </w:rPr>
            </w:pPr>
            <w:r>
              <w:rPr>
                <w:rFonts w:hAnsiTheme="minorHAnsi" w:cstheme="minorHAnsi"/>
                <w:b w:val="0"/>
                <w:bCs w:val="0"/>
                <w:sz w:val="20"/>
                <w:szCs w:val="20"/>
                <w:lang w:val="en-US"/>
              </w:rPr>
              <w:t>Co per dollar GDP</w:t>
            </w:r>
          </w:p>
        </w:tc>
        <w:tc>
          <w:tcPr>
            <w:tcW w:w="1121" w:type="dxa"/>
            <w:tcBorders>
              <w:top w:val="nil"/>
              <w:bottom w:val="nil"/>
            </w:tcBorders>
          </w:tcPr>
          <w:p w14:paraId="2ADD2547" w14:textId="77777777" w:rsidR="00F43364" w:rsidRPr="00C50B5C" w:rsidRDefault="00F43364"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1E-6</w:t>
            </w:r>
          </w:p>
        </w:tc>
        <w:tc>
          <w:tcPr>
            <w:tcW w:w="1148" w:type="dxa"/>
            <w:tcBorders>
              <w:top w:val="nil"/>
              <w:bottom w:val="nil"/>
            </w:tcBorders>
          </w:tcPr>
          <w:p w14:paraId="00EBEAF7" w14:textId="77777777" w:rsidR="00F43364" w:rsidRPr="00C50B5C" w:rsidRDefault="00F43364"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1.5E-6</w:t>
            </w:r>
          </w:p>
        </w:tc>
        <w:tc>
          <w:tcPr>
            <w:tcW w:w="1160" w:type="dxa"/>
            <w:tcBorders>
              <w:top w:val="nil"/>
              <w:bottom w:val="nil"/>
            </w:tcBorders>
          </w:tcPr>
          <w:p w14:paraId="75A1B4DB" w14:textId="77777777" w:rsidR="00F43364" w:rsidRPr="00C50B5C" w:rsidRDefault="00F43364"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lb</w:t>
            </w:r>
            <w:proofErr w:type="spellEnd"/>
            <w:r>
              <w:rPr>
                <w:sz w:val="20"/>
                <w:szCs w:val="20"/>
                <w:lang w:val="en-US"/>
              </w:rPr>
              <w:t>/Dollar</w:t>
            </w:r>
          </w:p>
        </w:tc>
        <w:tc>
          <w:tcPr>
            <w:tcW w:w="2903" w:type="dxa"/>
            <w:tcBorders>
              <w:top w:val="nil"/>
              <w:bottom w:val="nil"/>
            </w:tcBorders>
          </w:tcPr>
          <w:p w14:paraId="57A43F6D" w14:textId="77777777" w:rsidR="00F43364" w:rsidRPr="00C50B5C" w:rsidRDefault="00F43364"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Cobalt demand per dollar increase in GDP</w:t>
            </w:r>
          </w:p>
        </w:tc>
        <w:tc>
          <w:tcPr>
            <w:tcW w:w="848" w:type="dxa"/>
            <w:tcBorders>
              <w:top w:val="nil"/>
              <w:bottom w:val="nil"/>
            </w:tcBorders>
          </w:tcPr>
          <w:p w14:paraId="5322265E" w14:textId="5B8C22CF" w:rsidR="00F43364" w:rsidRPr="00C50B5C" w:rsidRDefault="00F43364"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sidR="008928EC">
              <w:rPr>
                <w:sz w:val="20"/>
                <w:szCs w:val="20"/>
                <w:lang w:val="en-US"/>
              </w:rPr>
              <w:instrText>ADDIN CSL_CITATION {"citationItems":[{"id":"ITEM-1","itemData":{"DOI":"10.3133/70202434","author":[{"dropping-particle":"","family":"USGS","given":"","non-dropping-particle":"","parse-names":false,"suffix":""}],"id":"ITEM-1","issued":{"date-parts":[["2019"]]},"publisher":"U.S. Geological Survey","publisher-place":"Reston, U.S.","title":"Mineral Commodity Summaries 2019","type":"book"},"uris":["http://www.mendeley.com/documents/?uuid=271c13af-51c5-4696-a18a-7947bb005778"]},{"id":"ITEM-2","itemData":{"URL":"https://databank.worldbank.org/home.aspx","accessed":{"date-parts":[["2019","10","28"]]},"author":[{"dropping-particle":"","family":"World Bank","given":"","non-dropping-particle":"","parse-names":false,"suffix":""}],"id":"ITEM-2","issued":{"date-parts":[["2019"]]},"title":"World development indicators","type":"webpage"},"uris":["http://www.mendeley.com/documents/?uuid=edd25af0-8793-49e8-9b4b-b7d4cc28074c"]}],"mendeley":{"formattedCitation":"&lt;sup&gt;15,18&lt;/sup&gt;","plainTextFormattedCitation":"15,18","previouslyFormattedCitation":"&lt;sup&gt;15,18&lt;/sup&gt;"},"properties":{"noteIndex":0},"schema":"https://github.com/citation-style-language/schema/raw/master/csl-citation.json"}</w:instrText>
            </w:r>
            <w:r>
              <w:rPr>
                <w:sz w:val="20"/>
                <w:szCs w:val="20"/>
                <w:lang w:val="en-US"/>
              </w:rPr>
              <w:fldChar w:fldCharType="separate"/>
            </w:r>
            <w:r w:rsidRPr="00F43364">
              <w:rPr>
                <w:noProof/>
                <w:sz w:val="20"/>
                <w:szCs w:val="20"/>
                <w:vertAlign w:val="superscript"/>
                <w:lang w:val="en-US"/>
              </w:rPr>
              <w:t>15,18</w:t>
            </w:r>
            <w:r>
              <w:rPr>
                <w:sz w:val="20"/>
                <w:szCs w:val="20"/>
                <w:lang w:val="en-US"/>
              </w:rPr>
              <w:fldChar w:fldCharType="end"/>
            </w:r>
          </w:p>
        </w:tc>
      </w:tr>
      <w:tr w:rsidR="00F43364" w:rsidRPr="00C50B5C" w14:paraId="0D4F491D" w14:textId="77777777" w:rsidTr="00E16ADE">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20C3B8A0" w14:textId="6EE38D0E" w:rsidR="00F43364" w:rsidRDefault="00F43364" w:rsidP="00F43364">
            <w:pPr>
              <w:rPr>
                <w:rFonts w:hAnsiTheme="minorHAnsi" w:cstheme="minorHAnsi"/>
                <w:b w:val="0"/>
                <w:bCs w:val="0"/>
                <w:sz w:val="20"/>
                <w:szCs w:val="20"/>
                <w:lang w:val="en-US"/>
              </w:rPr>
            </w:pPr>
            <w:r>
              <w:rPr>
                <w:rFonts w:hAnsiTheme="minorHAnsi" w:cstheme="minorHAnsi"/>
                <w:b w:val="0"/>
                <w:bCs w:val="0"/>
                <w:sz w:val="20"/>
                <w:szCs w:val="20"/>
                <w:lang w:val="en-US"/>
              </w:rPr>
              <w:t>Long term substitution strength</w:t>
            </w:r>
          </w:p>
        </w:tc>
        <w:tc>
          <w:tcPr>
            <w:tcW w:w="1121" w:type="dxa"/>
            <w:tcBorders>
              <w:top w:val="nil"/>
              <w:bottom w:val="nil"/>
            </w:tcBorders>
          </w:tcPr>
          <w:p w14:paraId="0F8E8D19" w14:textId="22D4AB15" w:rsidR="00F43364" w:rsidRDefault="00F43364" w:rsidP="00F433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1</w:t>
            </w:r>
          </w:p>
        </w:tc>
        <w:tc>
          <w:tcPr>
            <w:tcW w:w="1148" w:type="dxa"/>
            <w:tcBorders>
              <w:top w:val="nil"/>
              <w:bottom w:val="nil"/>
            </w:tcBorders>
          </w:tcPr>
          <w:p w14:paraId="6AC7A9AF" w14:textId="3BA94551" w:rsidR="00F43364" w:rsidRDefault="00F43364" w:rsidP="00F433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5</w:t>
            </w:r>
          </w:p>
        </w:tc>
        <w:tc>
          <w:tcPr>
            <w:tcW w:w="1160" w:type="dxa"/>
            <w:tcBorders>
              <w:top w:val="nil"/>
              <w:bottom w:val="nil"/>
            </w:tcBorders>
          </w:tcPr>
          <w:p w14:paraId="08C581DC" w14:textId="486B4C02" w:rsidR="00F43364" w:rsidRDefault="00F43364" w:rsidP="00F433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%/Year</w:t>
            </w:r>
          </w:p>
        </w:tc>
        <w:tc>
          <w:tcPr>
            <w:tcW w:w="2903" w:type="dxa"/>
            <w:tcBorders>
              <w:top w:val="nil"/>
              <w:bottom w:val="nil"/>
            </w:tcBorders>
          </w:tcPr>
          <w:p w14:paraId="1C137BF6" w14:textId="734079D7" w:rsidR="00F43364" w:rsidRDefault="00F43364" w:rsidP="00F433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Percentage of demand that is substituted if requirements for substitution hold for a long period of time</w:t>
            </w:r>
          </w:p>
        </w:tc>
        <w:tc>
          <w:tcPr>
            <w:tcW w:w="848" w:type="dxa"/>
            <w:tcBorders>
              <w:top w:val="nil"/>
              <w:bottom w:val="nil"/>
            </w:tcBorders>
          </w:tcPr>
          <w:p w14:paraId="32875832" w14:textId="58FB34FE" w:rsidR="00F43364" w:rsidRDefault="003D602A" w:rsidP="00F433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w:t>
            </w:r>
          </w:p>
        </w:tc>
      </w:tr>
      <w:tr w:rsidR="00F43364" w:rsidRPr="00C50B5C" w14:paraId="2B045842"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4883BDA1" w14:textId="76A24964" w:rsidR="00F43364" w:rsidRDefault="00F43364" w:rsidP="00F43364">
            <w:pPr>
              <w:rPr>
                <w:rFonts w:hAnsiTheme="minorHAnsi" w:cstheme="minorHAnsi"/>
                <w:b w:val="0"/>
                <w:bCs w:val="0"/>
                <w:sz w:val="20"/>
                <w:szCs w:val="20"/>
                <w:lang w:val="en-US"/>
              </w:rPr>
            </w:pPr>
            <w:r>
              <w:rPr>
                <w:rFonts w:hAnsiTheme="minorHAnsi" w:cstheme="minorHAnsi"/>
                <w:b w:val="0"/>
                <w:bCs w:val="0"/>
                <w:sz w:val="20"/>
                <w:szCs w:val="20"/>
                <w:lang w:val="en-US"/>
              </w:rPr>
              <w:t>Short term substitution strength</w:t>
            </w:r>
          </w:p>
        </w:tc>
        <w:tc>
          <w:tcPr>
            <w:tcW w:w="1121" w:type="dxa"/>
            <w:tcBorders>
              <w:top w:val="nil"/>
              <w:bottom w:val="nil"/>
            </w:tcBorders>
          </w:tcPr>
          <w:p w14:paraId="010E9CBD" w14:textId="4AE67731" w:rsidR="00F43364" w:rsidRDefault="00F43364" w:rsidP="00F43364">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2</w:t>
            </w:r>
          </w:p>
        </w:tc>
        <w:tc>
          <w:tcPr>
            <w:tcW w:w="1148" w:type="dxa"/>
            <w:tcBorders>
              <w:top w:val="nil"/>
              <w:bottom w:val="nil"/>
            </w:tcBorders>
          </w:tcPr>
          <w:p w14:paraId="289FAA92" w14:textId="2C1B312B" w:rsidR="00F43364" w:rsidRDefault="00F43364" w:rsidP="00F43364">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6</w:t>
            </w:r>
          </w:p>
        </w:tc>
        <w:tc>
          <w:tcPr>
            <w:tcW w:w="1160" w:type="dxa"/>
            <w:tcBorders>
              <w:top w:val="nil"/>
              <w:bottom w:val="nil"/>
            </w:tcBorders>
          </w:tcPr>
          <w:p w14:paraId="105F6774" w14:textId="047F627A" w:rsidR="00F43364" w:rsidRDefault="00F43364" w:rsidP="00F43364">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%/Year</w:t>
            </w:r>
          </w:p>
        </w:tc>
        <w:tc>
          <w:tcPr>
            <w:tcW w:w="2903" w:type="dxa"/>
            <w:tcBorders>
              <w:top w:val="nil"/>
              <w:bottom w:val="nil"/>
            </w:tcBorders>
          </w:tcPr>
          <w:p w14:paraId="371085E6" w14:textId="4C78EBC2" w:rsidR="00F43364" w:rsidRDefault="00F43364" w:rsidP="00F43364">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Percentage of demand that is substituted if requirements for substitution hold for a short period of time</w:t>
            </w:r>
          </w:p>
        </w:tc>
        <w:tc>
          <w:tcPr>
            <w:tcW w:w="848" w:type="dxa"/>
            <w:tcBorders>
              <w:top w:val="nil"/>
              <w:bottom w:val="nil"/>
            </w:tcBorders>
          </w:tcPr>
          <w:p w14:paraId="0FEDA5F5" w14:textId="29E080BA" w:rsidR="00F43364" w:rsidRDefault="003D602A" w:rsidP="00F43364">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w:t>
            </w:r>
          </w:p>
        </w:tc>
      </w:tr>
      <w:tr w:rsidR="00F43364" w:rsidRPr="00C50B5C" w14:paraId="1C4F62A2" w14:textId="77777777" w:rsidTr="00E16ADE">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4BB6F5E8" w14:textId="14AD945D" w:rsidR="00F43364" w:rsidRDefault="00F43364" w:rsidP="00F43364">
            <w:pPr>
              <w:rPr>
                <w:rFonts w:hAnsiTheme="minorHAnsi" w:cstheme="minorHAnsi"/>
                <w:b w:val="0"/>
                <w:bCs w:val="0"/>
                <w:sz w:val="20"/>
                <w:szCs w:val="20"/>
                <w:lang w:val="en-US"/>
              </w:rPr>
            </w:pPr>
            <w:r>
              <w:rPr>
                <w:rFonts w:hAnsiTheme="minorHAnsi" w:cstheme="minorHAnsi"/>
                <w:b w:val="0"/>
                <w:bCs w:val="0"/>
                <w:sz w:val="20"/>
                <w:szCs w:val="20"/>
                <w:lang w:val="en-US"/>
              </w:rPr>
              <w:t>Copper substitution threshold</w:t>
            </w:r>
          </w:p>
        </w:tc>
        <w:tc>
          <w:tcPr>
            <w:tcW w:w="1121" w:type="dxa"/>
            <w:tcBorders>
              <w:top w:val="nil"/>
              <w:bottom w:val="nil"/>
            </w:tcBorders>
          </w:tcPr>
          <w:p w14:paraId="4504A663" w14:textId="17D3471B" w:rsidR="00F43364" w:rsidRDefault="00F43364" w:rsidP="00F433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2.5</w:t>
            </w:r>
          </w:p>
        </w:tc>
        <w:tc>
          <w:tcPr>
            <w:tcW w:w="1148" w:type="dxa"/>
            <w:tcBorders>
              <w:top w:val="nil"/>
              <w:bottom w:val="nil"/>
            </w:tcBorders>
          </w:tcPr>
          <w:p w14:paraId="5E700D63" w14:textId="1F5B8F15" w:rsidR="00F43364" w:rsidRDefault="00F43364" w:rsidP="00F433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5</w:t>
            </w:r>
          </w:p>
        </w:tc>
        <w:tc>
          <w:tcPr>
            <w:tcW w:w="1160" w:type="dxa"/>
            <w:tcBorders>
              <w:top w:val="nil"/>
              <w:bottom w:val="nil"/>
            </w:tcBorders>
          </w:tcPr>
          <w:p w14:paraId="0BBE7E9D" w14:textId="7C896AE8" w:rsidR="00F43364" w:rsidRDefault="00F43364" w:rsidP="00F4336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nil"/>
            </w:tcBorders>
          </w:tcPr>
          <w:p w14:paraId="260BF2E0" w14:textId="2A753A87" w:rsidR="00F43364" w:rsidRDefault="00F43364" w:rsidP="00F433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Threshold for copper substitution</w:t>
            </w:r>
            <w:r w:rsidR="008928EC">
              <w:rPr>
                <w:sz w:val="20"/>
                <w:szCs w:val="20"/>
                <w:lang w:val="en-US"/>
              </w:rPr>
              <w:t>: if the price of copper is higher than this amount times the price of its substitute, substitution happens</w:t>
            </w:r>
          </w:p>
        </w:tc>
        <w:tc>
          <w:tcPr>
            <w:tcW w:w="848" w:type="dxa"/>
            <w:tcBorders>
              <w:top w:val="nil"/>
              <w:bottom w:val="nil"/>
            </w:tcBorders>
          </w:tcPr>
          <w:p w14:paraId="33714ACD" w14:textId="7D3CE461" w:rsidR="00F43364" w:rsidRDefault="008928EC" w:rsidP="00F43364">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{"citationItems":[{"id":"ITEM-1","itemData":{"author":[{"dropping-particle":"","family":"Auping","given":"W L","non-dropping-particle":"","parse-names":false,"suffix":""}],"id":"ITEM-1","issued":{"date-parts":[["2011"]]},"publisher":"Delft University of Technology","title":"The Uncertain Future of Copper: An Exploratory System Dynamics Model and Analysis of the Global Copper System in the Next 40 Years","type":"thesis"},"uris":["http://www.mendeley.com/documents/?uuid=73495ddf-5062-4d8d-bca4-76838ba65a7e"]}],"mendeley":{"formattedCitation":"&lt;sup&gt;7&lt;/sup&gt;","plainTextFormattedCitation":"7","previouslyFormattedCitation":"&lt;sup&gt;7&lt;/sup&gt;"},"properties":{"noteIndex":0},"schema":"https://github.com/citation-style-language/schema/raw/master/csl-citation.json"}</w:instrText>
            </w:r>
            <w:r>
              <w:rPr>
                <w:sz w:val="20"/>
                <w:szCs w:val="20"/>
                <w:lang w:val="en-US"/>
              </w:rPr>
              <w:fldChar w:fldCharType="separate"/>
            </w:r>
            <w:r w:rsidRPr="008928EC">
              <w:rPr>
                <w:noProof/>
                <w:sz w:val="20"/>
                <w:szCs w:val="20"/>
                <w:vertAlign w:val="superscript"/>
                <w:lang w:val="en-US"/>
              </w:rPr>
              <w:t>7</w:t>
            </w:r>
            <w:r>
              <w:rPr>
                <w:sz w:val="20"/>
                <w:szCs w:val="20"/>
                <w:lang w:val="en-US"/>
              </w:rPr>
              <w:fldChar w:fldCharType="end"/>
            </w:r>
          </w:p>
        </w:tc>
      </w:tr>
      <w:tr w:rsidR="008928EC" w:rsidRPr="00C50B5C" w14:paraId="424058A9"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0A81B1A5" w14:textId="39C58D8C" w:rsidR="008928EC" w:rsidRDefault="008928EC" w:rsidP="008928EC">
            <w:pPr>
              <w:rPr>
                <w:rFonts w:hAnsiTheme="minorHAnsi" w:cstheme="minorHAnsi"/>
                <w:b w:val="0"/>
                <w:bCs w:val="0"/>
                <w:sz w:val="20"/>
                <w:szCs w:val="20"/>
                <w:lang w:val="en-US"/>
              </w:rPr>
            </w:pPr>
            <w:r>
              <w:rPr>
                <w:rFonts w:hAnsiTheme="minorHAnsi" w:cstheme="minorHAnsi"/>
                <w:b w:val="0"/>
                <w:bCs w:val="0"/>
                <w:sz w:val="20"/>
                <w:szCs w:val="20"/>
                <w:lang w:val="en-US"/>
              </w:rPr>
              <w:t>Nickel substitution threshold</w:t>
            </w:r>
          </w:p>
        </w:tc>
        <w:tc>
          <w:tcPr>
            <w:tcW w:w="1121" w:type="dxa"/>
            <w:tcBorders>
              <w:top w:val="nil"/>
              <w:bottom w:val="nil"/>
            </w:tcBorders>
          </w:tcPr>
          <w:p w14:paraId="2C88AEBB" w14:textId="4D884178"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5</w:t>
            </w:r>
          </w:p>
        </w:tc>
        <w:tc>
          <w:tcPr>
            <w:tcW w:w="1148" w:type="dxa"/>
            <w:tcBorders>
              <w:top w:val="nil"/>
              <w:bottom w:val="nil"/>
            </w:tcBorders>
          </w:tcPr>
          <w:p w14:paraId="12A400B9" w14:textId="030E99A9"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10</w:t>
            </w:r>
          </w:p>
        </w:tc>
        <w:tc>
          <w:tcPr>
            <w:tcW w:w="1160" w:type="dxa"/>
            <w:tcBorders>
              <w:top w:val="nil"/>
              <w:bottom w:val="nil"/>
            </w:tcBorders>
          </w:tcPr>
          <w:p w14:paraId="38BC62F1" w14:textId="702E189E"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nil"/>
            </w:tcBorders>
          </w:tcPr>
          <w:p w14:paraId="2E2C980F" w14:textId="67708402"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Threshold for nickel substitution: if the price of nickel is higher than this amount times the price of its substitute, substitution happens</w:t>
            </w:r>
          </w:p>
        </w:tc>
        <w:tc>
          <w:tcPr>
            <w:tcW w:w="848" w:type="dxa"/>
            <w:tcBorders>
              <w:top w:val="nil"/>
              <w:bottom w:val="nil"/>
            </w:tcBorders>
          </w:tcPr>
          <w:p w14:paraId="7FD24F7D" w14:textId="20C9A95C" w:rsidR="008928EC" w:rsidRDefault="003D602A"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w:t>
            </w:r>
          </w:p>
        </w:tc>
      </w:tr>
      <w:tr w:rsidR="008928EC" w:rsidRPr="00C50B5C" w14:paraId="4ABF3F7C" w14:textId="77777777" w:rsidTr="00E16ADE">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5F4F2EA5" w14:textId="282690DF" w:rsidR="008928EC" w:rsidRDefault="008928EC" w:rsidP="008928EC">
            <w:pPr>
              <w:rPr>
                <w:rFonts w:hAnsiTheme="minorHAnsi" w:cstheme="minorHAnsi"/>
                <w:b w:val="0"/>
                <w:bCs w:val="0"/>
                <w:sz w:val="20"/>
                <w:szCs w:val="20"/>
                <w:lang w:val="en-US"/>
              </w:rPr>
            </w:pPr>
            <w:r>
              <w:rPr>
                <w:rFonts w:hAnsiTheme="minorHAnsi" w:cstheme="minorHAnsi"/>
                <w:b w:val="0"/>
                <w:bCs w:val="0"/>
                <w:sz w:val="20"/>
                <w:szCs w:val="20"/>
                <w:lang w:val="en-US"/>
              </w:rPr>
              <w:t>Cobalt substitution threshold</w:t>
            </w:r>
          </w:p>
        </w:tc>
        <w:tc>
          <w:tcPr>
            <w:tcW w:w="1121" w:type="dxa"/>
            <w:tcBorders>
              <w:top w:val="nil"/>
              <w:bottom w:val="nil"/>
            </w:tcBorders>
          </w:tcPr>
          <w:p w14:paraId="7BBD619B" w14:textId="7D002449"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2</w:t>
            </w:r>
          </w:p>
        </w:tc>
        <w:tc>
          <w:tcPr>
            <w:tcW w:w="1148" w:type="dxa"/>
            <w:tcBorders>
              <w:top w:val="nil"/>
              <w:bottom w:val="nil"/>
            </w:tcBorders>
          </w:tcPr>
          <w:p w14:paraId="2B566634" w14:textId="097D1210"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4</w:t>
            </w:r>
          </w:p>
        </w:tc>
        <w:tc>
          <w:tcPr>
            <w:tcW w:w="1160" w:type="dxa"/>
            <w:tcBorders>
              <w:top w:val="nil"/>
              <w:bottom w:val="nil"/>
            </w:tcBorders>
          </w:tcPr>
          <w:p w14:paraId="2C9BAC23" w14:textId="170DA89F"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nil"/>
            </w:tcBorders>
          </w:tcPr>
          <w:p w14:paraId="6B278CFC" w14:textId="49FDDE98"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Threshold for cobalt substitution: if the price of cobalt is higher than this amount times the price of its substitute, substitution happens</w:t>
            </w:r>
          </w:p>
        </w:tc>
        <w:tc>
          <w:tcPr>
            <w:tcW w:w="848" w:type="dxa"/>
            <w:tcBorders>
              <w:top w:val="nil"/>
              <w:bottom w:val="nil"/>
            </w:tcBorders>
          </w:tcPr>
          <w:p w14:paraId="67588A51" w14:textId="1951063B" w:rsidR="008928EC" w:rsidRDefault="003D602A"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w:t>
            </w:r>
          </w:p>
        </w:tc>
      </w:tr>
      <w:tr w:rsidR="008928EC" w:rsidRPr="00C50B5C" w14:paraId="7604DE62"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0D70B550" w14:textId="64B372F5" w:rsidR="008928EC" w:rsidRDefault="008928EC" w:rsidP="008928EC">
            <w:pPr>
              <w:rPr>
                <w:rFonts w:hAnsiTheme="minorHAnsi" w:cstheme="minorHAnsi"/>
                <w:b w:val="0"/>
                <w:bCs w:val="0"/>
                <w:sz w:val="20"/>
                <w:szCs w:val="20"/>
                <w:lang w:val="en-US"/>
              </w:rPr>
            </w:pPr>
            <w:r>
              <w:rPr>
                <w:rFonts w:hAnsiTheme="minorHAnsi" w:cstheme="minorHAnsi"/>
                <w:b w:val="0"/>
                <w:bCs w:val="0"/>
                <w:sz w:val="20"/>
                <w:szCs w:val="20"/>
                <w:lang w:val="en-US"/>
              </w:rPr>
              <w:t>Substitution strength battery compared to traditional</w:t>
            </w:r>
          </w:p>
        </w:tc>
        <w:tc>
          <w:tcPr>
            <w:tcW w:w="1121" w:type="dxa"/>
            <w:tcBorders>
              <w:top w:val="nil"/>
              <w:bottom w:val="nil"/>
            </w:tcBorders>
          </w:tcPr>
          <w:p w14:paraId="37E86686" w14:textId="74721A18"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0.01</w:t>
            </w:r>
          </w:p>
        </w:tc>
        <w:tc>
          <w:tcPr>
            <w:tcW w:w="1148" w:type="dxa"/>
            <w:tcBorders>
              <w:top w:val="nil"/>
              <w:bottom w:val="nil"/>
            </w:tcBorders>
          </w:tcPr>
          <w:p w14:paraId="69B1FFD0" w14:textId="352D9252"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0.05</w:t>
            </w:r>
          </w:p>
        </w:tc>
        <w:tc>
          <w:tcPr>
            <w:tcW w:w="1160" w:type="dxa"/>
            <w:tcBorders>
              <w:top w:val="nil"/>
              <w:bottom w:val="nil"/>
            </w:tcBorders>
          </w:tcPr>
          <w:p w14:paraId="6CAFC64C" w14:textId="2316D581"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1/Year</w:t>
            </w:r>
          </w:p>
        </w:tc>
        <w:tc>
          <w:tcPr>
            <w:tcW w:w="2903" w:type="dxa"/>
            <w:tcBorders>
              <w:top w:val="nil"/>
              <w:bottom w:val="nil"/>
            </w:tcBorders>
          </w:tcPr>
          <w:p w14:paraId="2E57357D" w14:textId="1028D769"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Battery demand is </w:t>
            </w:r>
            <w:r w:rsidR="00E51D3A">
              <w:rPr>
                <w:sz w:val="20"/>
                <w:szCs w:val="20"/>
                <w:lang w:val="en-US"/>
              </w:rPr>
              <w:t>ass</w:t>
            </w:r>
            <w:r>
              <w:rPr>
                <w:sz w:val="20"/>
                <w:szCs w:val="20"/>
                <w:lang w:val="en-US"/>
              </w:rPr>
              <w:t>umed to be more likely to be substituted, this variable determines by how much.</w:t>
            </w:r>
          </w:p>
        </w:tc>
        <w:tc>
          <w:tcPr>
            <w:tcW w:w="848" w:type="dxa"/>
            <w:tcBorders>
              <w:top w:val="nil"/>
              <w:bottom w:val="nil"/>
            </w:tcBorders>
          </w:tcPr>
          <w:p w14:paraId="62ABDB31" w14:textId="13889F58" w:rsidR="008928EC" w:rsidRDefault="003D602A"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w:t>
            </w:r>
          </w:p>
        </w:tc>
      </w:tr>
      <w:tr w:rsidR="008928EC" w:rsidRPr="00C50B5C" w14:paraId="23868B2B" w14:textId="77777777" w:rsidTr="00E16ADE">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3B27D0B7" w14:textId="6CA967AC" w:rsidR="008928EC" w:rsidRDefault="008928EC" w:rsidP="008928EC">
            <w:pPr>
              <w:rPr>
                <w:rFonts w:hAnsiTheme="minorHAnsi" w:cstheme="minorHAnsi"/>
                <w:b w:val="0"/>
                <w:bCs w:val="0"/>
                <w:sz w:val="20"/>
                <w:szCs w:val="20"/>
                <w:lang w:val="en-US"/>
              </w:rPr>
            </w:pPr>
            <w:r>
              <w:rPr>
                <w:rFonts w:hAnsiTheme="minorHAnsi" w:cstheme="minorHAnsi"/>
                <w:b w:val="0"/>
                <w:bCs w:val="0"/>
                <w:sz w:val="20"/>
                <w:szCs w:val="20"/>
                <w:lang w:val="en-US"/>
              </w:rPr>
              <w:t>Price elasticity long term</w:t>
            </w:r>
          </w:p>
        </w:tc>
        <w:tc>
          <w:tcPr>
            <w:tcW w:w="1121" w:type="dxa"/>
            <w:tcBorders>
              <w:top w:val="nil"/>
              <w:bottom w:val="nil"/>
            </w:tcBorders>
          </w:tcPr>
          <w:p w14:paraId="017ED892" w14:textId="2A7BB196"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0.1</w:t>
            </w:r>
          </w:p>
        </w:tc>
        <w:tc>
          <w:tcPr>
            <w:tcW w:w="1148" w:type="dxa"/>
            <w:tcBorders>
              <w:top w:val="nil"/>
              <w:bottom w:val="nil"/>
            </w:tcBorders>
          </w:tcPr>
          <w:p w14:paraId="7A471594" w14:textId="639F3B96"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0.25</w:t>
            </w:r>
          </w:p>
        </w:tc>
        <w:tc>
          <w:tcPr>
            <w:tcW w:w="1160" w:type="dxa"/>
            <w:tcBorders>
              <w:top w:val="nil"/>
              <w:bottom w:val="nil"/>
            </w:tcBorders>
          </w:tcPr>
          <w:p w14:paraId="1413C5FB" w14:textId="5183BBCF"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1/Year</w:t>
            </w:r>
          </w:p>
        </w:tc>
        <w:tc>
          <w:tcPr>
            <w:tcW w:w="2903" w:type="dxa"/>
            <w:tcBorders>
              <w:top w:val="nil"/>
              <w:bottom w:val="nil"/>
            </w:tcBorders>
          </w:tcPr>
          <w:p w14:paraId="559EECE6" w14:textId="4BE9EA73"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Price elasticity of demand in the long term</w:t>
            </w:r>
          </w:p>
        </w:tc>
        <w:tc>
          <w:tcPr>
            <w:tcW w:w="848" w:type="dxa"/>
            <w:tcBorders>
              <w:top w:val="nil"/>
              <w:bottom w:val="nil"/>
            </w:tcBorders>
          </w:tcPr>
          <w:p w14:paraId="4CF30EAB" w14:textId="1EEF53AC"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sidR="00A81EFA">
              <w:rPr>
                <w:sz w:val="20"/>
                <w:szCs w:val="20"/>
                <w:lang w:val="en-US"/>
              </w:rPr>
              <w:instrText>ADDIN CSL_CITATION {"citationItems":[{"id":"ITEM-1","itemData":{"author":[{"dropping-particle":"","family":"Auping","given":"W L","non-dropping-particle":"","parse-names":false,"suffix":""},{"dropping-particle":"","family":"Pruyt","given":"E","non-dropping-particle":"","parse-names":false,"suffix":""}],"container-title":"Proceedings of the 31st International Conference of the System Dynamics Society","id":"ITEM-1","issued":{"date-parts":[["2013"]]},"title":"(Un)desired Tantalum?","type":"paper-conference"},"uris":["http://www.mendeley.com/documents/?uuid=9f25d293-6587-408b-b090-3ba3ef5e4670"]}],"mendeley":{"formattedCitation":"&lt;sup&gt;5&lt;/sup&gt;","plainTextFormattedCitation":"5","previouslyFormattedCitation":"&lt;sup&gt;5&lt;/sup&gt;"},"properties":{"noteIndex":0},"schema":"https://github.com/citation-style-language/schema/raw/master/csl-citation.json"}</w:instrText>
            </w:r>
            <w:r>
              <w:rPr>
                <w:sz w:val="20"/>
                <w:szCs w:val="20"/>
                <w:lang w:val="en-US"/>
              </w:rPr>
              <w:fldChar w:fldCharType="separate"/>
            </w:r>
            <w:r w:rsidRPr="008928EC">
              <w:rPr>
                <w:noProof/>
                <w:sz w:val="20"/>
                <w:szCs w:val="20"/>
                <w:vertAlign w:val="superscript"/>
                <w:lang w:val="en-US"/>
              </w:rPr>
              <w:t>5</w:t>
            </w:r>
            <w:r>
              <w:rPr>
                <w:sz w:val="20"/>
                <w:szCs w:val="20"/>
                <w:lang w:val="en-US"/>
              </w:rPr>
              <w:fldChar w:fldCharType="end"/>
            </w:r>
          </w:p>
        </w:tc>
      </w:tr>
      <w:tr w:rsidR="008928EC" w:rsidRPr="00C50B5C" w14:paraId="6989B9B4"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49E2F59B" w14:textId="1DFC606F" w:rsidR="008928EC" w:rsidRDefault="008928EC" w:rsidP="008928EC">
            <w:pPr>
              <w:rPr>
                <w:rFonts w:hAnsiTheme="minorHAnsi" w:cstheme="minorHAnsi"/>
                <w:b w:val="0"/>
                <w:bCs w:val="0"/>
                <w:sz w:val="20"/>
                <w:szCs w:val="20"/>
                <w:lang w:val="en-US"/>
              </w:rPr>
            </w:pPr>
            <w:r>
              <w:rPr>
                <w:rFonts w:hAnsiTheme="minorHAnsi" w:cstheme="minorHAnsi"/>
                <w:b w:val="0"/>
                <w:bCs w:val="0"/>
                <w:sz w:val="20"/>
                <w:szCs w:val="20"/>
                <w:lang w:val="en-US"/>
              </w:rPr>
              <w:lastRenderedPageBreak/>
              <w:t>Price elasticity short term</w:t>
            </w:r>
          </w:p>
        </w:tc>
        <w:tc>
          <w:tcPr>
            <w:tcW w:w="1121" w:type="dxa"/>
            <w:tcBorders>
              <w:top w:val="nil"/>
              <w:bottom w:val="nil"/>
            </w:tcBorders>
          </w:tcPr>
          <w:p w14:paraId="22F51F44" w14:textId="283C0504"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0.02</w:t>
            </w:r>
          </w:p>
        </w:tc>
        <w:tc>
          <w:tcPr>
            <w:tcW w:w="1148" w:type="dxa"/>
            <w:tcBorders>
              <w:top w:val="nil"/>
              <w:bottom w:val="nil"/>
            </w:tcBorders>
          </w:tcPr>
          <w:p w14:paraId="30BD3305" w14:textId="193381BB"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0.08</w:t>
            </w:r>
          </w:p>
        </w:tc>
        <w:tc>
          <w:tcPr>
            <w:tcW w:w="1160" w:type="dxa"/>
            <w:tcBorders>
              <w:top w:val="nil"/>
              <w:bottom w:val="nil"/>
            </w:tcBorders>
          </w:tcPr>
          <w:p w14:paraId="655B0CF3" w14:textId="404583C6"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1/Year</w:t>
            </w:r>
          </w:p>
        </w:tc>
        <w:tc>
          <w:tcPr>
            <w:tcW w:w="2903" w:type="dxa"/>
            <w:tcBorders>
              <w:top w:val="nil"/>
              <w:bottom w:val="nil"/>
            </w:tcBorders>
          </w:tcPr>
          <w:p w14:paraId="710CA0B7" w14:textId="5A9D267E"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Price elasticity of demand in the short term</w:t>
            </w:r>
          </w:p>
        </w:tc>
        <w:tc>
          <w:tcPr>
            <w:tcW w:w="848" w:type="dxa"/>
            <w:tcBorders>
              <w:top w:val="nil"/>
              <w:bottom w:val="nil"/>
            </w:tcBorders>
          </w:tcPr>
          <w:p w14:paraId="0C7E6F8A" w14:textId="74E7D26E" w:rsidR="008928EC" w:rsidRDefault="008928EC"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sidR="00A81EFA">
              <w:rPr>
                <w:sz w:val="20"/>
                <w:szCs w:val="20"/>
                <w:lang w:val="en-US"/>
              </w:rPr>
              <w:instrText>ADDIN CSL_CITATION {"citationItems":[{"id":"ITEM-1","itemData":{"author":[{"dropping-particle":"","family":"Auping","given":"W L","non-dropping-particle":"","parse-names":false,"suffix":""},{"dropping-particle":"","family":"Pruyt","given":"E","non-dropping-particle":"","parse-names":false,"suffix":""}],"container-title":"Proceedings of the 31st International Conference of the System Dynamics Society","id":"ITEM-1","issued":{"date-parts":[["2013"]]},"title":"(Un)desired Tantalum?","type":"paper-conference"},"uris":["http://www.mendeley.com/documents/?uuid=9f25d293-6587-408b-b090-3ba3ef5e4670"]}],"mendeley":{"formattedCitation":"&lt;sup&gt;5&lt;/sup&gt;","plainTextFormattedCitation":"5","previouslyFormattedCitation":"&lt;sup&gt;5&lt;/sup&gt;"},"properties":{"noteIndex":0},"schema":"https://github.com/citation-style-language/schema/raw/master/csl-citation.json"}</w:instrText>
            </w:r>
            <w:r>
              <w:rPr>
                <w:sz w:val="20"/>
                <w:szCs w:val="20"/>
                <w:lang w:val="en-US"/>
              </w:rPr>
              <w:fldChar w:fldCharType="separate"/>
            </w:r>
            <w:r w:rsidRPr="008928EC">
              <w:rPr>
                <w:noProof/>
                <w:sz w:val="20"/>
                <w:szCs w:val="20"/>
                <w:vertAlign w:val="superscript"/>
                <w:lang w:val="en-US"/>
              </w:rPr>
              <w:t>5</w:t>
            </w:r>
            <w:r>
              <w:rPr>
                <w:sz w:val="20"/>
                <w:szCs w:val="20"/>
                <w:lang w:val="en-US"/>
              </w:rPr>
              <w:fldChar w:fldCharType="end"/>
            </w:r>
          </w:p>
        </w:tc>
      </w:tr>
      <w:tr w:rsidR="008928EC" w14:paraId="3F28E072" w14:textId="77777777" w:rsidTr="00E16ADE">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3CC1B7A4" w14:textId="305C86C7" w:rsidR="008928EC" w:rsidRDefault="008928EC" w:rsidP="008928EC">
            <w:pPr>
              <w:rPr>
                <w:rFonts w:hAnsiTheme="minorHAnsi" w:cstheme="minorHAnsi"/>
                <w:b w:val="0"/>
                <w:bCs w:val="0"/>
                <w:sz w:val="20"/>
                <w:szCs w:val="20"/>
                <w:lang w:val="en-US"/>
              </w:rPr>
            </w:pPr>
            <w:r>
              <w:rPr>
                <w:rFonts w:hAnsiTheme="minorHAnsi" w:cstheme="minorHAnsi"/>
                <w:b w:val="0"/>
                <w:bCs w:val="0"/>
                <w:sz w:val="20"/>
                <w:szCs w:val="20"/>
                <w:lang w:val="en-US"/>
              </w:rPr>
              <w:t>Price amplifying factor</w:t>
            </w:r>
          </w:p>
        </w:tc>
        <w:tc>
          <w:tcPr>
            <w:tcW w:w="1121" w:type="dxa"/>
            <w:tcBorders>
              <w:top w:val="nil"/>
              <w:bottom w:val="nil"/>
            </w:tcBorders>
          </w:tcPr>
          <w:p w14:paraId="6EAEDED3" w14:textId="28BA6756"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0.5</w:t>
            </w:r>
          </w:p>
        </w:tc>
        <w:tc>
          <w:tcPr>
            <w:tcW w:w="1148" w:type="dxa"/>
            <w:tcBorders>
              <w:top w:val="nil"/>
              <w:bottom w:val="nil"/>
            </w:tcBorders>
          </w:tcPr>
          <w:p w14:paraId="45A73319" w14:textId="080D5EF6"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0.3</w:t>
            </w:r>
          </w:p>
        </w:tc>
        <w:tc>
          <w:tcPr>
            <w:tcW w:w="1160" w:type="dxa"/>
            <w:tcBorders>
              <w:top w:val="nil"/>
              <w:bottom w:val="nil"/>
            </w:tcBorders>
          </w:tcPr>
          <w:p w14:paraId="3A601608" w14:textId="0B589676"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nil"/>
            </w:tcBorders>
          </w:tcPr>
          <w:p w14:paraId="133A037B" w14:textId="3A177B98"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Price </w:t>
            </w:r>
            <w:r w:rsidR="00A81EFA">
              <w:rPr>
                <w:sz w:val="20"/>
                <w:szCs w:val="20"/>
                <w:lang w:val="en-US"/>
              </w:rPr>
              <w:t>amplifying factor</w:t>
            </w:r>
          </w:p>
        </w:tc>
        <w:tc>
          <w:tcPr>
            <w:tcW w:w="848" w:type="dxa"/>
            <w:tcBorders>
              <w:top w:val="nil"/>
              <w:bottom w:val="nil"/>
            </w:tcBorders>
          </w:tcPr>
          <w:p w14:paraId="33A43F9B" w14:textId="5F13C680" w:rsidR="008928E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sidR="00A81EFA">
              <w:rPr>
                <w:sz w:val="20"/>
                <w:szCs w:val="20"/>
                <w:lang w:val="en-US"/>
              </w:rPr>
              <w:instrText>ADDIN CSL_CITATION {"citationItems":[{"id":"ITEM-1","itemData":{"author":[{"dropping-particle":"","family":"Auping","given":"W L","non-dropping-particle":"","parse-names":false,"suffix":""},{"dropping-particle":"","family":"Pruyt","given":"E","non-dropping-particle":"","parse-names":false,"suffix":""}],"container-title":"Proceedings of the 31st International Conference of the System Dynamics Society","id":"ITEM-1","issued":{"date-parts":[["2013"]]},"title":"(Un)desired Tantalum?","type":"paper-conference"},"uris":["http://www.mendeley.com/documents/?uuid=9f25d293-6587-408b-b090-3ba3ef5e4670"]}],"mendeley":{"formattedCitation":"&lt;sup&gt;5&lt;/sup&gt;","plainTextFormattedCitation":"5","previouslyFormattedCitation":"&lt;sup&gt;5&lt;/sup&gt;"},"properties":{"noteIndex":0},"schema":"https://github.com/citation-style-language/schema/raw/master/csl-citation.json"}</w:instrText>
            </w:r>
            <w:r>
              <w:rPr>
                <w:sz w:val="20"/>
                <w:szCs w:val="20"/>
                <w:lang w:val="en-US"/>
              </w:rPr>
              <w:fldChar w:fldCharType="separate"/>
            </w:r>
            <w:r w:rsidRPr="008928EC">
              <w:rPr>
                <w:noProof/>
                <w:sz w:val="20"/>
                <w:szCs w:val="20"/>
                <w:vertAlign w:val="superscript"/>
                <w:lang w:val="en-US"/>
              </w:rPr>
              <w:t>5</w:t>
            </w:r>
            <w:r>
              <w:rPr>
                <w:sz w:val="20"/>
                <w:szCs w:val="20"/>
                <w:lang w:val="en-US"/>
              </w:rPr>
              <w:fldChar w:fldCharType="end"/>
            </w:r>
          </w:p>
        </w:tc>
      </w:tr>
      <w:tr w:rsidR="008928EC" w:rsidRPr="00E51D3A" w14:paraId="497852D7"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6"/>
            <w:tcBorders>
              <w:top w:val="single" w:sz="4" w:space="0" w:color="auto"/>
              <w:bottom w:val="single" w:sz="4" w:space="0" w:color="auto"/>
            </w:tcBorders>
          </w:tcPr>
          <w:p w14:paraId="1E3745AA" w14:textId="0CF968E9" w:rsidR="008928EC" w:rsidRPr="00C50B5C" w:rsidRDefault="00A81EFA" w:rsidP="008928EC">
            <w:pPr>
              <w:rPr>
                <w:rFonts w:hAnsiTheme="minorHAnsi" w:cstheme="minorHAnsi"/>
                <w:b w:val="0"/>
                <w:bCs w:val="0"/>
                <w:sz w:val="20"/>
                <w:szCs w:val="20"/>
                <w:lang w:val="en-US"/>
              </w:rPr>
            </w:pPr>
            <w:r>
              <w:rPr>
                <w:rFonts w:hAnsiTheme="minorHAnsi" w:cstheme="minorHAnsi"/>
                <w:b w:val="0"/>
                <w:bCs w:val="0"/>
                <w:i/>
                <w:iCs/>
                <w:sz w:val="20"/>
                <w:szCs w:val="20"/>
                <w:lang w:val="en-US"/>
              </w:rPr>
              <w:t>Variables related to marginal costs</w:t>
            </w:r>
            <w:r w:rsidR="008928EC" w:rsidRPr="00C50B5C">
              <w:rPr>
                <w:rFonts w:hAnsiTheme="minorHAnsi" w:cstheme="minorHAnsi"/>
                <w:b w:val="0"/>
                <w:bCs w:val="0"/>
                <w:i/>
                <w:iCs/>
                <w:sz w:val="20"/>
                <w:szCs w:val="20"/>
                <w:lang w:val="en-US"/>
              </w:rPr>
              <w:t xml:space="preserve"> </w:t>
            </w:r>
          </w:p>
        </w:tc>
      </w:tr>
      <w:tr w:rsidR="008928EC" w:rsidRPr="00C50B5C" w14:paraId="57D88E2E" w14:textId="77777777" w:rsidTr="00E16ADE">
        <w:trPr>
          <w:trHeight w:val="384"/>
        </w:trPr>
        <w:tc>
          <w:tcPr>
            <w:cnfStyle w:val="001000000000" w:firstRow="0" w:lastRow="0" w:firstColumn="1" w:lastColumn="0" w:oddVBand="0" w:evenVBand="0" w:oddHBand="0" w:evenHBand="0" w:firstRowFirstColumn="0" w:firstRowLastColumn="0" w:lastRowFirstColumn="0" w:lastRowLastColumn="0"/>
            <w:tcW w:w="1892" w:type="dxa"/>
            <w:tcBorders>
              <w:top w:val="single" w:sz="4" w:space="0" w:color="auto"/>
              <w:bottom w:val="nil"/>
            </w:tcBorders>
          </w:tcPr>
          <w:p w14:paraId="280ED1E8" w14:textId="6B158FE4" w:rsidR="008928EC" w:rsidRPr="00C50B5C" w:rsidRDefault="00A81EFA" w:rsidP="008928EC">
            <w:pPr>
              <w:rPr>
                <w:rFonts w:hAnsiTheme="minorHAnsi" w:cstheme="minorHAnsi"/>
                <w:b w:val="0"/>
                <w:bCs w:val="0"/>
                <w:sz w:val="20"/>
                <w:szCs w:val="20"/>
                <w:lang w:val="en-US"/>
              </w:rPr>
            </w:pPr>
            <w:r>
              <w:rPr>
                <w:rFonts w:hAnsiTheme="minorHAnsi" w:cstheme="minorHAnsi"/>
                <w:b w:val="0"/>
                <w:bCs w:val="0"/>
                <w:sz w:val="20"/>
                <w:szCs w:val="20"/>
                <w:lang w:val="en-US"/>
              </w:rPr>
              <w:t>Cobalt taxes in DRC</w:t>
            </w:r>
          </w:p>
        </w:tc>
        <w:tc>
          <w:tcPr>
            <w:tcW w:w="1121" w:type="dxa"/>
            <w:tcBorders>
              <w:top w:val="single" w:sz="4" w:space="0" w:color="auto"/>
              <w:bottom w:val="nil"/>
            </w:tcBorders>
          </w:tcPr>
          <w:p w14:paraId="5B9775EA" w14:textId="6DCE9EFE" w:rsidR="008928EC" w:rsidRPr="00C50B5C" w:rsidRDefault="00A81EFA"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0.3</w:t>
            </w:r>
          </w:p>
        </w:tc>
        <w:tc>
          <w:tcPr>
            <w:tcW w:w="1148" w:type="dxa"/>
            <w:tcBorders>
              <w:top w:val="single" w:sz="4" w:space="0" w:color="auto"/>
              <w:bottom w:val="nil"/>
            </w:tcBorders>
          </w:tcPr>
          <w:p w14:paraId="5C937A88" w14:textId="45FDE80E" w:rsidR="008928EC" w:rsidRPr="00C50B5C" w:rsidRDefault="00A81EFA"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0.8</w:t>
            </w:r>
          </w:p>
        </w:tc>
        <w:tc>
          <w:tcPr>
            <w:tcW w:w="1160" w:type="dxa"/>
            <w:tcBorders>
              <w:top w:val="single" w:sz="4" w:space="0" w:color="auto"/>
              <w:bottom w:val="nil"/>
            </w:tcBorders>
          </w:tcPr>
          <w:p w14:paraId="20D09C29" w14:textId="3C172C0E" w:rsidR="008928EC" w:rsidRPr="00C50B5C" w:rsidRDefault="00A81EFA"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Dollar/</w:t>
            </w:r>
            <w:proofErr w:type="spellStart"/>
            <w:r>
              <w:rPr>
                <w:sz w:val="20"/>
                <w:szCs w:val="20"/>
                <w:lang w:val="en-US"/>
              </w:rPr>
              <w:t>lb</w:t>
            </w:r>
            <w:proofErr w:type="spellEnd"/>
          </w:p>
        </w:tc>
        <w:tc>
          <w:tcPr>
            <w:tcW w:w="2903" w:type="dxa"/>
            <w:tcBorders>
              <w:top w:val="single" w:sz="4" w:space="0" w:color="auto"/>
              <w:bottom w:val="nil"/>
            </w:tcBorders>
          </w:tcPr>
          <w:p w14:paraId="7E0381D2" w14:textId="5769D950" w:rsidR="008928EC" w:rsidRPr="00C50B5C" w:rsidRDefault="00A81EFA"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Taxes charged per </w:t>
            </w:r>
            <w:proofErr w:type="spellStart"/>
            <w:r>
              <w:rPr>
                <w:sz w:val="20"/>
                <w:szCs w:val="20"/>
                <w:lang w:val="en-US"/>
              </w:rPr>
              <w:t>lb</w:t>
            </w:r>
            <w:proofErr w:type="spellEnd"/>
            <w:r>
              <w:rPr>
                <w:sz w:val="20"/>
                <w:szCs w:val="20"/>
                <w:lang w:val="en-US"/>
              </w:rPr>
              <w:t xml:space="preserve"> cobalt in DRC</w:t>
            </w:r>
          </w:p>
        </w:tc>
        <w:tc>
          <w:tcPr>
            <w:tcW w:w="848" w:type="dxa"/>
            <w:tcBorders>
              <w:top w:val="single" w:sz="4" w:space="0" w:color="auto"/>
              <w:bottom w:val="nil"/>
            </w:tcBorders>
          </w:tcPr>
          <w:p w14:paraId="67984694" w14:textId="43356605" w:rsidR="008928EC" w:rsidRPr="00C50B5C" w:rsidRDefault="008928EC" w:rsidP="008928EC">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{"citationItems":[{"id":"ITEM-1","itemData":{"author":[{"dropping-particle":"","family":"AME","given":"","non-dropping-particle":"","parse-names":false,"suffix":""}],"id":"ITEM-1","issued":{"date-parts":[["2019"]]},"publisher":"AME Group","publisher-place":"London, UK","title":"Cobalt Equivalent Method Cash Costs curve","type":"book"},"uris":["http://www.mendeley.com/documents/?uuid=487003ce-9004-4d16-b143-282f750edf56"]}],"mendeley":{"formattedCitation":"&lt;sup&gt;12&lt;/sup&gt;","plainTextFormattedCitation":"12","previouslyFormattedCitation":"&lt;sup&gt;12&lt;/sup&gt;"},"properties":{"noteIndex":0},"schema":"https://github.com/citation-style-language/schema/raw/master/csl-citation.json"}</w:instrText>
            </w:r>
            <w:r>
              <w:rPr>
                <w:sz w:val="20"/>
                <w:szCs w:val="20"/>
                <w:lang w:val="en-US"/>
              </w:rPr>
              <w:fldChar w:fldCharType="separate"/>
            </w:r>
            <w:r w:rsidRPr="00E23C2E">
              <w:rPr>
                <w:noProof/>
                <w:sz w:val="20"/>
                <w:szCs w:val="20"/>
                <w:vertAlign w:val="superscript"/>
                <w:lang w:val="en-US"/>
              </w:rPr>
              <w:t>12</w:t>
            </w:r>
            <w:r>
              <w:rPr>
                <w:sz w:val="20"/>
                <w:szCs w:val="20"/>
                <w:lang w:val="en-US"/>
              </w:rPr>
              <w:fldChar w:fldCharType="end"/>
            </w:r>
          </w:p>
        </w:tc>
      </w:tr>
      <w:tr w:rsidR="008928EC" w:rsidRPr="00C50B5C" w14:paraId="2797F6A4"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29D36290" w14:textId="7119A01B" w:rsidR="008928EC" w:rsidRPr="00C50B5C" w:rsidRDefault="00A81EFA" w:rsidP="008928EC">
            <w:pPr>
              <w:rPr>
                <w:rFonts w:hAnsiTheme="minorHAnsi" w:cstheme="minorHAnsi"/>
                <w:b w:val="0"/>
                <w:bCs w:val="0"/>
                <w:sz w:val="20"/>
                <w:szCs w:val="20"/>
                <w:lang w:val="en-US"/>
              </w:rPr>
            </w:pPr>
            <w:r>
              <w:rPr>
                <w:rFonts w:hAnsiTheme="minorHAnsi" w:cstheme="minorHAnsi"/>
                <w:b w:val="0"/>
                <w:bCs w:val="0"/>
                <w:sz w:val="20"/>
                <w:szCs w:val="20"/>
                <w:lang w:val="en-US"/>
              </w:rPr>
              <w:t>Innovation in mining sector</w:t>
            </w:r>
          </w:p>
        </w:tc>
        <w:tc>
          <w:tcPr>
            <w:tcW w:w="1121" w:type="dxa"/>
            <w:tcBorders>
              <w:top w:val="nil"/>
              <w:bottom w:val="nil"/>
            </w:tcBorders>
          </w:tcPr>
          <w:p w14:paraId="2D78FEB6" w14:textId="058D4B26" w:rsidR="008928EC" w:rsidRPr="00C50B5C" w:rsidRDefault="00A81EFA"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0.7</w:t>
            </w:r>
          </w:p>
        </w:tc>
        <w:tc>
          <w:tcPr>
            <w:tcW w:w="1148" w:type="dxa"/>
            <w:tcBorders>
              <w:top w:val="nil"/>
              <w:bottom w:val="nil"/>
            </w:tcBorders>
          </w:tcPr>
          <w:p w14:paraId="15D06223" w14:textId="1888923A" w:rsidR="008928EC" w:rsidRPr="00C50B5C" w:rsidRDefault="00A81EFA"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w:t>
            </w:r>
          </w:p>
        </w:tc>
        <w:tc>
          <w:tcPr>
            <w:tcW w:w="1160" w:type="dxa"/>
            <w:tcBorders>
              <w:top w:val="nil"/>
              <w:bottom w:val="nil"/>
            </w:tcBorders>
          </w:tcPr>
          <w:p w14:paraId="7651A045" w14:textId="5190A58D" w:rsidR="008928EC" w:rsidRPr="00C50B5C" w:rsidRDefault="00A81EFA"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nil"/>
            </w:tcBorders>
          </w:tcPr>
          <w:p w14:paraId="347E62D0" w14:textId="5F632BCD" w:rsidR="008928EC" w:rsidRPr="00C50B5C" w:rsidRDefault="004E25ED"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Innovation causing decrease of costs of mining</w:t>
            </w:r>
          </w:p>
        </w:tc>
        <w:tc>
          <w:tcPr>
            <w:tcW w:w="848" w:type="dxa"/>
            <w:tcBorders>
              <w:top w:val="nil"/>
              <w:bottom w:val="nil"/>
            </w:tcBorders>
          </w:tcPr>
          <w:p w14:paraId="6FA1A731" w14:textId="1FDF3517" w:rsidR="008928EC" w:rsidRPr="00C50B5C" w:rsidRDefault="003D602A" w:rsidP="008928EC">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w:t>
            </w:r>
          </w:p>
        </w:tc>
      </w:tr>
      <w:tr w:rsidR="004E25ED" w:rsidRPr="00C50B5C" w14:paraId="2867CCC3" w14:textId="77777777" w:rsidTr="00E16ADE">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471C3616" w14:textId="65FA8039" w:rsidR="004E25ED" w:rsidRDefault="004E25ED" w:rsidP="004E25ED">
            <w:pPr>
              <w:rPr>
                <w:rFonts w:hAnsiTheme="minorHAnsi" w:cstheme="minorHAnsi"/>
                <w:b w:val="0"/>
                <w:bCs w:val="0"/>
                <w:sz w:val="20"/>
                <w:szCs w:val="20"/>
                <w:lang w:val="en-US"/>
              </w:rPr>
            </w:pPr>
            <w:r>
              <w:rPr>
                <w:rFonts w:hAnsiTheme="minorHAnsi" w:cstheme="minorHAnsi"/>
                <w:b w:val="0"/>
                <w:bCs w:val="0"/>
                <w:sz w:val="20"/>
                <w:szCs w:val="20"/>
                <w:lang w:val="en-US"/>
              </w:rPr>
              <w:t>Transport costs copper</w:t>
            </w:r>
          </w:p>
        </w:tc>
        <w:tc>
          <w:tcPr>
            <w:tcW w:w="1121" w:type="dxa"/>
            <w:tcBorders>
              <w:top w:val="nil"/>
              <w:bottom w:val="nil"/>
            </w:tcBorders>
          </w:tcPr>
          <w:p w14:paraId="2053D032" w14:textId="1CD28A4D"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0.02</w:t>
            </w:r>
          </w:p>
        </w:tc>
        <w:tc>
          <w:tcPr>
            <w:tcW w:w="1148" w:type="dxa"/>
            <w:tcBorders>
              <w:top w:val="nil"/>
              <w:bottom w:val="nil"/>
            </w:tcBorders>
          </w:tcPr>
          <w:p w14:paraId="4A66DEB6" w14:textId="4A298FAB"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0.06</w:t>
            </w:r>
          </w:p>
        </w:tc>
        <w:tc>
          <w:tcPr>
            <w:tcW w:w="1160" w:type="dxa"/>
            <w:tcBorders>
              <w:top w:val="nil"/>
              <w:bottom w:val="nil"/>
            </w:tcBorders>
          </w:tcPr>
          <w:p w14:paraId="677AD012" w14:textId="13CBA0BA"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Dollar/</w:t>
            </w:r>
            <w:proofErr w:type="spellStart"/>
            <w:r>
              <w:rPr>
                <w:sz w:val="20"/>
                <w:szCs w:val="20"/>
                <w:lang w:val="en-US"/>
              </w:rPr>
              <w:t>lb</w:t>
            </w:r>
            <w:proofErr w:type="spellEnd"/>
          </w:p>
        </w:tc>
        <w:tc>
          <w:tcPr>
            <w:tcW w:w="2903" w:type="dxa"/>
            <w:tcBorders>
              <w:top w:val="nil"/>
              <w:bottom w:val="nil"/>
            </w:tcBorders>
          </w:tcPr>
          <w:p w14:paraId="6D8D2837" w14:textId="6465D876"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Total transport costs over copper production chain</w:t>
            </w:r>
          </w:p>
        </w:tc>
        <w:tc>
          <w:tcPr>
            <w:tcW w:w="848" w:type="dxa"/>
            <w:tcBorders>
              <w:top w:val="nil"/>
              <w:bottom w:val="nil"/>
            </w:tcBorders>
          </w:tcPr>
          <w:p w14:paraId="5B4CB27A" w14:textId="21B528DC"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{"citationItems":[{"id":"ITEM-1","itemData":{"author":[{"dropping-particle":"","family":"AME","given":"","non-dropping-particle":"","parse-names":false,"suffix":""}],"id":"ITEM-1","issued":{"date-parts":[["2019"]]},"publisher":"AME Group","publisher-place":"London, UK","title":"Cobalt Equivalent Method Cash Costs curve","type":"book"},"uris":["http://www.mendeley.com/documents/?uuid=487003ce-9004-4d16-b143-282f750edf56"]}],"mendeley":{"formattedCitation":"&lt;sup&gt;12&lt;/sup&gt;","plainTextFormattedCitation":"12","previouslyFormattedCitation":"&lt;sup&gt;12&lt;/sup&gt;"},"properties":{"noteIndex":0},"schema":"https://github.com/citation-style-language/schema/raw/master/csl-citation.json"}</w:instrText>
            </w:r>
            <w:r>
              <w:rPr>
                <w:sz w:val="20"/>
                <w:szCs w:val="20"/>
                <w:lang w:val="en-US"/>
              </w:rPr>
              <w:fldChar w:fldCharType="separate"/>
            </w:r>
            <w:r w:rsidRPr="00E23C2E">
              <w:rPr>
                <w:noProof/>
                <w:sz w:val="20"/>
                <w:szCs w:val="20"/>
                <w:vertAlign w:val="superscript"/>
                <w:lang w:val="en-US"/>
              </w:rPr>
              <w:t>12</w:t>
            </w:r>
            <w:r>
              <w:rPr>
                <w:sz w:val="20"/>
                <w:szCs w:val="20"/>
                <w:lang w:val="en-US"/>
              </w:rPr>
              <w:fldChar w:fldCharType="end"/>
            </w:r>
          </w:p>
        </w:tc>
      </w:tr>
      <w:tr w:rsidR="004E25ED" w14:paraId="57432832"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2358F103" w14:textId="2349757F" w:rsidR="004E25ED" w:rsidRDefault="004E25ED" w:rsidP="00E16ADE">
            <w:pPr>
              <w:rPr>
                <w:rFonts w:hAnsiTheme="minorHAnsi" w:cstheme="minorHAnsi"/>
                <w:b w:val="0"/>
                <w:bCs w:val="0"/>
                <w:sz w:val="20"/>
                <w:szCs w:val="20"/>
                <w:lang w:val="en-US"/>
              </w:rPr>
            </w:pPr>
            <w:r>
              <w:rPr>
                <w:rFonts w:hAnsiTheme="minorHAnsi" w:cstheme="minorHAnsi"/>
                <w:b w:val="0"/>
                <w:bCs w:val="0"/>
                <w:sz w:val="20"/>
                <w:szCs w:val="20"/>
                <w:lang w:val="en-US"/>
              </w:rPr>
              <w:t>Transport costs nickel</w:t>
            </w:r>
          </w:p>
        </w:tc>
        <w:tc>
          <w:tcPr>
            <w:tcW w:w="1121" w:type="dxa"/>
            <w:tcBorders>
              <w:top w:val="nil"/>
              <w:bottom w:val="nil"/>
            </w:tcBorders>
          </w:tcPr>
          <w:p w14:paraId="2622BA03" w14:textId="52473C3C" w:rsidR="004E25ED" w:rsidRDefault="004E25ED"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0.1</w:t>
            </w:r>
          </w:p>
        </w:tc>
        <w:tc>
          <w:tcPr>
            <w:tcW w:w="1148" w:type="dxa"/>
            <w:tcBorders>
              <w:top w:val="nil"/>
              <w:bottom w:val="nil"/>
            </w:tcBorders>
          </w:tcPr>
          <w:p w14:paraId="1D46C83A" w14:textId="061D2B1D" w:rsidR="004E25ED" w:rsidRDefault="004E25ED"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0.3</w:t>
            </w:r>
          </w:p>
        </w:tc>
        <w:tc>
          <w:tcPr>
            <w:tcW w:w="1160" w:type="dxa"/>
            <w:tcBorders>
              <w:top w:val="nil"/>
              <w:bottom w:val="nil"/>
            </w:tcBorders>
          </w:tcPr>
          <w:p w14:paraId="3F7C2952" w14:textId="77777777" w:rsidR="004E25ED" w:rsidRDefault="004E25ED"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Dollar/</w:t>
            </w:r>
            <w:proofErr w:type="spellStart"/>
            <w:r>
              <w:rPr>
                <w:sz w:val="20"/>
                <w:szCs w:val="20"/>
                <w:lang w:val="en-US"/>
              </w:rPr>
              <w:t>lb</w:t>
            </w:r>
            <w:proofErr w:type="spellEnd"/>
          </w:p>
        </w:tc>
        <w:tc>
          <w:tcPr>
            <w:tcW w:w="2903" w:type="dxa"/>
            <w:tcBorders>
              <w:top w:val="nil"/>
              <w:bottom w:val="nil"/>
            </w:tcBorders>
          </w:tcPr>
          <w:p w14:paraId="1949F6DF" w14:textId="0B087B83" w:rsidR="004E25ED" w:rsidRDefault="004E25ED"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Total transport costs over nickel production chain</w:t>
            </w:r>
          </w:p>
        </w:tc>
        <w:tc>
          <w:tcPr>
            <w:tcW w:w="848" w:type="dxa"/>
            <w:tcBorders>
              <w:top w:val="nil"/>
              <w:bottom w:val="nil"/>
            </w:tcBorders>
          </w:tcPr>
          <w:p w14:paraId="459098CF" w14:textId="77777777" w:rsidR="004E25ED" w:rsidRDefault="004E25ED"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{"citationItems":[{"id":"ITEM-1","itemData":{"author":[{"dropping-particle":"","family":"AME","given":"","non-dropping-particle":"","parse-names":false,"suffix":""}],"id":"ITEM-1","issued":{"date-parts":[["2019"]]},"publisher":"AME Group","publisher-place":"London, UK","title":"Cobalt Equivalent Method Cash Costs curve","type":"book"},"uris":["http://www.mendeley.com/documents/?uuid=487003ce-9004-4d16-b143-282f750edf56"]}],"mendeley":{"formattedCitation":"&lt;sup&gt;12&lt;/sup&gt;","plainTextFormattedCitation":"12","previouslyFormattedCitation":"&lt;sup&gt;12&lt;/sup&gt;"},"properties":{"noteIndex":0},"schema":"https://github.com/citation-style-language/schema/raw/master/csl-citation.json"}</w:instrText>
            </w:r>
            <w:r>
              <w:rPr>
                <w:sz w:val="20"/>
                <w:szCs w:val="20"/>
                <w:lang w:val="en-US"/>
              </w:rPr>
              <w:fldChar w:fldCharType="separate"/>
            </w:r>
            <w:r w:rsidRPr="00E23C2E">
              <w:rPr>
                <w:noProof/>
                <w:sz w:val="20"/>
                <w:szCs w:val="20"/>
                <w:vertAlign w:val="superscript"/>
                <w:lang w:val="en-US"/>
              </w:rPr>
              <w:t>12</w:t>
            </w:r>
            <w:r>
              <w:rPr>
                <w:sz w:val="20"/>
                <w:szCs w:val="20"/>
                <w:lang w:val="en-US"/>
              </w:rPr>
              <w:fldChar w:fldCharType="end"/>
            </w:r>
          </w:p>
        </w:tc>
      </w:tr>
      <w:tr w:rsidR="004E25ED" w14:paraId="4C6EEF2C" w14:textId="77777777" w:rsidTr="00E16ADE">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3E8DCA91" w14:textId="727739A1" w:rsidR="004E25ED" w:rsidRDefault="004E25ED" w:rsidP="004E25ED">
            <w:pPr>
              <w:rPr>
                <w:rFonts w:hAnsiTheme="minorHAnsi" w:cstheme="minorHAnsi"/>
                <w:b w:val="0"/>
                <w:bCs w:val="0"/>
                <w:sz w:val="20"/>
                <w:szCs w:val="20"/>
                <w:lang w:val="en-US"/>
              </w:rPr>
            </w:pPr>
            <w:r>
              <w:rPr>
                <w:rFonts w:hAnsiTheme="minorHAnsi" w:cstheme="minorHAnsi"/>
                <w:b w:val="0"/>
                <w:bCs w:val="0"/>
                <w:sz w:val="20"/>
                <w:szCs w:val="20"/>
                <w:lang w:val="en-US"/>
              </w:rPr>
              <w:t>Transport costs cobalt</w:t>
            </w:r>
          </w:p>
        </w:tc>
        <w:tc>
          <w:tcPr>
            <w:tcW w:w="1121" w:type="dxa"/>
            <w:tcBorders>
              <w:top w:val="nil"/>
              <w:bottom w:val="nil"/>
            </w:tcBorders>
          </w:tcPr>
          <w:p w14:paraId="60A0E820" w14:textId="5658E917"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0.1</w:t>
            </w:r>
          </w:p>
        </w:tc>
        <w:tc>
          <w:tcPr>
            <w:tcW w:w="1148" w:type="dxa"/>
            <w:tcBorders>
              <w:top w:val="nil"/>
              <w:bottom w:val="nil"/>
            </w:tcBorders>
          </w:tcPr>
          <w:p w14:paraId="17F61075" w14:textId="0FDC5784"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0.3</w:t>
            </w:r>
          </w:p>
        </w:tc>
        <w:tc>
          <w:tcPr>
            <w:tcW w:w="1160" w:type="dxa"/>
            <w:tcBorders>
              <w:top w:val="nil"/>
              <w:bottom w:val="nil"/>
            </w:tcBorders>
          </w:tcPr>
          <w:p w14:paraId="55E22382" w14:textId="77777777"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Dollar/</w:t>
            </w:r>
            <w:proofErr w:type="spellStart"/>
            <w:r>
              <w:rPr>
                <w:sz w:val="20"/>
                <w:szCs w:val="20"/>
                <w:lang w:val="en-US"/>
              </w:rPr>
              <w:t>lb</w:t>
            </w:r>
            <w:proofErr w:type="spellEnd"/>
          </w:p>
        </w:tc>
        <w:tc>
          <w:tcPr>
            <w:tcW w:w="2903" w:type="dxa"/>
            <w:tcBorders>
              <w:top w:val="nil"/>
              <w:bottom w:val="nil"/>
            </w:tcBorders>
          </w:tcPr>
          <w:p w14:paraId="5F79053F" w14:textId="2D4529FB"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Total transport costs over cobalt production chain</w:t>
            </w:r>
          </w:p>
        </w:tc>
        <w:tc>
          <w:tcPr>
            <w:tcW w:w="848" w:type="dxa"/>
            <w:tcBorders>
              <w:top w:val="nil"/>
              <w:bottom w:val="nil"/>
            </w:tcBorders>
          </w:tcPr>
          <w:p w14:paraId="40CB259E" w14:textId="77777777"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{"citationItems":[{"id":"ITEM-1","itemData":{"author":[{"dropping-particle":"","family":"AME","given":"","non-dropping-particle":"","parse-names":false,"suffix":""}],"id":"ITEM-1","issued":{"date-parts":[["2019"]]},"publisher":"AME Group","publisher-place":"London, UK","title":"Cobalt Equivalent Method Cash Costs curve","type":"book"},"uris":["http://www.mendeley.com/documents/?uuid=487003ce-9004-4d16-b143-282f750edf56"]}],"mendeley":{"formattedCitation":"&lt;sup&gt;12&lt;/sup&gt;","plainTextFormattedCitation":"12","previouslyFormattedCitation":"&lt;sup&gt;12&lt;/sup&gt;"},"properties":{"noteIndex":0},"schema":"https://github.com/citation-style-language/schema/raw/master/csl-citation.json"}</w:instrText>
            </w:r>
            <w:r>
              <w:rPr>
                <w:sz w:val="20"/>
                <w:szCs w:val="20"/>
                <w:lang w:val="en-US"/>
              </w:rPr>
              <w:fldChar w:fldCharType="separate"/>
            </w:r>
            <w:r w:rsidRPr="00E23C2E">
              <w:rPr>
                <w:noProof/>
                <w:sz w:val="20"/>
                <w:szCs w:val="20"/>
                <w:vertAlign w:val="superscript"/>
                <w:lang w:val="en-US"/>
              </w:rPr>
              <w:t>12</w:t>
            </w:r>
            <w:r>
              <w:rPr>
                <w:sz w:val="20"/>
                <w:szCs w:val="20"/>
                <w:lang w:val="en-US"/>
              </w:rPr>
              <w:fldChar w:fldCharType="end"/>
            </w:r>
          </w:p>
        </w:tc>
      </w:tr>
      <w:tr w:rsidR="004E25ED" w14:paraId="4517D687"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Borders>
              <w:top w:val="nil"/>
              <w:bottom w:val="nil"/>
            </w:tcBorders>
          </w:tcPr>
          <w:p w14:paraId="7A92D69D" w14:textId="3D9C30D0" w:rsidR="004E25ED" w:rsidRDefault="004E25ED" w:rsidP="00E16ADE">
            <w:pPr>
              <w:rPr>
                <w:rFonts w:hAnsiTheme="minorHAnsi" w:cstheme="minorHAnsi"/>
                <w:b w:val="0"/>
                <w:bCs w:val="0"/>
                <w:sz w:val="20"/>
                <w:szCs w:val="20"/>
                <w:lang w:val="en-US"/>
              </w:rPr>
            </w:pPr>
            <w:r>
              <w:rPr>
                <w:rFonts w:hAnsiTheme="minorHAnsi" w:cstheme="minorHAnsi"/>
                <w:b w:val="0"/>
                <w:bCs w:val="0"/>
                <w:sz w:val="20"/>
                <w:szCs w:val="20"/>
                <w:lang w:val="en-US"/>
              </w:rPr>
              <w:t>Price averaging period</w:t>
            </w:r>
          </w:p>
        </w:tc>
        <w:tc>
          <w:tcPr>
            <w:tcW w:w="1121" w:type="dxa"/>
            <w:tcBorders>
              <w:top w:val="nil"/>
              <w:bottom w:val="nil"/>
            </w:tcBorders>
          </w:tcPr>
          <w:p w14:paraId="6E40416A" w14:textId="2F7E1619" w:rsidR="004E25ED" w:rsidRDefault="004E25ED"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0.1</w:t>
            </w:r>
          </w:p>
        </w:tc>
        <w:tc>
          <w:tcPr>
            <w:tcW w:w="1148" w:type="dxa"/>
            <w:tcBorders>
              <w:top w:val="nil"/>
              <w:bottom w:val="nil"/>
            </w:tcBorders>
          </w:tcPr>
          <w:p w14:paraId="321A6D6E" w14:textId="5F124CE8" w:rsidR="004E25ED" w:rsidRDefault="004E25ED"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0.4</w:t>
            </w:r>
          </w:p>
        </w:tc>
        <w:tc>
          <w:tcPr>
            <w:tcW w:w="1160" w:type="dxa"/>
            <w:tcBorders>
              <w:top w:val="nil"/>
              <w:bottom w:val="nil"/>
            </w:tcBorders>
          </w:tcPr>
          <w:p w14:paraId="3AE4DA6C" w14:textId="12335166" w:rsidR="004E25ED" w:rsidRDefault="004E25ED"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Year</w:t>
            </w:r>
          </w:p>
        </w:tc>
        <w:tc>
          <w:tcPr>
            <w:tcW w:w="2903" w:type="dxa"/>
            <w:tcBorders>
              <w:top w:val="nil"/>
              <w:bottom w:val="nil"/>
            </w:tcBorders>
          </w:tcPr>
          <w:p w14:paraId="789C2351" w14:textId="5FAF086C" w:rsidR="004E25ED" w:rsidRDefault="004E25ED"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Period over which forecasted price gets averaged</w:t>
            </w:r>
          </w:p>
        </w:tc>
        <w:tc>
          <w:tcPr>
            <w:tcW w:w="848" w:type="dxa"/>
            <w:tcBorders>
              <w:top w:val="nil"/>
              <w:bottom w:val="nil"/>
            </w:tcBorders>
          </w:tcPr>
          <w:p w14:paraId="1903E293" w14:textId="30DE4B92" w:rsidR="004E25ED" w:rsidRDefault="003D602A" w:rsidP="00E16A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w:t>
            </w:r>
          </w:p>
        </w:tc>
      </w:tr>
      <w:tr w:rsidR="004E25ED" w:rsidRPr="00E51D3A" w14:paraId="0C6E78F4" w14:textId="77777777" w:rsidTr="004E25ED">
        <w:tc>
          <w:tcPr>
            <w:cnfStyle w:val="001000000000" w:firstRow="0" w:lastRow="0" w:firstColumn="1" w:lastColumn="0" w:oddVBand="0" w:evenVBand="0" w:oddHBand="0" w:evenHBand="0" w:firstRowFirstColumn="0" w:firstRowLastColumn="0" w:lastRowFirstColumn="0" w:lastRowLastColumn="0"/>
            <w:tcW w:w="1892" w:type="dxa"/>
            <w:tcBorders>
              <w:top w:val="nil"/>
              <w:bottom w:val="single" w:sz="4" w:space="0" w:color="auto"/>
            </w:tcBorders>
          </w:tcPr>
          <w:p w14:paraId="227234BD" w14:textId="28694F92" w:rsidR="004E25ED" w:rsidRDefault="004E25ED" w:rsidP="004E25ED">
            <w:pPr>
              <w:rPr>
                <w:rFonts w:hAnsiTheme="minorHAnsi" w:cstheme="minorHAnsi"/>
                <w:b w:val="0"/>
                <w:bCs w:val="0"/>
                <w:sz w:val="20"/>
                <w:szCs w:val="20"/>
                <w:lang w:val="en-US"/>
              </w:rPr>
            </w:pPr>
            <w:r>
              <w:rPr>
                <w:rFonts w:hAnsiTheme="minorHAnsi" w:cstheme="minorHAnsi"/>
                <w:b w:val="0"/>
                <w:bCs w:val="0"/>
                <w:sz w:val="20"/>
                <w:szCs w:val="20"/>
                <w:lang w:val="en-US"/>
              </w:rPr>
              <w:t>Power for ore grades</w:t>
            </w:r>
          </w:p>
        </w:tc>
        <w:tc>
          <w:tcPr>
            <w:tcW w:w="1121" w:type="dxa"/>
            <w:tcBorders>
              <w:top w:val="nil"/>
              <w:bottom w:val="single" w:sz="4" w:space="0" w:color="auto"/>
            </w:tcBorders>
          </w:tcPr>
          <w:p w14:paraId="125E0689" w14:textId="5A4E6ACD"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0.38</w:t>
            </w:r>
          </w:p>
        </w:tc>
        <w:tc>
          <w:tcPr>
            <w:tcW w:w="1148" w:type="dxa"/>
            <w:tcBorders>
              <w:top w:val="nil"/>
              <w:bottom w:val="single" w:sz="4" w:space="0" w:color="auto"/>
            </w:tcBorders>
          </w:tcPr>
          <w:p w14:paraId="3C2D815F" w14:textId="66AAD35F"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0.42</w:t>
            </w:r>
          </w:p>
        </w:tc>
        <w:tc>
          <w:tcPr>
            <w:tcW w:w="1160" w:type="dxa"/>
            <w:tcBorders>
              <w:top w:val="nil"/>
              <w:bottom w:val="single" w:sz="4" w:space="0" w:color="auto"/>
            </w:tcBorders>
          </w:tcPr>
          <w:p w14:paraId="38C8FDEB" w14:textId="5D409932"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Dmnl</w:t>
            </w:r>
            <w:proofErr w:type="spellEnd"/>
          </w:p>
        </w:tc>
        <w:tc>
          <w:tcPr>
            <w:tcW w:w="2903" w:type="dxa"/>
            <w:tcBorders>
              <w:top w:val="nil"/>
              <w:bottom w:val="single" w:sz="4" w:space="0" w:color="auto"/>
            </w:tcBorders>
          </w:tcPr>
          <w:p w14:paraId="11C1E323" w14:textId="5673294E"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Ore grade is </w:t>
            </w:r>
            <w:r w:rsidR="00E51D3A">
              <w:rPr>
                <w:sz w:val="20"/>
                <w:szCs w:val="20"/>
                <w:lang w:val="en-US"/>
              </w:rPr>
              <w:t>ass</w:t>
            </w:r>
            <w:r>
              <w:rPr>
                <w:sz w:val="20"/>
                <w:szCs w:val="20"/>
                <w:lang w:val="en-US"/>
              </w:rPr>
              <w:t>umed to decline. This variable indicates how fast the decline is.</w:t>
            </w:r>
          </w:p>
        </w:tc>
        <w:tc>
          <w:tcPr>
            <w:tcW w:w="848" w:type="dxa"/>
            <w:tcBorders>
              <w:top w:val="nil"/>
              <w:bottom w:val="single" w:sz="4" w:space="0" w:color="auto"/>
            </w:tcBorders>
          </w:tcPr>
          <w:p w14:paraId="5633631F" w14:textId="359546AA" w:rsidR="004E25ED" w:rsidRDefault="004E25ED" w:rsidP="004E25ED">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fldChar w:fldCharType="begin" w:fldLock="1"/>
            </w:r>
            <w:r>
              <w:rPr>
                <w:sz w:val="20"/>
                <w:szCs w:val="20"/>
                <w:lang w:val="en-US"/>
              </w:rPr>
              <w:instrText>ADDIN CSL_CITATION {"citationItems":[{"id":"ITEM-1","itemData":{"DOI":"10.1016/j.resconrec.2017.07.002","ISSN":"18790658","abstract":"Concerns about the long-run availability of metals have led to speculation that resources that have traditionally been available may become increasingly scarce in the future. To investigate this possibility in the case of nickel, we have built upon the history of nickel flows into use for the period 1988 to the present to develop plausible scenarios for the potential future supply and demand of nickel for the planet, and the associated energy and water use. As in other work, these scenarios are not predictions, but rather stories of possible futures that have the purpose of providing perspective and contemplating policy options. We report herein on our results for nickel supply and demand under four scenarios. We find that calculated nickel demand increases by 140</w:instrText>
            </w:r>
            <w:r>
              <w:rPr>
                <w:sz w:val="20"/>
                <w:szCs w:val="20"/>
                <w:lang w:val="en-US"/>
              </w:rPr>
              <w:instrText>–</w:instrText>
            </w:r>
            <w:r>
              <w:rPr>
                <w:sz w:val="20"/>
                <w:szCs w:val="20"/>
                <w:lang w:val="en-US"/>
              </w:rPr>
              <w:instrText>175% by 2025 and 215</w:instrText>
            </w:r>
            <w:r>
              <w:rPr>
                <w:sz w:val="20"/>
                <w:szCs w:val="20"/>
                <w:lang w:val="en-US"/>
              </w:rPr>
              <w:instrText>–</w:instrText>
            </w:r>
            <w:r>
              <w:rPr>
                <w:sz w:val="20"/>
                <w:szCs w:val="20"/>
                <w:lang w:val="en-US"/>
              </w:rPr>
              <w:instrText>350% by 2050, depending on the scenario. The scenario with the highest prospective demand is termed Equitability World, a scenario of transition to a world of more equitable values and institutions. From the perspective of the results for the four scenarios, we conclude that nickel demands could be met until at least 2050 given known geological nickel resources. The energy and water required for nickel production are anticipated to increase to as much as 0.3% and 0.035% of projected 2050 overall global energy and water demands.","author":[{"dropping-particle":"","family":"Elshkaki","given":"Ayman","non-dropping-particle":"","parse-names":false,"suffix":""},{"dropping-particle":"","family":"Reck","given":"Barbara K.","non-dropping-particle":"","parse-names":false,"suffix":""},{"dropping-particle":"","family":"Graedel","given":"T. E.","non-dropping-particle":"","parse-names":false,"suffix":""}],"container-title":"Resources, Conservation and Recycling","id":"ITEM-1","issued":{"date-parts":[["2017"]]},"page":"300-307","publisher":"Elsevier B.V.","title":"Anthropogenic nickel supply, demand, and associated energy and water use","type":"article-journal","volume":"125"},"uris":["http://www.mendeley.com/documents/?uuid=228b75ba-04a3-308d-b681-28098f0e80b9"]},{"id":"ITEM-2","itemData":{"DOI":"10.1007/s41247-017-0017-0","ISBN":"0123456789","abstract":"The present business-as-usual cobalt use in society is not sustainable. Too much cobalt is lost if only market mechanisms are expected to improve recycling, and unnecessary cobalt is wasted if no policy actions are taken. Increased recycling and better conservation will be able to improve the supply situation, but this will need active policy participation beyond what market mechanisms can do alone. To conserve cobalt for coming generations, present policies must be changed within the next few decades. The sooner policies change, the better for future generations.","author":[{"dropping-particle":"","family":"Sverdrup","given":"Harald Ulrik","non-dropping-particle":"","parse-names":false,"suffix":""},{"dropping-particle":"","family":"Kristin","given":"</w:instrText>
            </w:r>
            <w:r>
              <w:rPr>
                <w:sz w:val="20"/>
                <w:szCs w:val="20"/>
                <w:lang w:val="en-US"/>
              </w:rPr>
              <w:instrText>·</w:instrText>
            </w:r>
            <w:r>
              <w:rPr>
                <w:sz w:val="20"/>
                <w:szCs w:val="20"/>
                <w:lang w:val="en-US"/>
              </w:rPr>
              <w:instrText>","non-dropping-particle":"","parse-names":false,"suffix":""},{"dropping-particle":"","family":"Ragnarsdottir","given":"Vala","non-dropping-particle":"","parse-names":false,"suffix":""},{"dropping-particle":"","family":"Deniz Koca","given":"</w:instrText>
            </w:r>
            <w:r>
              <w:rPr>
                <w:sz w:val="20"/>
                <w:szCs w:val="20"/>
                <w:lang w:val="en-US"/>
              </w:rPr>
              <w:instrText>·</w:instrText>
            </w:r>
            <w:r>
              <w:rPr>
                <w:sz w:val="20"/>
                <w:szCs w:val="20"/>
                <w:lang w:val="en-US"/>
              </w:rPr>
              <w:instrText>","non-dropping-particle":"","parse-names":false,"suffix":""}],"container-title":"BioPhysical Economics and Resource Quality","id":"ITEM-2","issue":"4","issued":{"date-parts":[["2017"]]},"title":"Integrated Modelling of the Global Cobalt Extraction, Supply, Price and Depletion of Extractable Resources Using the WORLD6 Model","type":"article-journal","volume":"2"},"uris":["http://www.mendeley.com/documents/?uuid=d93d1fd6-4048-32dc-be83-db2dbf8436ad"]},{"id":"ITEM-3","itemData":{"DOI":"10.1007/s41247-016-0012-x","ISSN":"2366-0112","abstract":"The study evaluated implications of different ore grades and mine-depth on the energy inputs to extract and process copper. Based on a 191 value dataset from 28 copper mining operations, seven model equations explaining operational energy costs were statistically evaluated. Energy costs for copper mines with leaching operations were not found to be significantly affected by ore grades nor mine-depth as all tested equations were rejected in the analysis. In case of mines with milling/ flotation operations, a significant relation was established (p \\ 0.000, R 2 = 0.63 for surface mines and R 2 = 0.84 for underground mines) which was found to be: energy cost is log-linearly dependent on depth plus the reciprocal of ore grade. On the basis of the equation, an ore grade of 0.5, 0.4 and 0.3% at 300 m of depth results in an energy cost of 60, 127 and 447 MJ/kg to obtain a 30%? copper concentrate from underground mines, and 52, 95 and 255 MJ/kg for surface mines, respectively. Energy costs are found to accelerate significantly below the 0.5% ore grade level, which can be interpreted as a biophysical barrier below which mining plus milling/flotation becomes increasingly challenging under current efficiency. In splitting out energy use into diesel and electricity, the study found both impacted by decreasing ore grades, but only electricity usage to be substantially influenced by mine-depth. Depth impacts were established as a 7% increase in electricity costs per 100 m and compounded by ore grades.","author":[{"dropping-particle":"","family":"Koppelaar","given":"R. H. E. M.","non-dropping-particle":"","parse-names":false,"suffix":""},{"dropping-particle":"","family":"Koppelaar","given":"H.","non-dropping-particle":"","parse-names":false,"suffix":""}],"container-title":"BioPhysical Economics and Resource Quality","id":"ITEM-3","issue":"2","issued":{"date-parts":[["2016","12"]]},"publisher":"Springer Science and Business Media LLC","title":"The Ore Grade and Depth Influence on Copper Energy Inputs","type":"article-journal","volume":"1"},"uris":["http://www.mendeley.com/documents/?uuid=04df41cf-b25e-37ad-a54f-67e0cbfe601e"]}],"mendeley":{"formattedCitation":"&lt;sup&gt;9,10,19&lt;/sup&gt;","plainTextFormattedCitation":"9,10,19","previouslyFormattedCitation":"&lt;sup&gt;9,19,20&lt;/sup&gt;"},"properties":{"noteIndex":0},"schema":"https://github.com/citation-style-language/schema/raw/master/csl-citation.json"}</w:instrText>
            </w:r>
            <w:r>
              <w:rPr>
                <w:sz w:val="20"/>
                <w:szCs w:val="20"/>
                <w:lang w:val="en-US"/>
              </w:rPr>
              <w:fldChar w:fldCharType="separate"/>
            </w:r>
            <w:r w:rsidRPr="004E25ED">
              <w:rPr>
                <w:noProof/>
                <w:sz w:val="20"/>
                <w:szCs w:val="20"/>
                <w:vertAlign w:val="superscript"/>
                <w:lang w:val="en-US"/>
              </w:rPr>
              <w:t>9,10,19</w:t>
            </w:r>
            <w:r>
              <w:rPr>
                <w:sz w:val="20"/>
                <w:szCs w:val="20"/>
                <w:lang w:val="en-US"/>
              </w:rPr>
              <w:fldChar w:fldCharType="end"/>
            </w:r>
          </w:p>
        </w:tc>
      </w:tr>
    </w:tbl>
    <w:p w14:paraId="2326D5B7" w14:textId="77777777" w:rsidR="000843DA" w:rsidRDefault="000843DA" w:rsidP="000843DA">
      <w:pPr>
        <w:rPr>
          <w:lang w:val="en-US"/>
        </w:rPr>
      </w:pPr>
    </w:p>
    <w:p w14:paraId="23E19E55" w14:textId="3B7DFC27" w:rsidR="000843DA" w:rsidRDefault="000843DA" w:rsidP="000843DA">
      <w:pPr>
        <w:rPr>
          <w:lang w:val="en-US"/>
        </w:rPr>
      </w:pPr>
      <w:r>
        <w:rPr>
          <w:lang w:val="en-US"/>
        </w:rPr>
        <w:br w:type="page"/>
      </w:r>
    </w:p>
    <w:p w14:paraId="6B3F3922" w14:textId="0E519102" w:rsidR="00B635B2" w:rsidRDefault="00B635B2" w:rsidP="000843DA">
      <w:pPr>
        <w:rPr>
          <w:lang w:val="en-US"/>
        </w:rPr>
      </w:pPr>
      <w:r>
        <w:rPr>
          <w:lang w:val="en-US"/>
        </w:rPr>
        <w:lastRenderedPageBreak/>
        <w:t>Table 2. Overview of experimental set-up, categorical variables.</w:t>
      </w:r>
    </w:p>
    <w:tbl>
      <w:tblPr>
        <w:tblStyle w:val="Onopgemaaktetabel2"/>
        <w:tblW w:w="0" w:type="auto"/>
        <w:tblLook w:val="04A0" w:firstRow="1" w:lastRow="0" w:firstColumn="1" w:lastColumn="0" w:noHBand="0" w:noVBand="1"/>
      </w:tblPr>
      <w:tblGrid>
        <w:gridCol w:w="1276"/>
        <w:gridCol w:w="2552"/>
        <w:gridCol w:w="567"/>
        <w:gridCol w:w="3827"/>
        <w:gridCol w:w="850"/>
      </w:tblGrid>
      <w:tr w:rsidR="000843DA" w:rsidRPr="00E51D3A" w14:paraId="67F0B725" w14:textId="77777777" w:rsidTr="00E1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tcPr>
          <w:p w14:paraId="2183D5FB" w14:textId="2F960CF1" w:rsidR="000843DA" w:rsidRPr="00B01743" w:rsidRDefault="000843DA" w:rsidP="00C50B5C">
            <w:pPr>
              <w:rPr>
                <w:lang w:val="en-US"/>
              </w:rPr>
            </w:pPr>
            <w:r>
              <w:rPr>
                <w:lang w:val="en-US"/>
              </w:rPr>
              <w:t>Categorical v</w:t>
            </w:r>
            <w:r w:rsidRPr="00B01743">
              <w:rPr>
                <w:lang w:val="en-US"/>
              </w:rPr>
              <w:t>ariable</w:t>
            </w:r>
          </w:p>
        </w:tc>
        <w:tc>
          <w:tcPr>
            <w:tcW w:w="2552" w:type="dxa"/>
            <w:tcBorders>
              <w:top w:val="single" w:sz="4" w:space="0" w:color="auto"/>
              <w:bottom w:val="single" w:sz="4" w:space="0" w:color="auto"/>
            </w:tcBorders>
          </w:tcPr>
          <w:p w14:paraId="59B4D360" w14:textId="77777777" w:rsidR="000843DA" w:rsidRPr="00B01743" w:rsidRDefault="000843DA" w:rsidP="00C50B5C">
            <w:pPr>
              <w:cnfStyle w:val="100000000000" w:firstRow="1" w:lastRow="0" w:firstColumn="0" w:lastColumn="0" w:oddVBand="0" w:evenVBand="0" w:oddHBand="0" w:evenHBand="0" w:firstRowFirstColumn="0" w:firstRowLastColumn="0" w:lastRowFirstColumn="0" w:lastRowLastColumn="0"/>
              <w:rPr>
                <w:lang w:val="en-US"/>
              </w:rPr>
            </w:pPr>
            <w:r>
              <w:rPr>
                <w:lang w:val="en-US"/>
              </w:rPr>
              <w:t>Categories</w:t>
            </w:r>
          </w:p>
        </w:tc>
        <w:tc>
          <w:tcPr>
            <w:tcW w:w="4394" w:type="dxa"/>
            <w:gridSpan w:val="2"/>
            <w:tcBorders>
              <w:top w:val="single" w:sz="4" w:space="0" w:color="auto"/>
              <w:bottom w:val="single" w:sz="4" w:space="0" w:color="auto"/>
            </w:tcBorders>
          </w:tcPr>
          <w:p w14:paraId="091DF7E0" w14:textId="77777777" w:rsidR="000843DA" w:rsidRPr="00B01743" w:rsidRDefault="000843DA" w:rsidP="00C50B5C">
            <w:pPr>
              <w:cnfStyle w:val="100000000000" w:firstRow="1" w:lastRow="0" w:firstColumn="0" w:lastColumn="0" w:oddVBand="0" w:evenVBand="0" w:oddHBand="0" w:evenHBand="0" w:firstRowFirstColumn="0" w:firstRowLastColumn="0" w:lastRowFirstColumn="0" w:lastRowLastColumn="0"/>
              <w:rPr>
                <w:lang w:val="en-US"/>
              </w:rPr>
            </w:pPr>
            <w:r w:rsidRPr="00B01743">
              <w:rPr>
                <w:lang w:val="en-US"/>
              </w:rPr>
              <w:t>Explanation</w:t>
            </w:r>
          </w:p>
        </w:tc>
        <w:tc>
          <w:tcPr>
            <w:tcW w:w="850" w:type="dxa"/>
            <w:tcBorders>
              <w:top w:val="single" w:sz="4" w:space="0" w:color="auto"/>
              <w:bottom w:val="single" w:sz="4" w:space="0" w:color="auto"/>
            </w:tcBorders>
          </w:tcPr>
          <w:p w14:paraId="5DBAF25D" w14:textId="77777777" w:rsidR="000843DA" w:rsidRPr="00B01743" w:rsidRDefault="000843DA" w:rsidP="00C50B5C">
            <w:pPr>
              <w:cnfStyle w:val="100000000000" w:firstRow="1" w:lastRow="0" w:firstColumn="0" w:lastColumn="0" w:oddVBand="0" w:evenVBand="0" w:oddHBand="0" w:evenHBand="0" w:firstRowFirstColumn="0" w:firstRowLastColumn="0" w:lastRowFirstColumn="0" w:lastRowLastColumn="0"/>
              <w:rPr>
                <w:lang w:val="en-US"/>
              </w:rPr>
            </w:pPr>
            <w:r w:rsidRPr="00B01743">
              <w:rPr>
                <w:lang w:val="en-US"/>
              </w:rPr>
              <w:t>Source</w:t>
            </w:r>
          </w:p>
        </w:tc>
      </w:tr>
      <w:tr w:rsidR="000843DA" w:rsidRPr="00E51D3A" w14:paraId="4F35DA21"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Pr>
          <w:p w14:paraId="18AEECB9" w14:textId="77777777" w:rsidR="000843DA" w:rsidRPr="002F6F92" w:rsidRDefault="000843DA" w:rsidP="00C50B5C">
            <w:pPr>
              <w:rPr>
                <w:b w:val="0"/>
                <w:bCs w:val="0"/>
                <w:sz w:val="20"/>
                <w:szCs w:val="20"/>
                <w:lang w:val="en-US"/>
              </w:rPr>
            </w:pPr>
            <w:r w:rsidRPr="002F6F92">
              <w:rPr>
                <w:b w:val="0"/>
                <w:bCs w:val="0"/>
                <w:sz w:val="20"/>
                <w:szCs w:val="20"/>
                <w:lang w:val="en-US"/>
              </w:rPr>
              <w:t>Paradigm</w:t>
            </w:r>
          </w:p>
        </w:tc>
        <w:tc>
          <w:tcPr>
            <w:tcW w:w="2552" w:type="dxa"/>
            <w:tcBorders>
              <w:top w:val="single" w:sz="4" w:space="0" w:color="auto"/>
              <w:bottom w:val="nil"/>
            </w:tcBorders>
          </w:tcPr>
          <w:p w14:paraId="09BC265D" w14:textId="77777777" w:rsidR="000843DA" w:rsidRPr="002F6F92" w:rsidRDefault="000843DA" w:rsidP="00C50B5C">
            <w:pPr>
              <w:cnfStyle w:val="000000100000" w:firstRow="0" w:lastRow="0" w:firstColumn="0" w:lastColumn="0" w:oddVBand="0" w:evenVBand="0" w:oddHBand="1" w:evenHBand="0" w:firstRowFirstColumn="0" w:firstRowLastColumn="0" w:lastRowFirstColumn="0" w:lastRowLastColumn="0"/>
              <w:rPr>
                <w:sz w:val="20"/>
                <w:szCs w:val="20"/>
                <w:lang w:val="en-US"/>
              </w:rPr>
            </w:pPr>
            <w:r w:rsidRPr="002F6F92">
              <w:rPr>
                <w:sz w:val="20"/>
                <w:szCs w:val="20"/>
                <w:lang w:val="en-US"/>
              </w:rPr>
              <w:t>Opportunity cost</w:t>
            </w:r>
          </w:p>
          <w:p w14:paraId="12187742" w14:textId="77777777" w:rsidR="000843DA" w:rsidRPr="002F6F92" w:rsidRDefault="000843DA" w:rsidP="00C50B5C">
            <w:pPr>
              <w:cnfStyle w:val="000000100000" w:firstRow="0" w:lastRow="0" w:firstColumn="0" w:lastColumn="0" w:oddVBand="0" w:evenVBand="0" w:oddHBand="1" w:evenHBand="0" w:firstRowFirstColumn="0" w:firstRowLastColumn="0" w:lastRowFirstColumn="0" w:lastRowLastColumn="0"/>
              <w:rPr>
                <w:sz w:val="20"/>
                <w:szCs w:val="20"/>
                <w:lang w:val="en-US"/>
              </w:rPr>
            </w:pPr>
            <w:r w:rsidRPr="002F6F92">
              <w:rPr>
                <w:sz w:val="20"/>
                <w:szCs w:val="20"/>
                <w:lang w:val="en-US"/>
              </w:rPr>
              <w:t>Fixed stock</w:t>
            </w:r>
          </w:p>
        </w:tc>
        <w:tc>
          <w:tcPr>
            <w:tcW w:w="4394" w:type="dxa"/>
            <w:gridSpan w:val="2"/>
            <w:tcBorders>
              <w:top w:val="single" w:sz="4" w:space="0" w:color="auto"/>
              <w:bottom w:val="nil"/>
            </w:tcBorders>
          </w:tcPr>
          <w:p w14:paraId="4FA3DEAA" w14:textId="2E3EC6DA" w:rsidR="000843DA" w:rsidRPr="002F6F92" w:rsidRDefault="000843DA" w:rsidP="00C50B5C">
            <w:pPr>
              <w:cnfStyle w:val="000000100000" w:firstRow="0" w:lastRow="0" w:firstColumn="0" w:lastColumn="0" w:oddVBand="0" w:evenVBand="0" w:oddHBand="1" w:evenHBand="0" w:firstRowFirstColumn="0" w:firstRowLastColumn="0" w:lastRowFirstColumn="0" w:lastRowLastColumn="0"/>
              <w:rPr>
                <w:sz w:val="20"/>
                <w:szCs w:val="20"/>
                <w:lang w:val="en-US"/>
              </w:rPr>
            </w:pPr>
            <w:r w:rsidRPr="002F6F92">
              <w:rPr>
                <w:sz w:val="20"/>
                <w:szCs w:val="20"/>
                <w:lang w:val="en-US"/>
              </w:rPr>
              <w:t>Two paradigms from literature with different</w:t>
            </w:r>
            <w:r w:rsidR="00852A85">
              <w:rPr>
                <w:sz w:val="20"/>
                <w:szCs w:val="20"/>
                <w:lang w:val="en-US"/>
              </w:rPr>
              <w:t xml:space="preserve"> ass</w:t>
            </w:r>
            <w:r w:rsidRPr="002F6F92">
              <w:rPr>
                <w:sz w:val="20"/>
                <w:szCs w:val="20"/>
                <w:lang w:val="en-US"/>
              </w:rPr>
              <w:t>umptions on physical and economic scarcity</w:t>
            </w:r>
          </w:p>
        </w:tc>
        <w:tc>
          <w:tcPr>
            <w:tcW w:w="850" w:type="dxa"/>
            <w:tcBorders>
              <w:top w:val="single" w:sz="4" w:space="0" w:color="auto"/>
              <w:bottom w:val="nil"/>
            </w:tcBorders>
          </w:tcPr>
          <w:p w14:paraId="5CA208BB" w14:textId="45E05A29" w:rsidR="000843DA" w:rsidRDefault="000843DA" w:rsidP="00C50B5C">
            <w:pP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fldLock="1"/>
            </w:r>
            <w:r w:rsidR="004E25ED">
              <w:rPr>
                <w:lang w:val="en-US"/>
              </w:rPr>
              <w:instrText xml:space="preserve">ADDIN CSL_CITATION {"citationItems":[{"id":"ITEM-1","itemData":{"ISBN":"1-891853-58-9","author":[{"dropping-particle":"","family":"Tilton","given":"J.E.","non-dropping-particle":"","parse-names":false,"suffix":""}],"id":"ITEM-1","issued":{"date-parts":[["2003"]]},"publisher":"Resources for the Future","publisher-place":"Washinton, USA","title":"On Borrowed Time? Assessing the Threat of Mineral Depletion","type":"book"},"uris":["http://www.mendeley.com/documents/?uuid=dd44c0b2-bf81-347e-8ab3-803f3293a48e"]},{"id":"ITEM-2","itemData":{"DOI":"10.1016/s0301-4207(96)00024-4","abstract":"Though sustainable development is a relatively recent addition to the public lexicon, concern that resource depletion may threaten the welfare of future generations dates back at least to Thomas Malthus and other classical economists writing nearly two centuries ago. Today the de- bate over this threat not only continues, but seems more polarized than ever. In one school are the concerned, often ecologists and other scientists and engineers, who contend the earth cannot for long continue to support current and anticipated levels of demand for oil and other ex- haustible resources. In the opposing school are the unconcerned, often economists, who claim with equal conviction that the earth with the help of market incentives, appropriate public poli- cies, and new technology can amply provide for society's needs for the indefinite future. That in- telligent and informed individuals remain so divided on such an important issue for the future of humanity after years of debate is surprising. The explanation, at least in part, appears to lie with the very different paradigms adopted by the two different groups coupled with quite con- trasting views on the beneficence of technology, public policy and the marketplace. The two competing paradigms lead to quite different outlooks on the human condition and in turn on recommendations for public policy. Copyright","author":[{"dropping-particle":"","family":"Tilton","given":"John E.","non-dropping-particle":"","parse-names":false,"suffix":""}],"container-title":"Resources Policy","id":"ITEM-2","issue":"1/2","issued":{"date-parts":[["1996"]]},"page":"91-97","title":"Exhaustible resources and sustainable development","type":"article-journal","volume":"22"},"uris":["http://www.mendeley.com/documents/?uuid=36aa3f6b-7e81-3489-978d-7f8a1f735aed"]},{"id":"ITEM-3","itemData":{"DOI":"10.1016/j.gloenvcha.2011.08.009","abstract":"Today's global society is economically, socially and culturally dependent on minerals and metals. While metals are recyclable, terrestrial mineral deposits are by definition 'non-renewable' over human timescales and their stocks are thus finite. This raises the spectre of 'peak minerals' - the time at which production from terrestrial ores can no longer rise to meet demand and where a maximum (peak) production occurs. Peak minerals prompts a focus on the way minerals can be sustainably used in the future to ensure the services they provide to global society can be maintained. As peak minerals approaches (and is passed in some cases), understanding and monitoring the dynamics of primary mineral production, recycling and dematerialisation, in the context of national and global discussions about mineral resources demand and the money earned from their sale, will become essential for informing and establishing mechanisms for sustainable mineral governance and use efficiency into the future. Taking a cross-scale approach, this paper explores the economic and productivity impacts of peak minerals, and how changes in the mineral production profile are influenced not only by technological and scarcity factors, but also by environmental and social constraints. Specifically we examine the impacts of peak minerals in Australia, a major global minerals supplier, and the consequences for the Asia-Pacific region, a major destination for Australia's minerals. This research has profound implications for local and regional/global sustainability of mineral and metal use. The focus on services is useful for encouraging discussion of transitions in how such services can be provided in a future more sustainable economy, when mineral availability is constrained. The research also begins to address the question of how we approach the development of strategies to maximise returns from mineral wealth over generations. </w:instrText>
            </w:r>
            <w:r w:rsidR="004E25ED">
              <w:rPr>
                <w:lang w:val="en-US"/>
              </w:rPr>
              <w:instrText>©</w:instrText>
            </w:r>
            <w:r w:rsidR="004E25ED">
              <w:rPr>
                <w:lang w:val="en-US"/>
              </w:rPr>
              <w:instrText xml:space="preserve"> 2011 Elsevier Ltd.","author":[{"dropping-particle":"","family":"Prior","given":"T.","non-dropping-particle":"","parse-names":false,"suffix":""},{"dropping-particle":"","family":"Giurco","given":"D.","non-dropping-particle":"","parse-names":false,"suffix":""},{"dropping-particle":"","family":"Mudd","given":"G.","non-dropping-particle":"","parse-names":false,"suffix":""},{"dropping-particle":"","family":"Mason","given":"L.","non-dropping-particle":"","parse-names":false,"suffix":""},{"dropping-particle":"","family":"Behrisch","given":"J.","non-dropping-particle":"","parse-names":false,"suffix":""}],"container-title":"Global Environmental Change","id":"ITEM-3","issued":{"date-parts":[["2012"]]},"page":"577-587","title":"Resource depletion, peak minerals and the implications for sustainable resource management","type":"article-journal","volume":"22"},"uris":["http://www.mendeley.com/documents/?uuid=ef29b40a-ff56-33ac-b024-7e0efc405bcc"]}],"mendeley":{"formattedCitation":"&lt;sup&gt;20</w:instrText>
            </w:r>
            <w:r w:rsidR="004E25ED">
              <w:rPr>
                <w:lang w:val="en-US"/>
              </w:rPr>
              <w:instrText>–</w:instrText>
            </w:r>
            <w:r w:rsidR="004E25ED">
              <w:rPr>
                <w:lang w:val="en-US"/>
              </w:rPr>
              <w:instrText>22&lt;/sup&gt;","plainTextFormattedCitation":"20</w:instrText>
            </w:r>
            <w:r w:rsidR="004E25ED">
              <w:rPr>
                <w:lang w:val="en-US"/>
              </w:rPr>
              <w:instrText>–</w:instrText>
            </w:r>
            <w:r w:rsidR="004E25ED">
              <w:rPr>
                <w:lang w:val="en-US"/>
              </w:rPr>
              <w:instrText>22","previouslyFormattedCitation":"&lt;sup&gt;21</w:instrText>
            </w:r>
            <w:r w:rsidR="004E25ED">
              <w:rPr>
                <w:lang w:val="en-US"/>
              </w:rPr>
              <w:instrText>–</w:instrText>
            </w:r>
            <w:r w:rsidR="004E25ED">
              <w:rPr>
                <w:lang w:val="en-US"/>
              </w:rPr>
              <w:instrText>23&lt;/sup&gt;"},"properties":{"noteIndex":0},"schema":"https://github.com/citation-style-language/schema/raw/master/csl-citation.json"}</w:instrText>
            </w:r>
            <w:r>
              <w:rPr>
                <w:lang w:val="en-US"/>
              </w:rPr>
              <w:fldChar w:fldCharType="separate"/>
            </w:r>
            <w:r w:rsidR="004E25ED" w:rsidRPr="004E25ED">
              <w:rPr>
                <w:noProof/>
                <w:vertAlign w:val="superscript"/>
                <w:lang w:val="en-US"/>
              </w:rPr>
              <w:t>20</w:t>
            </w:r>
            <w:r w:rsidR="004E25ED" w:rsidRPr="004E25ED">
              <w:rPr>
                <w:noProof/>
                <w:vertAlign w:val="superscript"/>
                <w:lang w:val="en-US"/>
              </w:rPr>
              <w:t>–</w:t>
            </w:r>
            <w:r w:rsidR="004E25ED" w:rsidRPr="004E25ED">
              <w:rPr>
                <w:noProof/>
                <w:vertAlign w:val="superscript"/>
                <w:lang w:val="en-US"/>
              </w:rPr>
              <w:t>22</w:t>
            </w:r>
            <w:r>
              <w:rPr>
                <w:lang w:val="en-US"/>
              </w:rPr>
              <w:fldChar w:fldCharType="end"/>
            </w:r>
          </w:p>
        </w:tc>
      </w:tr>
      <w:tr w:rsidR="000843DA" w:rsidRPr="00E51D3A" w14:paraId="7A64B2FB" w14:textId="77777777" w:rsidTr="00E16ADE">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tcPr>
          <w:p w14:paraId="429C67E7" w14:textId="77777777" w:rsidR="000843DA" w:rsidRPr="002F6F92" w:rsidRDefault="000843DA" w:rsidP="00C50B5C">
            <w:pPr>
              <w:rPr>
                <w:b w:val="0"/>
                <w:bCs w:val="0"/>
                <w:sz w:val="20"/>
                <w:szCs w:val="20"/>
                <w:lang w:val="en-US"/>
              </w:rPr>
            </w:pPr>
            <w:r w:rsidRPr="002F6F92">
              <w:rPr>
                <w:b w:val="0"/>
                <w:bCs w:val="0"/>
                <w:sz w:val="20"/>
                <w:szCs w:val="20"/>
                <w:lang w:val="en-US"/>
              </w:rPr>
              <w:t>SSP</w:t>
            </w:r>
          </w:p>
        </w:tc>
        <w:tc>
          <w:tcPr>
            <w:tcW w:w="2552" w:type="dxa"/>
            <w:tcBorders>
              <w:top w:val="single" w:sz="4" w:space="0" w:color="auto"/>
              <w:bottom w:val="single" w:sz="4" w:space="0" w:color="auto"/>
            </w:tcBorders>
          </w:tcPr>
          <w:p w14:paraId="054AD952"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sz w:val="20"/>
                <w:szCs w:val="20"/>
                <w:lang w:val="en-US"/>
              </w:rPr>
            </w:pPr>
            <w:r w:rsidRPr="002F6F92">
              <w:rPr>
                <w:sz w:val="20"/>
                <w:szCs w:val="20"/>
                <w:lang w:val="en-US"/>
              </w:rPr>
              <w:t>1, 2, 3, 4, 5</w:t>
            </w:r>
          </w:p>
        </w:tc>
        <w:tc>
          <w:tcPr>
            <w:tcW w:w="4394" w:type="dxa"/>
            <w:gridSpan w:val="2"/>
            <w:tcBorders>
              <w:top w:val="single" w:sz="4" w:space="0" w:color="auto"/>
              <w:bottom w:val="single" w:sz="4" w:space="0" w:color="auto"/>
            </w:tcBorders>
          </w:tcPr>
          <w:p w14:paraId="04F12ADA" w14:textId="2DE8E470"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rFonts w:hAnsiTheme="minorHAnsi" w:cstheme="minorHAnsi"/>
                <w:sz w:val="20"/>
                <w:szCs w:val="20"/>
                <w:lang w:val="en-US"/>
              </w:rPr>
            </w:pPr>
            <w:r w:rsidRPr="002F6F92">
              <w:rPr>
                <w:rFonts w:hAnsiTheme="minorHAnsi" w:cstheme="minorHAnsi"/>
                <w:sz w:val="20"/>
                <w:szCs w:val="20"/>
                <w:lang w:val="en-US"/>
              </w:rPr>
              <w:t>Shared Socio-Economic Pathways (SSPs) for exploration of future interactions between societal development and climate change mitigation and adaptation The SSPs cover a wide uncertainty range concerning economic and demographic projections</w:t>
            </w:r>
            <w:r w:rsidR="00E16ADE">
              <w:rPr>
                <w:rFonts w:hAnsiTheme="minorHAnsi" w:cstheme="minorHAnsi"/>
                <w:sz w:val="20"/>
                <w:szCs w:val="20"/>
                <w:lang w:val="en-US"/>
              </w:rPr>
              <w:t>, see figures 1a and 1b.</w:t>
            </w:r>
          </w:p>
        </w:tc>
        <w:tc>
          <w:tcPr>
            <w:tcW w:w="850" w:type="dxa"/>
            <w:tcBorders>
              <w:top w:val="single" w:sz="4" w:space="0" w:color="auto"/>
              <w:bottom w:val="single" w:sz="4" w:space="0" w:color="auto"/>
            </w:tcBorders>
          </w:tcPr>
          <w:p w14:paraId="3305A3AB" w14:textId="2CC1A803" w:rsidR="000843DA" w:rsidRDefault="000843DA" w:rsidP="00C50B5C">
            <w:pPr>
              <w:cnfStyle w:val="000000000000" w:firstRow="0" w:lastRow="0" w:firstColumn="0" w:lastColumn="0" w:oddVBand="0" w:evenVBand="0" w:oddHBand="0" w:evenHBand="0" w:firstRowFirstColumn="0" w:firstRowLastColumn="0" w:lastRowFirstColumn="0" w:lastRowLastColumn="0"/>
              <w:rPr>
                <w:lang w:val="en-US"/>
              </w:rPr>
            </w:pPr>
            <w:r>
              <w:rPr>
                <w:rFonts w:hAnsiTheme="minorHAnsi" w:cstheme="minorHAnsi"/>
                <w:lang w:val="en-US"/>
              </w:rPr>
              <w:fldChar w:fldCharType="begin" w:fldLock="1"/>
            </w:r>
            <w:r w:rsidR="004E25ED">
              <w:rPr>
                <w:rFonts w:hAnsiTheme="minorHAnsi" w:cstheme="minorHAnsi"/>
                <w:lang w:val="en-US"/>
              </w:rPr>
              <w:instrText>ADDIN CSL_CITATION {"citationItems":[{"id":"ITEM-1","itemData":{"DOI":"10.1016/j.gloenvcha.2016.05.008","ISSN":"09593780","abstract":"This paper describes the possible developments in global energy use and production, land use, emissions and climate changes following the SSP1 storyline, a development consistent with the green growth (or sustainable development) paradigm (a more inclusive development respecting environmental boundaries). The results are based on the implementation using the IMAGE 3.0 integrated assessment model and are compared with a) other IMAGE implementations of the SSPs (SSP2 and SSP3) and b) the SSP1 implementation of other integrated assessment models. The results show that a combination of resource efficiency, preferences for sustainable production methods and investment in human development could lead to a strong transition towards a more renewable energy supply, less land use and lower anthropogenic greenhouse gas emissions in 2100 than in 2010, even in the absence of explicit climate policies. At the same time, climate policy would still be needed to reduce emissions further, in order to reduce the projected increase of global mean temperature from 3 °C (SSP1 reference scenario) to 2 or 1.5 °C (in line with current policy targets). The SSP1 storyline could be a basis for further discussions on how climate policy can be combined with achieving other societal goals.","author":[{"dropping-particle":"","family":"Vuuren","given":"Detlef P.","non-dropping-particle":"van","parse-names":false,"suffix":""},{"dropping-particle":"","family":"Stehfest","given":"Elke","non-dropping-particle":"","parse-names":false,"suffix":""},{"dropping-particle":"","family":"Gernaat","given":"David E.H.J.","non-dropping-particle":"","parse-names":false,"suffix":""},{"dropping-particle":"","family":"Doelman","given":"Jonathan C.","non-dropping-particle":"","parse-names":false,"suffix":""},{"dropping-particle":"","family":"Berg","given":"Maarten","non-dropping-particle":"van den","parse-names":false,"suffix":""},{"dropping-particle":"","family":"Harmsen","given":"Mathijs","non-dropping-particle":"","parse-names":false,"suffix":""},{"dropping-particle":"","family":"Boer","given":"Harmen Sytze","non-dropping-particle":"de","parse-names":false,"suffix":""},{"dropping-particle":"","family":"Bouwman","given":"Lex F.","non-dropping-particle":"","parse-names":false,"suffix":""},{"dropping-particle":"","family":"Daioglou","given":"Vassilis","non-dropping-particle":"","parse-names":false,"suffix":""},{"dropping-particle":"","family":"Edelenbosch","given":"Oreane Y.","non-dropping-particle":"","parse-names":false,"suffix":""},{"dropping-particle":"","family":"Girod","given":"Bastien","non-dropping-particle":"","parse-names":false,"suffix":""},{"dropping-particle":"","family":"Kram","given":"Tom","non-dropping-particle":"","parse-names":false,"suffix":""},{"dropping-particle":"","family":"Lassaletta","given":"Luis","non-dropping-particle":"","parse-names":false,"suffix":""},{"dropping-particle":"","family":"Lucas","given":"Paul L.","non-dropping-particle":"","parse-names":false,"suffix":""},{"dropping-particle":"","family":"Meijl","given":"Hans","non-dropping-particle":"van","parse-names":false,"suffix":""},{"dropping-particle":"","family":"Müller","given":"Christoph","non-dropping-particle":"","parse-names":false,"suffix":""},{"dropping-particle":"","family":"Ruijven","given":"Bas J.","non-dropping-particle":"van","parse-names":false,"suffix":""},{"dropping-particle":"","family":"Sluis","given":"Sietske","non-dropping-particle":"van der","parse-names":false,"suffix":""},{"dropping-particle":"","family":"Tabeau","given":"Andrzej","non-dropping-particle":"","parse-names":false,"suffix":""}],"container-title":"Global Environmental Change","id":"ITEM-1","issued":{"date-parts":[["2017","1","1"]]},"page":"237-250","publisher":"Elsevier Ltd","title":"Energy, land-use and greenhouse gas emissions trajectories under a green growth paradigm","type":"article-journal","volume":"42"},"uris":["http://www.mendeley.com/documents/?uuid=149460c1-53ad-3403-af86-61fdb28f877b"]},{"id":"ITEM-2","itemData":{"DOI":"10.1016/j.gloenvcha.2016.06.004","ISSN":"09593780","abstract":"Studies of global environmental change make extensive use of scenarios to explore how the future can evolve under a consistent set of assumptions. The recently developed Shared Socioeconomic Pathways (SSPs) create a framework for the study of climate-related scenario outcomes. Their five narratives span a wide range of worlds that vary in their challenges for climate change mitigation and adaptation. Here we provide background on the quantification that has been selected to serve as the reference, or ‘marker’, implementation for SSP2. The SSP2 narrative describes a middle-of-the-road development in the mitigation and adaptation challenges space. We explain how the narrative has been translated into quantitative assumptions in the IIASA Integrated Assessment Modelling Framework. We show that our SSP2 marker implementation occupies a central position for key metrics along the mitigation and adaptation challenge dimensions. For many dimensions the SSP2 marker implementation also reflects an extension of the historical experience, particularly in terms of carbon and energy intensity improvements in its baseline. This leads to a steady emissions increase over the 21st century, with projected end-of-century warming nearing 4 °C relative to preindustrial levels. On the other hand, SSP2 also shows that global-mean temperature increase can be limited to below 2 °C, pending stringent climate policies throughout the world. The added value of the SSP2 marker implementation for the wider scientific community is that it can serve as a starting point to further explore integrated solutions for achieving multiple societal objectives in light of the climate adaptation and mitigation challenges that society could face over the 21st century.","author":[{"dropping-particle":"","family":"Fricko","given":"Oliver","non-dropping-particle":"","parse-names":false,"suffix":""},{"dropping-particle":"","family":"Havlik","given":"Petr","non-dropping-particle":"","parse-names":false,"suffix":""},{"dropping-particle":"","family":"Rogelj","given":"Joeri","non-dropping-particle":"","parse-names":false,"suffix":""},{"dropping-particle":"","family":"Klimont","given":"Zbigniew","non-dropping-particle":"","parse-names":false,"suffix":""},{"dropping-particle":"","family":"Gusti","given":"Mykola","non-dropping-particle":"","parse-names":false,"suffix":""},{"dropping-particle":"","family":"Johnson","given":"Nils","non-dropping-particle":"","parse-names":false,"suffix":""},{"dropping-particle":"","family":"Kolp","given":"Peter","non-dropping-particle":"","parse-names":false,"suffix":""},{"dropping-particle":"","family":"Strubegger","given":"Manfred","non-dropping-particle":"","parse-names":false,"suffix":""},{"dropping-particle":"","family":"Valin","given":"Hugo","non-dropping-particle":"","parse-names":false,"suffix":""},{"dropping-particle":"","family":"Amann","given":"Markus","non-dropping-particle":"","parse-names":false,"suffix":""},{"dropping-particle":"","family":"Ermolieva","given":"Tatiana","non-dropping-particle":"","parse-names":false,"suffix":""},{"dropping-particle":"","family":"Forsell","given":"Nicklas","non-dropping-particle":"","parse-names":false,"suffix":""},{"dropping-particle":"","family":"Herrero","given":"Mario","non-dropping-particle":"","parse-names":false,"suffix":""},{"dropping-particle":"","family":"Heyes","given":"Chris","non-dropping-particle":"","parse-names":false,"suffix":""},{"dropping-particle":"","family":"Kindermann","given":"Georg","non-dropping-particle":"","parse-names":false,"suffix":""},{"dropping-particle":"","family":"Krey","given":"Volker","non-dropping-particle":"","parse-names":false,"suffix":""},{"dropping-particle":"","family":"McCollum","given":"David L.","non-dropping-particle":"","parse-names":false,"suffix":""},{"dropping-particle":"","family":"Obersteiner","given":"Michael","non-dropping-particle":"","parse-names":false,"suffix":""},{"dropping-particle":"","family":"Pachauri","given":"Shonali","non-dropping-particle":"","parse-names":false,"suffix":""},{"dropping-particle":"","family":"Rao","given":"Shilpa","non-dropping-particle":"","parse-names":false,"suffix":""},{"dropping-particle":"","family":"Schmid","given":"Erwin","non-dropping-particle":"","parse-names":false,"suffix":""},{"dropping-particle":"","family":"Schoepp","given":"Wolfgang","non-dropping-particle":"","parse-names":false,"suffix":""},{"dropping-particle":"","family":"Riahi","given":"Keywan","non-dropping-particle":"","parse-names":false,"suffix":""}],"container-title":"Global Environmental Change","id":"ITEM-2","issued":{"date-parts":[["2017","1","1"]]},"page":"251-267","publisher":"Elsevier Ltd","title":"The marker quantification of the Shared Socioeconomic Pathway 2: A middle-of-the-road scenario for the 21st century","type":"article-journal","volume":"42"},"uris":["http://www.mendeley.com/documents/?uuid=a77a3ef1-34c4-38b0-b049-da696ed3d30e"]},{"id":"ITEM-3","itemData":{"DOI":"10.1016/j.gloenvcha.2016.06.009","ISSN":"09593780","abstract":"This study quantifies the Shared Socioeconomic Pathways (SSPs) using AIM/CGE (Asia-Pacific Integrated Assessment/Computable General Equilibrium). SSP3 (regional rivalry) forms the main focus of the study, which is supposed to face high challenges both in mitigation and adaptation. The AIM model has been selected as the model to quantify the SSP3 marker scenario, a representative case illustrating a particular narrative. Multiple parameter assumptions in AIM/CGE were differentiated across the SSPs for quantification. We confirm that SSP3 quantitative scenarios outcomes are consistent with its narrative. Moreover, four key features of SSP3 are observed. First, as SSP3 was originally designed to contain a high level of challenges to mitigation, mitigation costs in SSP3 were relatively high. This results from the combination of high greenhouse gas emissions in the baseline (no climate mitigation policy) scenario and low mitigative capacity. Second, the climate forcing level in 2100 for the baseline scenarios of SSP3 was similar to that of SSP2, whereas CO2 emissions in SSP3 are higher than those in SSP2. This is mainly due to high aerosol emissions in SSP3. A third feature was the high air pollutant emissions associated with weak implementation of air quality legislation and a high level of coal dependency. Fourth, forest area steadily decreases with a large expansion of cropland and pasture land. These characteristics indicate at least four potential uses for SSP3. First, SSP3 is useful for both IAM and impact, adaptation, vulnerability (IAV) analyses to present the worst-case scenario. Second, by comparing SSP2 and SSP3, IAV analyses can clarify the influences of socioeconomic elements under similar climatic conditions. Third, the high air pollutant emissions would be of interest to atmospheric chemistry climate modelers. Finally, in addition to climate change studies, many other environmental studies could benefit from the meaningful insights available from the large-scale land use change resulting in SSP3.","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dropping-particle":"","family":"Herran","given":"Diego Silva","non-dropping-particle":"","parse-names":false,"suffix":""},{"dropping-particle":"","family":"Dai","given":"Hancheng","non-dropping-particle":"","parse-names":false,"suffix":""},{"dropping-particle":"","family":"Hijioka","given":"Yasuaki","non-dropping-particle":"","parse-names":false,"suffix":""},{"dropping-particle":"","family":"Kainuma","given":"Mikiko","non-dropping-particle":"","parse-names":false,"suffix":""}],"container-title":"Global Environmental Change","id":"ITEM-3","issued":{"date-parts":[["2017","1","1"]]},"page":"268-283","publisher":"Elsevier Ltd","title":"SSP3: AIM implementation of Shared Socioeconomic Pathways","type":"article-journal","volume":"42"},"uris":["http://www.mendeley.com/documents/?uuid=1381c686-53f6-37e8-a455-5968f4a59c09"]},{"id":"ITEM-4","itemData":{"DOI":"10.1016/j.gloenvcha.2016.06.010","ISSN":"09593780","abstract":"Five new scenarios, or Shared Socioeconomic Pathways (SSPs), have been developed, spanning a range of challenges to mitigation and challenges to adaptation. The Shared Socioeconomic Pathway 4 (SSP4), “Inequality” or “A Road Divided,” is one of these scenarios, characterized by low challenges to mitigation and high challenges to adaptation. We describe, in quantitative terms, the SSP4 as implemented by the Global Change Assessment Model (GCAM), the marker model for this scenario. We use demographic and economic assumptions, in combination with technology and non-climate policy assumptions to develop a quantitative representation of energy, land-use and land-cover, and emissions consistent with the SSP4 narrative. The scenario is one with stark differences within and across regions. High-income regions prosper, continuing to increase their demand for energy and food. Electrification increases in these regions, with the increased generation being met by nuclear and renewables. Low-income regions, however, stagnate due to limited economic growth. Growth in total consumption is dominated by increases in population, not increases in per capita consumption. Due to failures in energy access policies, these regions continue to depend on traditional biofuels, leading to high pollutant emissions. Declining dependence on fossil fuels in all regions means that total radiative forcing absent the inclusion of mitigation or impacts only reaches 6.4 W m −2 in 2100, making this a world with relatively low challenges to mitigation. We explore the effects of mitigation effort on the SSP4 world, finding that the imposition of a carbon price has a varied effect across regions. In particular, the SSP4 mitigation scenarios are characterized by afforestation in the high-income regions and deforestation in the low-income regions. Furthermore, we find that the SSP4 is a world with low challenges to mitigation, but only to a point due to incomplete mitigation of land-related emissions.","author":[{"dropping-particle":"","family":"Calvin","given":"Katherine","non-dropping-particle":"","parse-names":false,"suffix":""},{"dropping-particle":"","family":"Bond-Lamberty","given":"Ben","non-dropping-particle":"","parse-names":false,"suffix":""},{"dropping-particle":"","family":"Clarke","given":"Leon","non-dropping-particle":"","parse-names":false,"suffix":""},{"dropping-particle":"","family":"Edmonds","given":"James","non-dropping-particle":"","parse-names":false,"suffix":""},{"dropping-particle":"","family":"Eom","given":"Jiyong","non-dropping-particle":"","parse-names":false,"suffix":""},{"dropping-particle":"","family":"Hartin","given":"Corinne","non-dropping-particle":"","parse-names":false,"suffix":""},{"dropping-particle":"","family":"Kim","given":"Sonny","non-dropping-particle":"","parse-names":false,"suffix":""},{"dropping-particle":"","family":"Kyle","given":"Page","non-dropping-particle":"","parse-names":false,"suffix":""},{"dropping-particle":"","family":"Link","given":"Robert","non-dropping-particle":"","parse-names":false,"suffix":""},{"dropping-particle":"","family":"Moss","given":"Richard","non-dropping-particle":"","parse-names":false,"suffix":""},{"dropping-particle":"","family":"McJeon","given":"Haewon","non-dropping-particle":"","parse-names":false,"suffix":""},{"dropping-particle":"","family":"Patel","given":"Pralit","non-dropping-particle":"","parse-names":false,"suffix":""},{"dropping-particle":"","family":"Smith","given":"Steve","non-dropping-particle":"","parse-names":false,"suffix":""},{"dropping-particle":"","family":"Waldhoff","given":"Stephanie","non-dropping-particle":"","parse-names":false,"suffix":""},{"dropping-particle":"","family":"Wise","given":"Marshall","non-dropping-particle":"","parse-names":false,"suffix":""}],"container-title":"Global Environmental Change","id":"ITEM-4","issued":{"date-parts":[["2017","1","1"]]},"page":"284-296","publisher":"Elsevier Ltd","title":"The SSP4: A world of deepening inequality","type":"article-journal","volume":"42"},"uris":["http://www.mendeley.com/documents/?uuid=b0c12c5d-180f-38b2-867c-848d4b8672a6"]},{"id":"ITEM-5","itemData":{"DOI":"10.1016/j.gloenvcha.2016.05.015","ISSN":"09593780","abstract":"This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Change","id":"ITEM-5","issued":{"date-parts":[["2017","1","1"]]},"page":"297-315","publisher":"Elsevier Ltd","title":"Fossil-fueled development (SSP5): An energy and resource intensive scenario for the 21st century","type":"article-journal","volume":"42"},"uris":["http://www.mendeley.com/documents/?uuid=76bbdb21-6b9d-3d37-a1d0-365dd6766c19"]},{"id":"ITEM-6","itemData":{"DOI":"10.1016/j.gloenvcha.2016.05.009","ISSN":"09593780","abstract":"This paper presents the overview of the Shared Socioeconomic Pathways (SSPs) and their energy, land use, and emissions implications. The SSPs are part of a new scenario framework, established by the climate change research community in order to facilitate the integrated analysis of future climate impacts, vulnerabilities, adaptation, and mitigation. The pathways were developed over the last years as a joint community effort and describe plausible major global developments that together would lead in the future to different challenges for mitigation and adaptation to climate change. The SSPs are based on five narratives describing alternative socio-economic developments, including sustainable development, regional rivalry, inequality, fossil-fueled development, and middle-of-the-road development. The long-term demographic and economic projections of the SSPs depict a wide uncertainty range consistent with the scenario literature. A multi-model approach was used for the elaboration of the energy, land-use and the emissions trajectories of SSP-based scenarios. The baseline scenarios lead to global energy consumption of 400–1200 EJ in 2100, and feature vastly different land-use dynamics, ranging from a possible reduction in cropland area up to a massive expansion by more than 700 million hectares by 2100. The associated annual CO2 emissions of the baseline scenarios range from about 25 GtCO2 to more than 120 GtCO2 per year by 2100. With respect to mitigation, we find that associated costs strongly depend on three factors: (1) the policy assumptions, (2) the socio-economic narrative, and (3) the stringency of the target. The carbon price for reaching the target of 2.6 W/m2 that is consistent with a temperature change limit of 2 °C, differs in our analysis thus by about a factor of three across the SSP marker scenarios. Moreover, many models could not reach this target from the SSPs with high mitigation challenges. While the SSPs were designed to represent different mitigation and adaptation challenges, the resulting narratives and quantifications span a wide range of different futures broadly representative of the current literature. This allows their subsequent use and development in new assessments and research projects. Critical next steps for the community scenario process will, among others, involve regional and sectoral extensions, further elaboration of the adaptation and impacts dimension, as well as employing the SSP scenarios with the new generatio…","author":[{"dropping-particle":"","family":"Riahi","given":"Keywan","non-dropping-particle":"","parse-names":false,"suffix":""},{"dropping-particle":"","family":"Vuuren","given":"Detlef P.","non-dropping-particle":"van","parse-names":false,"suffix":""},{"dropping-particle":"","family":"Kriegler","given":"Elmar","non-dropping-particle":"","parse-names":false,"suffix":""},{"dropping-particle":"","family":"Edmonds","given":"Jae","non-dropping-particle":"","parse-names":false,"suffix":""},{"dropping-particle":"","family":"O'Neill","given":"Brian C.","non-dropping-particle":"","parse-names":false,"suffix":""},{"dropping-particle":"","family":"Fujimori","given":"Shinichiro","non-dropping-particle":"","parse-names":false,"suffix":""},{"dropping-particle":"","family":"Bauer","given":"Nico","non-dropping-particle":"","parse-names":false,"suffix":""},{"dropping-particle":"","family":"Calvin","given":"Katherine","non-dropping-particle":"","parse-names":false,"suffix":""},{"dropping-particle":"","family":"Dellink","given":"Rob","non-dropping-particle":"","parse-names":false,"suffix":""},{"dropping-particle":"","family":"Fricko","given":"Oliver","non-dropping-particle":"","parse-names":false,"suffix":""},{"dropping-particle":"","family":"Lutz","given":"Wolfgang","non-dropping-particle":"","parse-names":false,"suffix":""},{"dropping-particle":"","family":"Popp","given":"Alexander","non-dropping-particle":"","parse-names":false,"suffix":""},{"dropping-particle":"","family":"Cuaresma","given":"Jesus Crespo","non-dropping-particle":"","parse-names":false,"suffix":""},{"dropping-particle":"","family":"KC","given":"Samir","non-dropping-particle":"","parse-names":false,"suffix":""},{"dropping-particle":"","family":"Leimbach","given":"Marian","non-dropping-particle":"","parse-names":false,"suffix":""},{"dropping-particle":"","family":"Jiang","given":"Leiwen","non-dropping-particle":"","parse-names":false,"suffix":""},{"dropping-particle":"","family":"Kram","given":"Tom","non-dropping-particle":"","parse-names":false,"suffix":""},{"dropping-particle":"","family":"Rao","given":"Shilpa","non-dropping-particle":"","parse-names":false,"suffix":""},{"dropping-particle":"","family":"Emmerling","given":"Johannes","non-dropping-particle":"","parse-names":false,"suffix":""},{"dropping-particle":"","family":"Ebi","given":"Kristie","non-dropping-particle":"","parse-names":false,"suffix":""},{"dropping-particle":"","family":"Hasegawa","given":"Tomoko","non-dropping-particle":"","parse-names":false,"suffix":""},{"dropping-particle":"","family":"Havlik","given":"Petr","non-dropping-particle":"","parse-names":false,"suffix":""},{"dropping-particle":"","family":"Humpenöder","given":"Florian","non-dropping-particle":"","parse-names":false,"suffix":""},{"dropping-particle":"","family":"Silva","given":"Lara Aleluia","non-dropping-particle":"Da","parse-names":false,"suffix":""},{"dropping-particle":"","family":"Smith","given":"Steve","non-dropping-particle":"","parse-names":false,"suffix":""},{"dropping-particle":"","family":"Stehfest","given":"Elke","non-dropping-particle":"","parse-names":false,"suffix":""},{"dropping-particle":"","family":"Bosetti","given":"Valentina","non-dropping-particle":"","parse-names":false,"suffix":""},{"dropping-particle":"","family":"Eom","given":"Jiyong","non-dropping-particle":"","parse-names":false,"suffix":""},{"dropping-particle":"","family":"Gernaat","given":"David","non-dropping-particle":"","parse-names":false,"suffix":""},{"dropping-particle":"","family":"Masui","given":"Toshihiko","non-dropping-particle":"","parse-names":false,"suffix":""},{"dropping-particle":"","family":"Rogelj","given":"Joeri","non-dropping-particle":"","parse-names":false,"suffix":""},{"dropping-particle":"","family":"Strefler","given":"Jessica","non-dropping-particle":"","parse-names":false,"suffix":""},{"dropping-particle":"","family":"Drouet","given":"Laurent","non-dropping-particle":"","parse-names":false,"suffix":""},{"dropping-particle":"","family":"Krey","given":"Volker","non-dropping-particle":"","parse-names":false,"suffix":""},{"dropping-particle":"","family":"Luderer","given":"Gunnar","non-dropping-particle":"","parse-names":false,"suffix":""},{"dropping-particle":"","family":"Harmsen","given":"Mathijs","non-dropping-particle":"","parse-names":false,"suffix":""},{"dropping-particle":"","family":"Takahashi","given":"Kiyoshi","non-dropping-particle":"","parse-names":false,"suffix":""},{"dropping-particle":"","family":"Baumstark","given":"Lavinia","non-dropping-particle":"","parse-names":false,"suffix":""},{"dropping-particle":"","family":"Doelman","given":"Jonathan C.","non-dropping-particle":"","parse-names":false,"suffix":""},{"dropping-particle":"","family":"Kainuma","given":"Mikiko","non-dropping-particle":"","parse-names":false,"suffix":""},{"dropping-particle":"","family":"Klimont","given":"Zbigniew","non-dropping-particle":"","parse-names":false,"suffix":""},{"dropping-particle":"","family":"Marangoni","given":"Giacomo","non-dropping-particle":"","parse-names":false,"suffix":""},{"dropping-particle":"","family":"Lotze-Campen","given":"Hermann","non-dropping-particle":"","parse-names":false,"suffix":""},{"dropping-particle":"","family":"Obersteiner","given":"Michael","non-dropping-particle":"","parse-names":false,"suffix":""},{"dropping-particle":"","family":"Tabeau","given":"Andrzej","non-dropping-particle":"","parse-names":false,"suffix":""},{"dropping-particle":"","family":"Tavoni","given":"Massimo","non-dropping-particle":"","parse-names":false,"suffix":""}],"container-title":"Global Environmental Change","id":"ITEM-6","issued":{"date-parts":[["2017","1","1"]]},"page":"153-168","publisher":"Elsevier Ltd","title":"The Shared Socioeconomic Pathways and their energy, land use, and greenhouse gas emissions implications: An overview","type":"article-journal","volume":"42"},"uris":["http://www.mendeley.com/documents/?uuid=57816b09-c8bd-3a5f-88cc-1ce5e82b24bc"]},{"id":"ITEM-7","itemData":{"DOI":"10.1016/j.gloenvcha.2015.01.004","ISSN":"09593780","abstract":"Long-term scenarios play an important role in research on global environmental change. The climate change research community is developing new scenarios integrating future changes in climate and society to investigate climate impacts as well as options for mitigation and adaptation. One component of these new scenarios is a set of alternative futures of societal development known as the shared socioeconomic pathways (SSPs). The conceptual framework for the design and use of the SSPs calls for the development of global pathways describing the future evolution of key aspects of society that would together imply a range of challenges for mitigating and adapting to climate change. Here we present one component of these pathways: the SSP narratives, a set of five qualitative descriptions of future changes in demographics, human development, economy and lifestyle, policies and institutions, technology, and environment and natural resources. We describe the methods used to develop the narratives as well as how these pathways are hypothesized to produce particular combinations of challenges to mitigation and adaptation. Development of the narratives drew on expert opinion to (1) identify key determinants of these challenges that were essential to incorporate in the narratives and (2) combine these elements in the narratives in a manner consistent with scholarship on their inter-relationships. The narratives are intended as a description of plausible future conditions at the level of large world regions that can serve as a basis for integrated scenarios of emissions and land use, as well as climate impact, adaptation and vulnerability analyses.","author":[{"dropping-particle":"","family":"O'Neill","given":"Brian C.","non-dropping-particle":"","parse-names":false,"suffix":""},{"dropping-particle":"","family":"Kriegler","given":"Elmar","non-dropping-particle":"","parse-names":false,"suffix":""},{"dropping-particle":"","family":"Ebi","given":"Kristie L.","non-dropping-particle":"","parse-names":false,"suffix":""},{"dropping-particle":"","family":"Kemp-Benedict","given":"Eric","non-dropping-particle":"","parse-names":false,"suffix":""},{"dropping-particle":"","family":"Riahi","given":"Keywan","non-dropping-particle":"","parse-names":false,"suffix":""},{"dropping-particle":"","family":"Rothman","given":"Dale S.","non-dropping-particle":"","parse-names":false,"suffix":""},{"dropping-particle":"","family":"Ruijven","given":"Bas J.","non-dropping-particle":"van","parse-names":false,"suffix":""},{"dropping-particle":"","family":"Vuuren","given":"Detlef P.","non-dropping-particle":"van","parse-names":false,"suffix":""},{"dropping-particle":"","family":"Birkmann","given":"Joern","non-dropping-particle":"","parse-names":false,"suffix":""},{"dropping-particle":"","family":"Kok","given":"Kasper","non-dropping-particle":"","parse-names":false,"suffix":""},{"dropping-particle":"","family":"Levy","given":"Marc","non-dropping-particle":"","parse-names":false,"suffix":""},{"dropping-particle":"","family":"Solecki","given":"William","non-dropping-particle":"","parse-names":false,"suffix":""}],"container-title":"Global Environmental Change","id":"ITEM-7","issued":{"date-parts":[["2017","1","1"]]},"page":"169-180","publisher":"Elsevier Ltd","title":"The roads ahead: Narratives for shared socioeconomic pathways describing world futures in the 21st century","type":"article-journal","volume":"42"},"uris":["http://www.mendeley.com/documents/?uuid=fd1fc6c8-524e-306b-9cde-03562a078d0d"]}],"mendeley":{"formattedCitation":"&lt;sup&gt;23–29&lt;/sup&gt;","plainTextFormattedCitation":"23–29","previouslyFormattedCitation":"&lt;sup&gt;24–30&lt;/sup&gt;"},"properties":{"noteIndex":0},"schema":"https://github.com/citation-style-language/schema/raw/master/csl-citation.json"}</w:instrText>
            </w:r>
            <w:r>
              <w:rPr>
                <w:rFonts w:hAnsiTheme="minorHAnsi" w:cstheme="minorHAnsi"/>
                <w:lang w:val="en-US"/>
              </w:rPr>
              <w:fldChar w:fldCharType="separate"/>
            </w:r>
            <w:r w:rsidR="004E25ED" w:rsidRPr="004E25ED">
              <w:rPr>
                <w:rFonts w:hAnsiTheme="minorHAnsi" w:cstheme="minorHAnsi"/>
                <w:noProof/>
                <w:vertAlign w:val="superscript"/>
                <w:lang w:val="en-US"/>
              </w:rPr>
              <w:t>23–29</w:t>
            </w:r>
            <w:r>
              <w:rPr>
                <w:rFonts w:hAnsiTheme="minorHAnsi" w:cstheme="minorHAnsi"/>
                <w:lang w:val="en-US"/>
              </w:rPr>
              <w:fldChar w:fldCharType="end"/>
            </w:r>
          </w:p>
        </w:tc>
      </w:tr>
      <w:tr w:rsidR="000843DA" w14:paraId="01D1CF6D"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Pr>
          <w:p w14:paraId="04333B8D" w14:textId="77777777" w:rsidR="000843DA" w:rsidRPr="002F6F92" w:rsidRDefault="000843DA" w:rsidP="00C50B5C">
            <w:pPr>
              <w:rPr>
                <w:b w:val="0"/>
                <w:bCs w:val="0"/>
                <w:sz w:val="20"/>
                <w:szCs w:val="20"/>
                <w:lang w:val="en-US"/>
              </w:rPr>
            </w:pPr>
            <w:r w:rsidRPr="002F6F92">
              <w:rPr>
                <w:b w:val="0"/>
                <w:bCs w:val="0"/>
                <w:sz w:val="20"/>
                <w:szCs w:val="20"/>
                <w:lang w:val="en-US"/>
              </w:rPr>
              <w:t>Price formula</w:t>
            </w:r>
          </w:p>
        </w:tc>
        <w:tc>
          <w:tcPr>
            <w:tcW w:w="2552" w:type="dxa"/>
            <w:tcBorders>
              <w:top w:val="single" w:sz="4" w:space="0" w:color="auto"/>
              <w:bottom w:val="nil"/>
            </w:tcBorders>
          </w:tcPr>
          <w:p w14:paraId="3C804725" w14:textId="77777777" w:rsidR="000843DA" w:rsidRPr="002F6F92" w:rsidRDefault="000843DA" w:rsidP="00C50B5C">
            <w:pPr>
              <w:cnfStyle w:val="000000100000" w:firstRow="0" w:lastRow="0" w:firstColumn="0" w:lastColumn="0" w:oddVBand="0" w:evenVBand="0" w:oddHBand="1" w:evenHBand="0" w:firstRowFirstColumn="0" w:firstRowLastColumn="0" w:lastRowFirstColumn="0" w:lastRowLastColumn="0"/>
              <w:rPr>
                <w:sz w:val="20"/>
                <w:szCs w:val="20"/>
                <w:lang w:val="en-US"/>
              </w:rPr>
            </w:pPr>
            <m:oMathPara>
              <m:oMathParaPr>
                <m:jc m:val="left"/>
              </m:oMathParaPr>
              <m:oMath>
                <m:r>
                  <w:rPr>
                    <w:rFonts w:ascii="Cambria Math" w:hAnsi="Cambria Math"/>
                    <w:sz w:val="20"/>
                    <w:szCs w:val="20"/>
                    <w:lang w:val="en-US"/>
                  </w:rPr>
                  <m:t>P=MC*m*</m:t>
                </m:r>
                <m:sSup>
                  <m:sSupPr>
                    <m:ctrlPr>
                      <w:rPr>
                        <w:rFonts w:ascii="Cambria Math" w:hAnsi="Cambria Math"/>
                        <w:i/>
                        <w:sz w:val="20"/>
                        <w:szCs w:val="20"/>
                        <w:lang w:val="en-US"/>
                      </w:rPr>
                    </m:ctrlPr>
                  </m:sSupPr>
                  <m:e>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Y</m:t>
                        </m:r>
                      </m:den>
                    </m:f>
                    <m:r>
                      <w:rPr>
                        <w:rFonts w:ascii="Cambria Math" w:hAnsi="Cambria Math"/>
                        <w:sz w:val="20"/>
                        <w:szCs w:val="20"/>
                        <w:lang w:val="en-US"/>
                      </w:rPr>
                      <m:t>)</m:t>
                    </m:r>
                  </m:e>
                  <m:sup>
                    <m:r>
                      <w:rPr>
                        <w:rFonts w:ascii="Cambria Math" w:hAnsi="Cambria Math"/>
                        <w:sz w:val="20"/>
                        <w:szCs w:val="20"/>
                        <w:lang w:val="en-US"/>
                      </w:rPr>
                      <m:t>s</m:t>
                    </m:r>
                  </m:sup>
                </m:sSup>
              </m:oMath>
            </m:oMathPara>
          </w:p>
        </w:tc>
        <w:tc>
          <w:tcPr>
            <w:tcW w:w="4394" w:type="dxa"/>
            <w:gridSpan w:val="2"/>
            <w:tcBorders>
              <w:top w:val="single" w:sz="4" w:space="0" w:color="auto"/>
              <w:bottom w:val="nil"/>
            </w:tcBorders>
          </w:tcPr>
          <w:p w14:paraId="203635C1" w14:textId="77777777" w:rsidR="000843DA" w:rsidRPr="002F6F92" w:rsidRDefault="000843DA" w:rsidP="00C50B5C">
            <w:pPr>
              <w:cnfStyle w:val="000000100000" w:firstRow="0" w:lastRow="0" w:firstColumn="0" w:lastColumn="0" w:oddVBand="0" w:evenVBand="0" w:oddHBand="1" w:evenHBand="0" w:firstRowFirstColumn="0" w:firstRowLastColumn="0" w:lastRowFirstColumn="0" w:lastRowLastColumn="0"/>
              <w:rPr>
                <w:sz w:val="20"/>
                <w:szCs w:val="20"/>
                <w:lang w:val="en-US"/>
              </w:rPr>
            </w:pPr>
            <w:r w:rsidRPr="002F6F92">
              <w:rPr>
                <w:sz w:val="20"/>
                <w:szCs w:val="20"/>
                <w:lang w:val="en-US"/>
              </w:rPr>
              <w:t>Two ways to calculate the price of cobalt.</w:t>
            </w:r>
          </w:p>
        </w:tc>
        <w:tc>
          <w:tcPr>
            <w:tcW w:w="850" w:type="dxa"/>
            <w:tcBorders>
              <w:top w:val="single" w:sz="4" w:space="0" w:color="auto"/>
              <w:bottom w:val="nil"/>
            </w:tcBorders>
          </w:tcPr>
          <w:p w14:paraId="5AB8E263" w14:textId="4FB9FB2E" w:rsidR="000843DA" w:rsidRDefault="000843DA" w:rsidP="00C50B5C">
            <w:pPr>
              <w:cnfStyle w:val="000000100000" w:firstRow="0" w:lastRow="0" w:firstColumn="0" w:lastColumn="0" w:oddVBand="0" w:evenVBand="0" w:oddHBand="1" w:evenHBand="0" w:firstRowFirstColumn="0" w:firstRowLastColumn="0" w:lastRowFirstColumn="0" w:lastRowLastColumn="0"/>
              <w:rPr>
                <w:rFonts w:hAnsiTheme="minorHAnsi" w:cstheme="minorHAnsi"/>
                <w:lang w:val="en-US"/>
              </w:rPr>
            </w:pPr>
            <w:r>
              <w:rPr>
                <w:lang w:val="en-US"/>
              </w:rPr>
              <w:fldChar w:fldCharType="begin" w:fldLock="1"/>
            </w:r>
            <w:r w:rsidR="00C50B5C">
              <w:rPr>
                <w:lang w:val="en-US"/>
              </w:rPr>
              <w:instrText>ADDIN CSL_CITATION {"citationItems":[{"id":"ITEM-1","itemData":{"author":[{"dropping-particle":"","family":"Auping","given":"W L","non-dropping-particle":"","parse-names":false,"suffix":""}],"id":"ITEM-1","issued":{"date-parts":[["2011"]]},"publisher":"Delft University of Technology","title":"The Uncertain Future of Copper: An Exploratory System Dynamics Model and Analysis of the Global Copper System in the Next 40 Years","type":"thesis"},"uris":["http://www.mendeley.com/documents/?uuid=97434463-7786-3fa7-bf0b-3cd9beb0e418"]},{"id":"ITEM-2","itemData":{"DOI":"10.1007/s41247-017-0017-0","ISBN":"0123456789","abstract":"The present business-as-usual cobalt use in society is not sustainable. Too much cobalt is lost if only market mechanisms are expected to improve recycling, and unnecessary cobalt is wasted if no policy actions are taken. Increased recycling and better conservation will be able to improve the supply situation, but this will need active policy participation beyond what market mechanisms can do alone. To conserve cobalt for coming generations, present policies must be changed within the next few decades. The sooner policies change, the better for future generations.","author":[{"dropping-particle":"","family":"Sverdrup","given":"Harald Ulrik","non-dropping-particle":"","parse-names":false,"suffix":""},{"dropping-particle":"","family":"Kristin","given":"</w:instrText>
            </w:r>
            <w:r w:rsidR="00C50B5C">
              <w:rPr>
                <w:lang w:val="en-US"/>
              </w:rPr>
              <w:instrText>·</w:instrText>
            </w:r>
            <w:r w:rsidR="00C50B5C">
              <w:rPr>
                <w:lang w:val="en-US"/>
              </w:rPr>
              <w:instrText>","non-dropping-particle":"","parse-names":false,"suffix":""},{"dropping-particle":"","family":"Ragnarsdottir","given":"Vala","non-dropping-particle":"","parse-names":false,"suffix":""},{"dropping-particle":"","family":"Deniz Koca","given":"</w:instrText>
            </w:r>
            <w:r w:rsidR="00C50B5C">
              <w:rPr>
                <w:lang w:val="en-US"/>
              </w:rPr>
              <w:instrText>·</w:instrText>
            </w:r>
            <w:r w:rsidR="00C50B5C">
              <w:rPr>
                <w:lang w:val="en-US"/>
              </w:rPr>
              <w:instrText>","non-dropping-particle":"","parse-names":false,"suffix":""}],"container-title":"BioPhysical Economics and Resource Quality","id":"ITEM-2","issue":"4","issued":{"date-parts":[["2017"]]},"title":"Integrated Modelling of the Global Cobalt Extraction, Supply, Price and Depletion of Extractable Resources Using the WORLD6 Model","type":"article-journal","volume":"2"},"uris":["http://www.mendeley.com/documents/?uuid=d93d1fd6-4048-32dc-be83-db2dbf8436ad"]}],"mendeley":{"formattedCitation":"&lt;sup&gt;7,9&lt;/sup&gt;","plainTextFormattedCitation":"7,9","previouslyFormattedCitation":"&lt;sup&gt;7,9&lt;/sup&gt;"},"properties":{"noteIndex":0},"schema":"https://github.com/citation-style-language/schema/raw/master/csl-citation.json"}</w:instrText>
            </w:r>
            <w:r>
              <w:rPr>
                <w:lang w:val="en-US"/>
              </w:rPr>
              <w:fldChar w:fldCharType="separate"/>
            </w:r>
            <w:r w:rsidR="00E50857" w:rsidRPr="00E50857">
              <w:rPr>
                <w:noProof/>
                <w:vertAlign w:val="superscript"/>
                <w:lang w:val="en-US"/>
              </w:rPr>
              <w:t>7,9</w:t>
            </w:r>
            <w:r>
              <w:rPr>
                <w:lang w:val="en-US"/>
              </w:rPr>
              <w:fldChar w:fldCharType="end"/>
            </w:r>
          </w:p>
        </w:tc>
      </w:tr>
      <w:tr w:rsidR="000843DA" w14:paraId="585991DC" w14:textId="77777777" w:rsidTr="00E16ADE">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4" w:space="0" w:color="auto"/>
            </w:tcBorders>
          </w:tcPr>
          <w:p w14:paraId="690F4BCE" w14:textId="77777777" w:rsidR="000843DA" w:rsidRPr="002F6F92" w:rsidRDefault="000843DA" w:rsidP="00C50B5C">
            <w:pPr>
              <w:rPr>
                <w:b w:val="0"/>
                <w:bCs w:val="0"/>
                <w:sz w:val="20"/>
                <w:szCs w:val="20"/>
                <w:lang w:val="en-US"/>
              </w:rPr>
            </w:pPr>
          </w:p>
        </w:tc>
        <w:tc>
          <w:tcPr>
            <w:tcW w:w="2552" w:type="dxa"/>
            <w:tcBorders>
              <w:top w:val="nil"/>
              <w:bottom w:val="single" w:sz="4" w:space="0" w:color="auto"/>
            </w:tcBorders>
          </w:tcPr>
          <w:p w14:paraId="0ADC1B6C" w14:textId="488E9040"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sz w:val="20"/>
                <w:szCs w:val="20"/>
                <w:lang w:val="en-US"/>
              </w:rPr>
            </w:pPr>
            <m:oMathPara>
              <m:oMathParaPr>
                <m:jc m:val="left"/>
              </m:oMathParaPr>
              <m:oMath>
                <m:r>
                  <w:rPr>
                    <w:rFonts w:ascii="Cambria Math" w:hAnsi="Cambria Math"/>
                    <w:sz w:val="20"/>
                    <w:szCs w:val="20"/>
                    <w:lang w:val="en-US"/>
                  </w:rPr>
                  <m:t>P=MC*</m:t>
                </m:r>
                <m:d>
                  <m:dPr>
                    <m:ctrlPr>
                      <w:rPr>
                        <w:rFonts w:ascii="Cambria Math" w:hAnsi="Cambria Math"/>
                        <w:i/>
                        <w:sz w:val="20"/>
                        <w:szCs w:val="20"/>
                        <w:lang w:val="en-US"/>
                      </w:rPr>
                    </m:ctrlPr>
                  </m:dPr>
                  <m:e>
                    <m:r>
                      <w:rPr>
                        <w:rFonts w:ascii="Cambria Math" w:hAnsi="Cambria Math"/>
                        <w:sz w:val="20"/>
                        <w:szCs w:val="20"/>
                        <w:lang w:val="en-US"/>
                      </w:rPr>
                      <m:t>1+p</m:t>
                    </m:r>
                  </m:e>
                </m:d>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f>
                          <m:fPr>
                            <m:ctrlPr>
                              <w:rPr>
                                <w:rFonts w:ascii="Cambria Math" w:hAnsi="Cambria Math"/>
                                <w:i/>
                                <w:sz w:val="20"/>
                                <w:szCs w:val="20"/>
                                <w:lang w:val="en-US"/>
                              </w:rPr>
                            </m:ctrlPr>
                          </m:fPr>
                          <m:num>
                            <m:r>
                              <w:rPr>
                                <w:rFonts w:ascii="Cambria Math" w:hAnsi="Cambria Math"/>
                                <w:sz w:val="20"/>
                                <w:szCs w:val="20"/>
                                <w:lang w:val="en-US"/>
                              </w:rPr>
                              <m:t>S</m:t>
                            </m:r>
                          </m:num>
                          <m:den>
                            <m:r>
                              <w:rPr>
                                <w:rFonts w:ascii="Cambria Math" w:hAnsi="Cambria Math"/>
                                <w:sz w:val="20"/>
                                <w:szCs w:val="20"/>
                                <w:lang w:val="en-US"/>
                              </w:rPr>
                              <m:t>C</m:t>
                            </m:r>
                          </m:den>
                        </m:f>
                      </m:e>
                    </m:d>
                  </m:e>
                  <m:sup>
                    <m:r>
                      <w:rPr>
                        <w:rFonts w:ascii="Cambria Math" w:hAnsi="Cambria Math"/>
                        <w:sz w:val="20"/>
                        <w:szCs w:val="20"/>
                        <w:lang w:val="en-US"/>
                      </w:rPr>
                      <m:t>2</m:t>
                    </m:r>
                  </m:sup>
                </m:sSup>
              </m:oMath>
            </m:oMathPara>
          </w:p>
        </w:tc>
        <w:tc>
          <w:tcPr>
            <w:tcW w:w="567" w:type="dxa"/>
            <w:tcBorders>
              <w:top w:val="nil"/>
              <w:bottom w:val="single" w:sz="4" w:space="0" w:color="auto"/>
            </w:tcBorders>
          </w:tcPr>
          <w:p w14:paraId="3914B2D6"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P</w:t>
            </w:r>
          </w:p>
          <w:p w14:paraId="6A1D82D9"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MC</w:t>
            </w:r>
          </w:p>
          <w:p w14:paraId="0931A723"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m</w:t>
            </w:r>
          </w:p>
          <w:p w14:paraId="50E59732"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D</w:t>
            </w:r>
          </w:p>
          <w:p w14:paraId="12E63CD2"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Y</w:t>
            </w:r>
          </w:p>
          <w:p w14:paraId="25B80E18"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s</w:t>
            </w:r>
          </w:p>
          <w:p w14:paraId="21018557"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p</w:t>
            </w:r>
          </w:p>
          <w:p w14:paraId="52650D2E"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p>
          <w:p w14:paraId="09B78EDB"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A</w:t>
            </w:r>
          </w:p>
        </w:tc>
        <w:tc>
          <w:tcPr>
            <w:tcW w:w="3827" w:type="dxa"/>
            <w:tcBorders>
              <w:top w:val="nil"/>
              <w:bottom w:val="single" w:sz="4" w:space="0" w:color="auto"/>
            </w:tcBorders>
          </w:tcPr>
          <w:p w14:paraId="61F025AC"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 price of cobalt</w:t>
            </w:r>
          </w:p>
          <w:p w14:paraId="54E22793"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 xml:space="preserve">= marginal cost of cobalt per </w:t>
            </w:r>
            <w:proofErr w:type="spellStart"/>
            <w:r w:rsidRPr="002F6F92">
              <w:rPr>
                <w:i/>
                <w:iCs/>
                <w:sz w:val="20"/>
                <w:szCs w:val="20"/>
                <w:lang w:val="en-US"/>
              </w:rPr>
              <w:t>lb</w:t>
            </w:r>
            <w:proofErr w:type="spellEnd"/>
          </w:p>
          <w:p w14:paraId="0315286B"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 minimum percentage of marginal cost</w:t>
            </w:r>
          </w:p>
          <w:p w14:paraId="5DBC4791"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 days of demand in stock</w:t>
            </w:r>
          </w:p>
          <w:p w14:paraId="1B127673"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 xml:space="preserve">= days in a year </w:t>
            </w:r>
          </w:p>
          <w:p w14:paraId="2E56CC0E" w14:textId="6FBEAE0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 xml:space="preserve">= sensitivity to </w:t>
            </w:r>
            <w:r w:rsidR="00B2171F" w:rsidRPr="002F6F92">
              <w:rPr>
                <w:i/>
                <w:iCs/>
                <w:sz w:val="20"/>
                <w:szCs w:val="20"/>
                <w:lang w:val="en-US"/>
              </w:rPr>
              <w:t>supply</w:t>
            </w:r>
            <w:r w:rsidRPr="002F6F92">
              <w:rPr>
                <w:i/>
                <w:iCs/>
                <w:sz w:val="20"/>
                <w:szCs w:val="20"/>
                <w:lang w:val="en-US"/>
              </w:rPr>
              <w:t xml:space="preserve"> fluctuations</w:t>
            </w:r>
          </w:p>
          <w:p w14:paraId="52DF0A5A"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 xml:space="preserve">= minimum percentage on top of </w:t>
            </w:r>
            <w:r w:rsidRPr="002F6F92">
              <w:rPr>
                <w:i/>
                <w:iCs/>
                <w:sz w:val="20"/>
                <w:szCs w:val="20"/>
                <w:lang w:val="en-US"/>
              </w:rPr>
              <w:br/>
              <w:t xml:space="preserve">   marginal cost</w:t>
            </w:r>
          </w:p>
          <w:p w14:paraId="519D13A8"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2F6F92">
              <w:rPr>
                <w:i/>
                <w:iCs/>
                <w:sz w:val="20"/>
                <w:szCs w:val="20"/>
                <w:lang w:val="en-US"/>
              </w:rPr>
              <w:t>= available supply</w:t>
            </w:r>
          </w:p>
        </w:tc>
        <w:tc>
          <w:tcPr>
            <w:tcW w:w="850" w:type="dxa"/>
            <w:tcBorders>
              <w:top w:val="nil"/>
              <w:bottom w:val="single" w:sz="4" w:space="0" w:color="auto"/>
            </w:tcBorders>
          </w:tcPr>
          <w:p w14:paraId="120802A1" w14:textId="77777777" w:rsidR="000843DA" w:rsidRDefault="000843DA" w:rsidP="00C50B5C">
            <w:pPr>
              <w:cnfStyle w:val="000000000000" w:firstRow="0" w:lastRow="0" w:firstColumn="0" w:lastColumn="0" w:oddVBand="0" w:evenVBand="0" w:oddHBand="0" w:evenHBand="0" w:firstRowFirstColumn="0" w:firstRowLastColumn="0" w:lastRowFirstColumn="0" w:lastRowLastColumn="0"/>
              <w:rPr>
                <w:lang w:val="en-US"/>
              </w:rPr>
            </w:pPr>
          </w:p>
        </w:tc>
      </w:tr>
      <w:tr w:rsidR="000843DA" w14:paraId="13EA3C88" w14:textId="77777777" w:rsidTr="00E16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tcPr>
          <w:p w14:paraId="7F3D87AD" w14:textId="77777777" w:rsidR="000843DA" w:rsidRPr="002F6F92" w:rsidRDefault="000843DA" w:rsidP="00C50B5C">
            <w:pPr>
              <w:rPr>
                <w:b w:val="0"/>
                <w:bCs w:val="0"/>
                <w:sz w:val="20"/>
                <w:szCs w:val="20"/>
                <w:lang w:val="en-US"/>
              </w:rPr>
            </w:pPr>
            <w:r w:rsidRPr="002F6F92">
              <w:rPr>
                <w:b w:val="0"/>
                <w:bCs w:val="0"/>
                <w:sz w:val="20"/>
                <w:szCs w:val="20"/>
                <w:lang w:val="en-US"/>
              </w:rPr>
              <w:t>Energy price</w:t>
            </w:r>
          </w:p>
        </w:tc>
        <w:tc>
          <w:tcPr>
            <w:tcW w:w="2552" w:type="dxa"/>
            <w:tcBorders>
              <w:top w:val="single" w:sz="4" w:space="0" w:color="auto"/>
              <w:bottom w:val="single" w:sz="4" w:space="0" w:color="auto"/>
            </w:tcBorders>
          </w:tcPr>
          <w:p w14:paraId="049E357D" w14:textId="262C73BB" w:rsidR="000843DA" w:rsidRPr="002F6F92" w:rsidRDefault="000843DA" w:rsidP="00C50B5C">
            <w:pPr>
              <w:cnfStyle w:val="000000100000" w:firstRow="0" w:lastRow="0" w:firstColumn="0" w:lastColumn="0" w:oddVBand="0" w:evenVBand="0" w:oddHBand="1" w:evenHBand="0" w:firstRowFirstColumn="0" w:firstRowLastColumn="0" w:lastRowFirstColumn="0" w:lastRowLastColumn="0"/>
              <w:rPr>
                <w:sz w:val="20"/>
                <w:szCs w:val="20"/>
                <w:lang w:val="en-US"/>
              </w:rPr>
            </w:pPr>
            <w:r w:rsidRPr="002F6F92">
              <w:rPr>
                <w:sz w:val="20"/>
                <w:szCs w:val="20"/>
                <w:lang w:val="en-US"/>
              </w:rPr>
              <w:t>Scenario 1</w:t>
            </w:r>
            <w:r w:rsidR="00852A85">
              <w:rPr>
                <w:sz w:val="20"/>
                <w:szCs w:val="20"/>
                <w:lang w:val="en-US"/>
              </w:rPr>
              <w:t>, 2, 3</w:t>
            </w:r>
          </w:p>
        </w:tc>
        <w:tc>
          <w:tcPr>
            <w:tcW w:w="4394" w:type="dxa"/>
            <w:gridSpan w:val="2"/>
            <w:tcBorders>
              <w:top w:val="single" w:sz="4" w:space="0" w:color="auto"/>
              <w:bottom w:val="single" w:sz="4" w:space="0" w:color="auto"/>
            </w:tcBorders>
          </w:tcPr>
          <w:p w14:paraId="1707577F" w14:textId="1260A61A" w:rsidR="000843DA" w:rsidRPr="002F6F92" w:rsidRDefault="000843DA" w:rsidP="00C50B5C">
            <w:pPr>
              <w:cnfStyle w:val="000000100000" w:firstRow="0" w:lastRow="0" w:firstColumn="0" w:lastColumn="0" w:oddVBand="0" w:evenVBand="0" w:oddHBand="1" w:evenHBand="0" w:firstRowFirstColumn="0" w:firstRowLastColumn="0" w:lastRowFirstColumn="0" w:lastRowLastColumn="0"/>
              <w:rPr>
                <w:noProof/>
                <w:sz w:val="20"/>
                <w:szCs w:val="20"/>
                <w:lang w:val="en-US"/>
              </w:rPr>
            </w:pPr>
            <w:commentRangeStart w:id="2"/>
            <w:r w:rsidRPr="002F6F92">
              <w:rPr>
                <w:noProof/>
                <w:sz w:val="20"/>
                <w:szCs w:val="20"/>
                <w:lang w:val="en-US"/>
              </w:rPr>
              <w:t>Scenarios for energy price over time</w:t>
            </w:r>
            <w:r w:rsidR="00852A85">
              <w:rPr>
                <w:noProof/>
                <w:sz w:val="20"/>
                <w:szCs w:val="20"/>
                <w:lang w:val="en-US"/>
              </w:rPr>
              <w:t>, see figure 2.</w:t>
            </w:r>
            <w:commentRangeEnd w:id="2"/>
            <w:r w:rsidR="00FA5619">
              <w:rPr>
                <w:rStyle w:val="Verwijzingopmerking"/>
              </w:rPr>
              <w:commentReference w:id="2"/>
            </w:r>
          </w:p>
        </w:tc>
        <w:tc>
          <w:tcPr>
            <w:tcW w:w="850" w:type="dxa"/>
            <w:tcBorders>
              <w:top w:val="single" w:sz="4" w:space="0" w:color="auto"/>
              <w:bottom w:val="single" w:sz="4" w:space="0" w:color="auto"/>
            </w:tcBorders>
          </w:tcPr>
          <w:p w14:paraId="0FB4533E" w14:textId="1668AD83" w:rsidR="000843DA" w:rsidRDefault="000843DA" w:rsidP="00C50B5C">
            <w:pP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fldLock="1"/>
            </w:r>
            <w:r w:rsidR="004E25ED">
              <w:rPr>
                <w:lang w:val="en-US"/>
              </w:rPr>
              <w:instrText>ADDIN CSL_CITATION {"citationItems":[{"id":"ITEM-1","itemData":{"abstract":"Climate change is widely accepted as a global security topic with strong links to past, present, and future energy use. There is an extensive body of literature on effects of climate change and climate policies. The indirect effects of climate policies, for example on state stability of traditional oil and gas exporting countries, also known as rentier states, has received less attention. We present in this paper how we used System Dynamics models to explore the consequences of uncertainty related to climate and energy policies on the complex global energy system. We, therefore, generated policy related energy price scenarios which we fed into a country stability model, parameterised for Algeria, Azerbaijan, Kazakhstan, Qatar, Russia, and Saudi Arabia. We found that periods with high oil prices may become impossible in the long-term if climate mitigation policies are effective. Lower energy price levels originate in structural system changes caused by climate mitigation policies, and secondarily by the accumulation of overproduction of fossil fuels due to declining demand. Buffers in the form of sovereign wealth funds are insufficient to overcome these issues, making all rentier states, but especially the most resource dependent country, Saudi Arabia, vulnerable to climate policies.","author":[{"dropping-particle":"","family":"Auping","given":"W L","non-dropping-particle":"","parse-names":false,"suffix":""},{"dropping-particle":"","family":"Pruyt","given":"E","non-dropping-particle":"","parse-names":false,"suffix":""},{"dropping-particle":"","family":"Jong","given":"S","non-dropping-particle":"de","parse-names":false,"suffix":""},{"dropping-particle":"","family":"Kwakkel","given":"J H","non-dropping-particle":"","parse-names":false,"suffix":""}],"container-title":"International System Dynamics Conference","id":"ITEM-1","issued":{"date-parts":[["2016"]]},"publisher":"International System Dynamics Society","publisher-place":"Delft, The Netherlands","title":"Simulating the Impact of Climate Mitigation Policies on Social Unrest in Rentier States","type":"paper-conference"},"uris":["http://www.mendeley.com/documents/?uuid=7d6e02ad-17bf-3772-9a32-685786cff04d"]}],"mendeley":{"formattedCitation":"&lt;sup&gt;30&lt;/sup&gt;","plainTextFormattedCitation":"30","previouslyFormattedCitation":"&lt;sup&gt;31&lt;/sup&gt;"},"properties":{"noteIndex":0},"schema":"https://github.com/citation-style-language/schema/raw/master/csl-citation.json"}</w:instrText>
            </w:r>
            <w:r>
              <w:rPr>
                <w:lang w:val="en-US"/>
              </w:rPr>
              <w:fldChar w:fldCharType="separate"/>
            </w:r>
            <w:r w:rsidR="004E25ED" w:rsidRPr="004E25ED">
              <w:rPr>
                <w:noProof/>
                <w:vertAlign w:val="superscript"/>
                <w:lang w:val="en-US"/>
              </w:rPr>
              <w:t>30</w:t>
            </w:r>
            <w:r>
              <w:rPr>
                <w:lang w:val="en-US"/>
              </w:rPr>
              <w:fldChar w:fldCharType="end"/>
            </w:r>
          </w:p>
        </w:tc>
      </w:tr>
      <w:tr w:rsidR="000843DA" w:rsidRPr="00E51D3A" w14:paraId="2A3CA364" w14:textId="77777777" w:rsidTr="00E16ADE">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tcPr>
          <w:p w14:paraId="1C20DA11" w14:textId="77777777" w:rsidR="000843DA" w:rsidRPr="002F6F92" w:rsidRDefault="000843DA" w:rsidP="00C50B5C">
            <w:pPr>
              <w:rPr>
                <w:b w:val="0"/>
                <w:bCs w:val="0"/>
                <w:sz w:val="20"/>
                <w:szCs w:val="20"/>
                <w:lang w:val="en-US"/>
              </w:rPr>
            </w:pPr>
            <w:r w:rsidRPr="002F6F92">
              <w:rPr>
                <w:b w:val="0"/>
                <w:bCs w:val="0"/>
                <w:sz w:val="20"/>
                <w:szCs w:val="20"/>
                <w:lang w:val="en-US"/>
              </w:rPr>
              <w:t>Carbon price</w:t>
            </w:r>
          </w:p>
        </w:tc>
        <w:tc>
          <w:tcPr>
            <w:tcW w:w="2552" w:type="dxa"/>
            <w:tcBorders>
              <w:top w:val="single" w:sz="4" w:space="0" w:color="auto"/>
              <w:bottom w:val="single" w:sz="4" w:space="0" w:color="auto"/>
            </w:tcBorders>
          </w:tcPr>
          <w:p w14:paraId="335A7B8B"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sz w:val="20"/>
                <w:szCs w:val="20"/>
                <w:lang w:val="en-US"/>
              </w:rPr>
            </w:pPr>
            <w:r w:rsidRPr="002F6F92">
              <w:rPr>
                <w:sz w:val="20"/>
                <w:szCs w:val="20"/>
                <w:lang w:val="en-US"/>
              </w:rPr>
              <w:t>No global carbon price</w:t>
            </w:r>
          </w:p>
          <w:p w14:paraId="31425445" w14:textId="77777777" w:rsidR="000843DA" w:rsidRPr="002F6F92" w:rsidRDefault="000843DA" w:rsidP="00C50B5C">
            <w:pPr>
              <w:cnfStyle w:val="000000000000" w:firstRow="0" w:lastRow="0" w:firstColumn="0" w:lastColumn="0" w:oddVBand="0" w:evenVBand="0" w:oddHBand="0" w:evenHBand="0" w:firstRowFirstColumn="0" w:firstRowLastColumn="0" w:lastRowFirstColumn="0" w:lastRowLastColumn="0"/>
              <w:rPr>
                <w:sz w:val="20"/>
                <w:szCs w:val="20"/>
                <w:lang w:val="en-US"/>
              </w:rPr>
            </w:pPr>
            <w:r w:rsidRPr="002F6F92">
              <w:rPr>
                <w:sz w:val="20"/>
                <w:szCs w:val="20"/>
                <w:lang w:val="en-US"/>
              </w:rPr>
              <w:t>Global carbon price in SSP 1, 2, 3, 4, 5</w:t>
            </w:r>
          </w:p>
        </w:tc>
        <w:tc>
          <w:tcPr>
            <w:tcW w:w="4394" w:type="dxa"/>
            <w:gridSpan w:val="2"/>
            <w:tcBorders>
              <w:top w:val="single" w:sz="4" w:space="0" w:color="auto"/>
              <w:bottom w:val="single" w:sz="4" w:space="0" w:color="auto"/>
            </w:tcBorders>
          </w:tcPr>
          <w:p w14:paraId="593F5224" w14:textId="45334711" w:rsidR="000843DA" w:rsidRPr="002F6F92" w:rsidRDefault="000843DA" w:rsidP="00852A85">
            <w:pP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2F6F92">
              <w:rPr>
                <w:noProof/>
                <w:sz w:val="20"/>
                <w:szCs w:val="20"/>
                <w:lang w:val="en-US"/>
              </w:rPr>
              <w:t>Each SSP has its own</w:t>
            </w:r>
            <w:r w:rsidR="00852A85">
              <w:rPr>
                <w:noProof/>
                <w:sz w:val="20"/>
                <w:szCs w:val="20"/>
                <w:lang w:val="en-US"/>
              </w:rPr>
              <w:t xml:space="preserve"> </w:t>
            </w:r>
            <w:r w:rsidRPr="002F6F92">
              <w:rPr>
                <w:noProof/>
                <w:sz w:val="20"/>
                <w:szCs w:val="20"/>
                <w:lang w:val="en-US"/>
              </w:rPr>
              <w:t>scenario for the</w:t>
            </w:r>
            <w:r w:rsidR="00852A85">
              <w:rPr>
                <w:noProof/>
                <w:sz w:val="20"/>
                <w:szCs w:val="20"/>
                <w:lang w:val="en-US"/>
              </w:rPr>
              <w:t xml:space="preserve"> </w:t>
            </w:r>
            <w:r w:rsidRPr="002F6F92">
              <w:rPr>
                <w:noProof/>
                <w:sz w:val="20"/>
                <w:szCs w:val="20"/>
                <w:lang w:val="en-US"/>
              </w:rPr>
              <w:t>introduction of a</w:t>
            </w:r>
            <w:r w:rsidR="00852A85">
              <w:rPr>
                <w:noProof/>
                <w:sz w:val="20"/>
                <w:szCs w:val="20"/>
                <w:lang w:val="en-US"/>
              </w:rPr>
              <w:t xml:space="preserve"> </w:t>
            </w:r>
            <w:r w:rsidRPr="002F6F92">
              <w:rPr>
                <w:noProof/>
                <w:sz w:val="20"/>
                <w:szCs w:val="20"/>
                <w:lang w:val="en-US"/>
              </w:rPr>
              <w:t>global carbon price</w:t>
            </w:r>
            <w:r w:rsidR="00852A85">
              <w:rPr>
                <w:noProof/>
                <w:sz w:val="20"/>
                <w:szCs w:val="20"/>
                <w:lang w:val="en-US"/>
              </w:rPr>
              <w:t>, see figure 1c</w:t>
            </w:r>
            <w:r w:rsidRPr="002F6F92">
              <w:rPr>
                <w:noProof/>
                <w:sz w:val="20"/>
                <w:szCs w:val="20"/>
                <w:lang w:val="en-US"/>
              </w:rPr>
              <w:t>. This variable includes</w:t>
            </w:r>
            <w:r w:rsidR="00852A85">
              <w:rPr>
                <w:noProof/>
                <w:sz w:val="20"/>
                <w:szCs w:val="20"/>
                <w:lang w:val="en-US"/>
              </w:rPr>
              <w:t xml:space="preserve"> </w:t>
            </w:r>
            <w:r w:rsidRPr="002F6F92">
              <w:rPr>
                <w:noProof/>
                <w:sz w:val="20"/>
                <w:szCs w:val="20"/>
                <w:lang w:val="en-US"/>
              </w:rPr>
              <w:t>these carbon prices,</w:t>
            </w:r>
            <w:r w:rsidR="00852A85">
              <w:rPr>
                <w:noProof/>
                <w:sz w:val="20"/>
                <w:szCs w:val="20"/>
                <w:lang w:val="en-US"/>
              </w:rPr>
              <w:t xml:space="preserve"> </w:t>
            </w:r>
            <w:r w:rsidRPr="002F6F92">
              <w:rPr>
                <w:noProof/>
                <w:sz w:val="20"/>
                <w:szCs w:val="20"/>
                <w:lang w:val="en-US"/>
              </w:rPr>
              <w:t>or excludes them.</w:t>
            </w:r>
          </w:p>
        </w:tc>
        <w:tc>
          <w:tcPr>
            <w:tcW w:w="850" w:type="dxa"/>
            <w:tcBorders>
              <w:top w:val="single" w:sz="4" w:space="0" w:color="auto"/>
              <w:bottom w:val="single" w:sz="4" w:space="0" w:color="auto"/>
            </w:tcBorders>
          </w:tcPr>
          <w:p w14:paraId="6D3F235D" w14:textId="0F24B71E" w:rsidR="000843DA" w:rsidRDefault="000843DA" w:rsidP="00C50B5C">
            <w:pPr>
              <w:cnfStyle w:val="000000000000" w:firstRow="0" w:lastRow="0" w:firstColumn="0" w:lastColumn="0" w:oddVBand="0" w:evenVBand="0" w:oddHBand="0" w:evenHBand="0" w:firstRowFirstColumn="0" w:firstRowLastColumn="0" w:lastRowFirstColumn="0" w:lastRowLastColumn="0"/>
              <w:rPr>
                <w:lang w:val="en-US"/>
              </w:rPr>
            </w:pPr>
            <w:r>
              <w:rPr>
                <w:rFonts w:hAnsiTheme="minorHAnsi" w:cstheme="minorHAnsi"/>
                <w:lang w:val="en-US"/>
              </w:rPr>
              <w:fldChar w:fldCharType="begin" w:fldLock="1"/>
            </w:r>
            <w:r w:rsidR="004E25ED">
              <w:rPr>
                <w:rFonts w:hAnsiTheme="minorHAnsi" w:cstheme="minorHAnsi"/>
                <w:lang w:val="en-US"/>
              </w:rPr>
              <w:instrText>ADDIN CSL_CITATION {"citationItems":[{"id":"ITEM-1","itemData":{"DOI":"10.1016/j.gloenvcha.2016.05.008","ISSN":"09593780","abstract":"This paper describes the possible developments in global energy use and production, land use, emissions and climate changes following the SSP1 storyline, a development consistent with the green growth (or sustainable development) paradigm (a more inclusive development respecting environmental boundaries). The results are based on the implementation using the IMAGE 3.0 integrated assessment model and are compared with a) other IMAGE implementations of the SSPs (SSP2 and SSP3) and b) the SSP1 implementation of other integrated assessment models. The results show that a combination of resource efficiency, preferences for sustainable production methods and investment in human development could lead to a strong transition towards a more renewable energy supply, less land use and lower anthropogenic greenhouse gas emissions in 2100 than in 2010, even in the absence of explicit climate policies. At the same time, climate policy would still be needed to reduce emissions further, in order to reduce the projected increase of global mean temperature from 3 °C (SSP1 reference scenario) to 2 or 1.5 °C (in line with current policy targets). The SSP1 storyline could be a basis for further discussions on how climate policy can be combined with achieving other societal goals.","author":[{"dropping-particle":"","family":"Vuuren","given":"Detlef P.","non-dropping-particle":"van","parse-names":false,"suffix":""},{"dropping-particle":"","family":"Stehfest","given":"Elke","non-dropping-particle":"","parse-names":false,"suffix":""},{"dropping-particle":"","family":"Gernaat","given":"David E.H.J.","non-dropping-particle":"","parse-names":false,"suffix":""},{"dropping-particle":"","family":"Doelman","given":"Jonathan C.","non-dropping-particle":"","parse-names":false,"suffix":""},{"dropping-particle":"","family":"Berg","given":"Maarten","non-dropping-particle":"van den","parse-names":false,"suffix":""},{"dropping-particle":"","family":"Harmsen","given":"Mathijs","non-dropping-particle":"","parse-names":false,"suffix":""},{"dropping-particle":"","family":"Boer","given":"Harmen Sytze","non-dropping-particle":"de","parse-names":false,"suffix":""},{"dropping-particle":"","family":"Bouwman","given":"Lex F.","non-dropping-particle":"","parse-names":false,"suffix":""},{"dropping-particle":"","family":"Daioglou","given":"Vassilis","non-dropping-particle":"","parse-names":false,"suffix":""},{"dropping-particle":"","family":"Edelenbosch","given":"Oreane Y.","non-dropping-particle":"","parse-names":false,"suffix":""},{"dropping-particle":"","family":"Girod","given":"Bastien","non-dropping-particle":"","parse-names":false,"suffix":""},{"dropping-particle":"","family":"Kram","given":"Tom","non-dropping-particle":"","parse-names":false,"suffix":""},{"dropping-particle":"","family":"Lassaletta","given":"Luis","non-dropping-particle":"","parse-names":false,"suffix":""},{"dropping-particle":"","family":"Lucas","given":"Paul L.","non-dropping-particle":"","parse-names":false,"suffix":""},{"dropping-particle":"","family":"Meijl","given":"Hans","non-dropping-particle":"van","parse-names":false,"suffix":""},{"dropping-particle":"","family":"Müller","given":"Christoph","non-dropping-particle":"","parse-names":false,"suffix":""},{"dropping-particle":"","family":"Ruijven","given":"Bas J.","non-dropping-particle":"van","parse-names":false,"suffix":""},{"dropping-particle":"","family":"Sluis","given":"Sietske","non-dropping-particle":"van der","parse-names":false,"suffix":""},{"dropping-particle":"","family":"Tabeau","given":"Andrzej","non-dropping-particle":"","parse-names":false,"suffix":""}],"container-title":"Global Environmental Change","id":"ITEM-1","issued":{"date-parts":[["2017","1","1"]]},"page":"237-250","publisher":"Elsevier Ltd","title":"Energy, land-use and greenhouse gas emissions trajectories under a green growth paradigm","type":"article-journal","volume":"42"},"uris":["http://www.mendeley.com/documents/?uuid=149460c1-53ad-3403-af86-61fdb28f877b"]},{"id":"ITEM-2","itemData":{"DOI":"10.1016/j.gloenvcha.2016.06.004","ISSN":"09593780","abstract":"Studies of global environmental change make extensive use of scenarios to explore how the future can evolve under a consistent set of assumptions. The recently developed Shared Socioeconomic Pathways (SSPs) create a framework for the study of climate-related scenario outcomes. Their five narratives span a wide range of worlds that vary in their challenges for climate change mitigation and adaptation. Here we provide background on the quantification that has been selected to serve as the reference, or ‘marker’, implementation for SSP2. The SSP2 narrative describes a middle-of-the-road development in the mitigation and adaptation challenges space. We explain how the narrative has been translated into quantitative assumptions in the IIASA Integrated Assessment Modelling Framework. We show that our SSP2 marker implementation occupies a central position for key metrics along the mitigation and adaptation challenge dimensions. For many dimensions the SSP2 marker implementation also reflects an extension of the historical experience, particularly in terms of carbon and energy intensity improvements in its baseline. This leads to a steady emissions increase over the 21st century, with projected end-of-century warming nearing 4 °C relative to preindustrial levels. On the other hand, SSP2 also shows that global-mean temperature increase can be limited to below 2 °C, pending stringent climate policies throughout the world. The added value of the SSP2 marker implementation for the wider scientific community is that it can serve as a starting point to further explore integrated solutions for achieving multiple societal objectives in light of the climate adaptation and mitigation challenges that society could face over the 21st century.","author":[{"dropping-particle":"","family":"Fricko","given":"Oliver","non-dropping-particle":"","parse-names":false,"suffix":""},{"dropping-particle":"","family":"Havlik","given":"Petr","non-dropping-particle":"","parse-names":false,"suffix":""},{"dropping-particle":"","family":"Rogelj","given":"Joeri","non-dropping-particle":"","parse-names":false,"suffix":""},{"dropping-particle":"","family":"Klimont","given":"Zbigniew","non-dropping-particle":"","parse-names":false,"suffix":""},{"dropping-particle":"","family":"Gusti","given":"Mykola","non-dropping-particle":"","parse-names":false,"suffix":""},{"dropping-particle":"","family":"Johnson","given":"Nils","non-dropping-particle":"","parse-names":false,"suffix":""},{"dropping-particle":"","family":"Kolp","given":"Peter","non-dropping-particle":"","parse-names":false,"suffix":""},{"dropping-particle":"","family":"Strubegger","given":"Manfred","non-dropping-particle":"","parse-names":false,"suffix":""},{"dropping-particle":"","family":"Valin","given":"Hugo","non-dropping-particle":"","parse-names":false,"suffix":""},{"dropping-particle":"","family":"Amann","given":"Markus","non-dropping-particle":"","parse-names":false,"suffix":""},{"dropping-particle":"","family":"Ermolieva","given":"Tatiana","non-dropping-particle":"","parse-names":false,"suffix":""},{"dropping-particle":"","family":"Forsell","given":"Nicklas","non-dropping-particle":"","parse-names":false,"suffix":""},{"dropping-particle":"","family":"Herrero","given":"Mario","non-dropping-particle":"","parse-names":false,"suffix":""},{"dropping-particle":"","family":"Heyes","given":"Chris","non-dropping-particle":"","parse-names":false,"suffix":""},{"dropping-particle":"","family":"Kindermann","given":"Georg","non-dropping-particle":"","parse-names":false,"suffix":""},{"dropping-particle":"","family":"Krey","given":"Volker","non-dropping-particle":"","parse-names":false,"suffix":""},{"dropping-particle":"","family":"McCollum","given":"David L.","non-dropping-particle":"","parse-names":false,"suffix":""},{"dropping-particle":"","family":"Obersteiner","given":"Michael","non-dropping-particle":"","parse-names":false,"suffix":""},{"dropping-particle":"","family":"Pachauri","given":"Shonali","non-dropping-particle":"","parse-names":false,"suffix":""},{"dropping-particle":"","family":"Rao","given":"Shilpa","non-dropping-particle":"","parse-names":false,"suffix":""},{"dropping-particle":"","family":"Schmid","given":"Erwin","non-dropping-particle":"","parse-names":false,"suffix":""},{"dropping-particle":"","family":"Schoepp","given":"Wolfgang","non-dropping-particle":"","parse-names":false,"suffix":""},{"dropping-particle":"","family":"Riahi","given":"Keywan","non-dropping-particle":"","parse-names":false,"suffix":""}],"container-title":"Global Environmental Change","id":"ITEM-2","issued":{"date-parts":[["2017","1","1"]]},"page":"251-267","publisher":"Elsevier Ltd","title":"The marker quantification of the Shared Socioeconomic Pathway 2: A middle-of-the-road scenario for the 21st century","type":"article-journal","volume":"42"},"uris":["http://www.mendeley.com/documents/?uuid=a77a3ef1-34c4-38b0-b049-da696ed3d30e"]},{"id":"ITEM-3","itemData":{"DOI":"10.1016/j.gloenvcha.2016.06.009","ISSN":"09593780","abstract":"This study quantifies the Shared Socioeconomic Pathways (SSPs) using AIM/CGE (Asia-Pacific Integrated Assessment/Computable General Equilibrium). SSP3 (regional rivalry) forms the main focus of the study, which is supposed to face high challenges both in mitigation and adaptation. The AIM model has been selected as the model to quantify the SSP3 marker scenario, a representative case illustrating a particular narrative. Multiple parameter assumptions in AIM/CGE were differentiated across the SSPs for quantification. We confirm that SSP3 quantitative scenarios outcomes are consistent with its narrative. Moreover, four key features of SSP3 are observed. First, as SSP3 was originally designed to contain a high level of challenges to mitigation, mitigation costs in SSP3 were relatively high. This results from the combination of high greenhouse gas emissions in the baseline (no climate mitigation policy) scenario and low mitigative capacity. Second, the climate forcing level in 2100 for the baseline scenarios of SSP3 was similar to that of SSP2, whereas CO2 emissions in SSP3 are higher than those in SSP2. This is mainly due to high aerosol emissions in SSP3. A third feature was the high air pollutant emissions associated with weak implementation of air quality legislation and a high level of coal dependency. Fourth, forest area steadily decreases with a large expansion of cropland and pasture land. These characteristics indicate at least four potential uses for SSP3. First, SSP3 is useful for both IAM and impact, adaptation, vulnerability (IAV) analyses to present the worst-case scenario. Second, by comparing SSP2 and SSP3, IAV analyses can clarify the influences of socioeconomic elements under similar climatic conditions. Third, the high air pollutant emissions would be of interest to atmospheric chemistry climate modelers. Finally, in addition to climate change studies, many other environmental studies could benefit from the meaningful insights available from the large-scale land use change resulting in SSP3.","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dropping-particle":"","family":"Herran","given":"Diego Silva","non-dropping-particle":"","parse-names":false,"suffix":""},{"dropping-particle":"","family":"Dai","given":"Hancheng","non-dropping-particle":"","parse-names":false,"suffix":""},{"dropping-particle":"","family":"Hijioka","given":"Yasuaki","non-dropping-particle":"","parse-names":false,"suffix":""},{"dropping-particle":"","family":"Kainuma","given":"Mikiko","non-dropping-particle":"","parse-names":false,"suffix":""}],"container-title":"Global Environmental Change","id":"ITEM-3","issued":{"date-parts":[["2017","1","1"]]},"page":"268-283","publisher":"Elsevier Ltd","title":"SSP3: AIM implementation of Shared Socioeconomic Pathways","type":"article-journal","volume":"42"},"uris":["http://www.mendeley.com/documents/?uuid=1381c686-53f6-37e8-a455-5968f4a59c09"]},{"id":"ITEM-4","itemData":{"DOI":"10.1016/j.gloenvcha.2016.06.010","ISSN":"09593780","abstract":"Five new scenarios, or Shared Socioeconomic Pathways (SSPs), have been developed, spanning a range of challenges to mitigation and challenges to adaptation. The Shared Socioeconomic Pathway 4 (SSP4), “Inequality” or “A Road Divided,” is one of these scenarios, characterized by low challenges to mitigation and high challenges to adaptation. We describe, in quantitative terms, the SSP4 as implemented by the Global Change Assessment Model (GCAM), the marker model for this scenario. We use demographic and economic assumptions, in combination with technology and non-climate policy assumptions to develop a quantitative representation of energy, land-use and land-cover, and emissions consistent with the SSP4 narrative. The scenario is one with stark differences within and across regions. High-income regions prosper, continuing to increase their demand for energy and food. Electrification increases in these regions, with the increased generation being met by nuclear and renewables. Low-income regions, however, stagnate due to limited economic growth. Growth in total consumption is dominated by increases in population, not increases in per capita consumption. Due to failures in energy access policies, these regions continue to depend on traditional biofuels, leading to high pollutant emissions. Declining dependence on fossil fuels in all regions means that total radiative forcing absent the inclusion of mitigation or impacts only reaches 6.4 W m −2 in 2100, making this a world with relatively low challenges to mitigation. We explore the effects of mitigation effort on the SSP4 world, finding that the imposition of a carbon price has a varied effect across regions. In particular, the SSP4 mitigation scenarios are characterized by afforestation in the high-income regions and deforestation in the low-income regions. Furthermore, we find that the SSP4 is a world with low challenges to mitigation, but only to a point due to incomplete mitigation of land-related emissions.","author":[{"dropping-particle":"","family":"Calvin","given":"Katherine","non-dropping-particle":"","parse-names":false,"suffix":""},{"dropping-particle":"","family":"Bond-Lamberty","given":"Ben","non-dropping-particle":"","parse-names":false,"suffix":""},{"dropping-particle":"","family":"Clarke","given":"Leon","non-dropping-particle":"","parse-names":false,"suffix":""},{"dropping-particle":"","family":"Edmonds","given":"James","non-dropping-particle":"","parse-names":false,"suffix":""},{"dropping-particle":"","family":"Eom","given":"Jiyong","non-dropping-particle":"","parse-names":false,"suffix":""},{"dropping-particle":"","family":"Hartin","given":"Corinne","non-dropping-particle":"","parse-names":false,"suffix":""},{"dropping-particle":"","family":"Kim","given":"Sonny","non-dropping-particle":"","parse-names":false,"suffix":""},{"dropping-particle":"","family":"Kyle","given":"Page","non-dropping-particle":"","parse-names":false,"suffix":""},{"dropping-particle":"","family":"Link","given":"Robert","non-dropping-particle":"","parse-names":false,"suffix":""},{"dropping-particle":"","family":"Moss","given":"Richard","non-dropping-particle":"","parse-names":false,"suffix":""},{"dropping-particle":"","family":"McJeon","given":"Haewon","non-dropping-particle":"","parse-names":false,"suffix":""},{"dropping-particle":"","family":"Patel","given":"Pralit","non-dropping-particle":"","parse-names":false,"suffix":""},{"dropping-particle":"","family":"Smith","given":"Steve","non-dropping-particle":"","parse-names":false,"suffix":""},{"dropping-particle":"","family":"Waldhoff","given":"Stephanie","non-dropping-particle":"","parse-names":false,"suffix":""},{"dropping-particle":"","family":"Wise","given":"Marshall","non-dropping-particle":"","parse-names":false,"suffix":""}],"container-title":"Global Environmental Change","id":"ITEM-4","issued":{"date-parts":[["2017","1","1"]]},"page":"284-296","publisher":"Elsevier Ltd","title":"The SSP4: A world of deepening inequality","type":"article-journal","volume":"42"},"uris":["http://www.mendeley.com/documents/?uuid=b0c12c5d-180f-38b2-867c-848d4b8672a6"]},{"id":"ITEM-5","itemData":{"DOI":"10.1016/j.gloenvcha.2016.05.015","ISSN":"09593780","abstract":"This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Change","id":"ITEM-5","issued":{"date-parts":[["2017","1","1"]]},"page":"297-315","publisher":"Elsevier Ltd","title":"Fossil-fueled development (SSP5): An energy and resource intensive scenario for the 21st century","type":"article-journal","volume":"42"},"uris":["http://www.mendeley.com/documents/?uuid=76bbdb21-6b9d-3d37-a1d0-365dd6766c19"]},{"id":"ITEM-6","itemData":{"DOI":"10.1016/j.gloenvcha.2016.05.009","ISSN":"09593780","abstract":"This paper presents the overview of the Shared Socioeconomic Pathways (SSPs) and their energy, land use, and emissions implications. The SSPs are part of a new scenario framework, established by the climate change research community in order to facilitate the integrated analysis of future climate impacts, vulnerabilities, adaptation, and mitigation. The pathways were developed over the last years as a joint community effort and describe plausible major global developments that together would lead in the future to different challenges for mitigation and adaptation to climate change. The SSPs are based on five narratives describing alternative socio-economic developments, including sustainable development, regional rivalry, inequality, fossil-fueled development, and middle-of-the-road development. The long-term demographic and economic projections of the SSPs depict a wide uncertainty range consistent with the scenario literature. A multi-model approach was used for the elaboration of the energy, land-use and the emissions trajectories of SSP-based scenarios. The baseline scenarios lead to global energy consumption of 400–1200 EJ in 2100, and feature vastly different land-use dynamics, ranging from a possible reduction in cropland area up to a massive expansion by more than 700 million hectares by 2100. The associated annual CO2 emissions of the baseline scenarios range from about 25 GtCO2 to more than 120 GtCO2 per year by 2100. With respect to mitigation, we find that associated costs strongly depend on three factors: (1) the policy assumptions, (2) the socio-economic narrative, and (3) the stringency of the target. The carbon price for reaching the target of 2.6 W/m2 that is consistent with a temperature change limit of 2 °C, differs in our analysis thus by about a factor of three across the SSP marker scenarios. Moreover, many models could not reach this target from the SSPs with high mitigation challenges. While the SSPs were designed to represent different mitigation and adaptation challenges, the resulting narratives and quantifications span a wide range of different futures broadly representative of the current literature. This allows their subsequent use and development in new assessments and research projects. Critical next steps for the community scenario process will, among others, involve regional and sectoral extensions, further elaboration of the adaptation and impacts dimension, as well as employing the SSP scenarios with the new generatio…","author":[{"dropping-particle":"","family":"Riahi","given":"Keywan","non-dropping-particle":"","parse-names":false,"suffix":""},{"dropping-particle":"","family":"Vuuren","given":"Detlef P.","non-dropping-particle":"van","parse-names":false,"suffix":""},{"dropping-particle":"","family":"Kriegler","given":"Elmar","non-dropping-particle":"","parse-names":false,"suffix":""},{"dropping-particle":"","family":"Edmonds","given":"Jae","non-dropping-particle":"","parse-names":false,"suffix":""},{"dropping-particle":"","family":"O'Neill","given":"Brian C.","non-dropping-particle":"","parse-names":false,"suffix":""},{"dropping-particle":"","family":"Fujimori","given":"Shinichiro","non-dropping-particle":"","parse-names":false,"suffix":""},{"dropping-particle":"","family":"Bauer","given":"Nico","non-dropping-particle":"","parse-names":false,"suffix":""},{"dropping-particle":"","family":"Calvin","given":"Katherine","non-dropping-particle":"","parse-names":false,"suffix":""},{"dropping-particle":"","family":"Dellink","given":"Rob","non-dropping-particle":"","parse-names":false,"suffix":""},{"dropping-particle":"","family":"Fricko","given":"Oliver","non-dropping-particle":"","parse-names":false,"suffix":""},{"dropping-particle":"","family":"Lutz","given":"Wolfgang","non-dropping-particle":"","parse-names":false,"suffix":""},{"dropping-particle":"","family":"Popp","given":"Alexander","non-dropping-particle":"","parse-names":false,"suffix":""},{"dropping-particle":"","family":"Cuaresma","given":"Jesus Crespo","non-dropping-particle":"","parse-names":false,"suffix":""},{"dropping-particle":"","family":"KC","given":"Samir","non-dropping-particle":"","parse-names":false,"suffix":""},{"dropping-particle":"","family":"Leimbach","given":"Marian","non-dropping-particle":"","parse-names":false,"suffix":""},{"dropping-particle":"","family":"Jiang","given":"Leiwen","non-dropping-particle":"","parse-names":false,"suffix":""},{"dropping-particle":"","family":"Kram","given":"Tom","non-dropping-particle":"","parse-names":false,"suffix":""},{"dropping-particle":"","family":"Rao","given":"Shilpa","non-dropping-particle":"","parse-names":false,"suffix":""},{"dropping-particle":"","family":"Emmerling","given":"Johannes","non-dropping-particle":"","parse-names":false,"suffix":""},{"dropping-particle":"","family":"Ebi","given":"Kristie","non-dropping-particle":"","parse-names":false,"suffix":""},{"dropping-particle":"","family":"Hasegawa","given":"Tomoko","non-dropping-particle":"","parse-names":false,"suffix":""},{"dropping-particle":"","family":"Havlik","given":"Petr","non-dropping-particle":"","parse-names":false,"suffix":""},{"dropping-particle":"","family":"Humpenöder","given":"Florian","non-dropping-particle":"","parse-names":false,"suffix":""},{"dropping-particle":"","family":"Silva","given":"Lara Aleluia","non-dropping-particle":"Da","parse-names":false,"suffix":""},{"dropping-particle":"","family":"Smith","given":"Steve","non-dropping-particle":"","parse-names":false,"suffix":""},{"dropping-particle":"","family":"Stehfest","given":"Elke","non-dropping-particle":"","parse-names":false,"suffix":""},{"dropping-particle":"","family":"Bosetti","given":"Valentina","non-dropping-particle":"","parse-names":false,"suffix":""},{"dropping-particle":"","family":"Eom","given":"Jiyong","non-dropping-particle":"","parse-names":false,"suffix":""},{"dropping-particle":"","family":"Gernaat","given":"David","non-dropping-particle":"","parse-names":false,"suffix":""},{"dropping-particle":"","family":"Masui","given":"Toshihiko","non-dropping-particle":"","parse-names":false,"suffix":""},{"dropping-particle":"","family":"Rogelj","given":"Joeri","non-dropping-particle":"","parse-names":false,"suffix":""},{"dropping-particle":"","family":"Strefler","given":"Jessica","non-dropping-particle":"","parse-names":false,"suffix":""},{"dropping-particle":"","family":"Drouet","given":"Laurent","non-dropping-particle":"","parse-names":false,"suffix":""},{"dropping-particle":"","family":"Krey","given":"Volker","non-dropping-particle":"","parse-names":false,"suffix":""},{"dropping-particle":"","family":"Luderer","given":"Gunnar","non-dropping-particle":"","parse-names":false,"suffix":""},{"dropping-particle":"","family":"Harmsen","given":"Mathijs","non-dropping-particle":"","parse-names":false,"suffix":""},{"dropping-particle":"","family":"Takahashi","given":"Kiyoshi","non-dropping-particle":"","parse-names":false,"suffix":""},{"dropping-particle":"","family":"Baumstark","given":"Lavinia","non-dropping-particle":"","parse-names":false,"suffix":""},{"dropping-particle":"","family":"Doelman","given":"Jonathan C.","non-dropping-particle":"","parse-names":false,"suffix":""},{"dropping-particle":"","family":"Kainuma","given":"Mikiko","non-dropping-particle":"","parse-names":false,"suffix":""},{"dropping-particle":"","family":"Klimont","given":"Zbigniew","non-dropping-particle":"","parse-names":false,"suffix":""},{"dropping-particle":"","family":"Marangoni","given":"Giacomo","non-dropping-particle":"","parse-names":false,"suffix":""},{"dropping-particle":"","family":"Lotze-Campen","given":"Hermann","non-dropping-particle":"","parse-names":false,"suffix":""},{"dropping-particle":"","family":"Obersteiner","given":"Michael","non-dropping-particle":"","parse-names":false,"suffix":""},{"dropping-particle":"","family":"Tabeau","given":"Andrzej","non-dropping-particle":"","parse-names":false,"suffix":""},{"dropping-particle":"","family":"Tavoni","given":"Massimo","non-dropping-particle":"","parse-names":false,"suffix":""}],"container-title":"Global Environmental Change","id":"ITEM-6","issued":{"date-parts":[["2017","1","1"]]},"page":"153-168","publisher":"Elsevier Ltd","title":"The Shared Socioeconomic Pathways and their energy, land use, and greenhouse gas emissions implications: An overview","type":"article-journal","volume":"42"},"uris":["http://www.mendeley.com/documents/?uuid=57816b09-c8bd-3a5f-88cc-1ce5e82b24bc"]},{"id":"ITEM-7","itemData":{"DOI":"10.1016/j.gloenvcha.2015.01.004","ISSN":"09593780","abstract":"Long-term scenarios play an important role in research on global environmental change. The climate change research community is developing new scenarios integrating future changes in climate and society to investigate climate impacts as well as options for mitigation and adaptation. One component of these new scenarios is a set of alternative futures of societal development known as the shared socioeconomic pathways (SSPs). The conceptual framework for the design and use of the SSPs calls for the development of global pathways describing the future evolution of key aspects of society that would together imply a range of challenges for mitigating and adapting to climate change. Here we present one component of these pathways: the SSP narratives, a set of five qualitative descriptions of future changes in demographics, human development, economy and lifestyle, policies and institutions, technology, and environment and natural resources. We describe the methods used to develop the narratives as well as how these pathways are hypothesized to produce particular combinations of challenges to mitigation and adaptation. Development of the narratives drew on expert opinion to (1) identify key determinants of these challenges that were essential to incorporate in the narratives and (2) combine these elements in the narratives in a manner consistent with scholarship on their inter-relationships. The narratives are intended as a description of plausible future conditions at the level of large world regions that can serve as a basis for integrated scenarios of emissions and land use, as well as climate impact, adaptation and vulnerability analyses.","author":[{"dropping-particle":"","family":"O'Neill","given":"Brian C.","non-dropping-particle":"","parse-names":false,"suffix":""},{"dropping-particle":"","family":"Kriegler","given":"Elmar","non-dropping-particle":"","parse-names":false,"suffix":""},{"dropping-particle":"","family":"Ebi","given":"Kristie L.","non-dropping-particle":"","parse-names":false,"suffix":""},{"dropping-particle":"","family":"Kemp-Benedict","given":"Eric","non-dropping-particle":"","parse-names":false,"suffix":""},{"dropping-particle":"","family":"Riahi","given":"Keywan","non-dropping-particle":"","parse-names":false,"suffix":""},{"dropping-particle":"","family":"Rothman","given":"Dale S.","non-dropping-particle":"","parse-names":false,"suffix":""},{"dropping-particle":"","family":"Ruijven","given":"Bas J.","non-dropping-particle":"van","parse-names":false,"suffix":""},{"dropping-particle":"","family":"Vuuren","given":"Detlef P.","non-dropping-particle":"van","parse-names":false,"suffix":""},{"dropping-particle":"","family":"Birkmann","given":"Joern","non-dropping-particle":"","parse-names":false,"suffix":""},{"dropping-particle":"","family":"Kok","given":"Kasper","non-dropping-particle":"","parse-names":false,"suffix":""},{"dropping-particle":"","family":"Levy","given":"Marc","non-dropping-particle":"","parse-names":false,"suffix":""},{"dropping-particle":"","family":"Solecki","given":"William","non-dropping-particle":"","parse-names":false,"suffix":""}],"container-title":"Global Environmental Change","id":"ITEM-7","issued":{"date-parts":[["2017","1","1"]]},"page":"169-180","publisher":"Elsevier Ltd","title":"The roads ahead: Narratives for shared socioeconomic pathways describing world futures in the 21st century","type":"article-journal","volume":"42"},"uris":["http://www.mendeley.com/documents/?uuid=fd1fc6c8-524e-306b-9cde-03562a078d0d"]}],"mendeley":{"formattedCitation":"&lt;sup&gt;23–29&lt;/sup&gt;","plainTextFormattedCitation":"23–29","previouslyFormattedCitation":"&lt;sup&gt;24–30&lt;/sup&gt;"},"properties":{"noteIndex":0},"schema":"https://github.com/citation-style-language/schema/raw/master/csl-citation.json"}</w:instrText>
            </w:r>
            <w:r>
              <w:rPr>
                <w:rFonts w:hAnsiTheme="minorHAnsi" w:cstheme="minorHAnsi"/>
                <w:lang w:val="en-US"/>
              </w:rPr>
              <w:fldChar w:fldCharType="separate"/>
            </w:r>
            <w:r w:rsidR="004E25ED" w:rsidRPr="004E25ED">
              <w:rPr>
                <w:rFonts w:hAnsiTheme="minorHAnsi" w:cstheme="minorHAnsi"/>
                <w:noProof/>
                <w:vertAlign w:val="superscript"/>
                <w:lang w:val="en-US"/>
              </w:rPr>
              <w:t>23–29</w:t>
            </w:r>
            <w:r>
              <w:rPr>
                <w:rFonts w:hAnsiTheme="minorHAnsi" w:cstheme="minorHAnsi"/>
                <w:lang w:val="en-US"/>
              </w:rPr>
              <w:fldChar w:fldCharType="end"/>
            </w:r>
          </w:p>
        </w:tc>
      </w:tr>
    </w:tbl>
    <w:p w14:paraId="3D9CBBE5" w14:textId="24FBBD8E" w:rsidR="00852A85" w:rsidRDefault="00852A85" w:rsidP="000843DA">
      <w:pPr>
        <w:rPr>
          <w:lang w:val="en-US"/>
        </w:rPr>
      </w:pPr>
      <w:r w:rsidRPr="002F6F92">
        <w:rPr>
          <w:rFonts w:hAnsiTheme="minorHAnsi" w:cstheme="minorHAnsi"/>
          <w:noProof/>
          <w:sz w:val="20"/>
          <w:szCs w:val="20"/>
          <w:lang w:val="en-US"/>
        </w:rPr>
        <w:drawing>
          <wp:anchor distT="0" distB="0" distL="114300" distR="114300" simplePos="0" relativeHeight="251661312" behindDoc="0" locked="0" layoutInCell="1" allowOverlap="1" wp14:anchorId="5A5086D9" wp14:editId="43BFC450">
            <wp:simplePos x="0" y="0"/>
            <wp:positionH relativeFrom="column">
              <wp:posOffset>1896110</wp:posOffset>
            </wp:positionH>
            <wp:positionV relativeFrom="paragraph">
              <wp:posOffset>197485</wp:posOffset>
            </wp:positionV>
            <wp:extent cx="1890395" cy="1799590"/>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Ps_population.png"/>
                    <pic:cNvPicPr/>
                  </pic:nvPicPr>
                  <pic:blipFill>
                    <a:blip r:embed="rId11">
                      <a:extLst>
                        <a:ext uri="{28A0092B-C50C-407E-A947-70E740481C1C}">
                          <a14:useLocalDpi xmlns:a14="http://schemas.microsoft.com/office/drawing/2010/main" val="0"/>
                        </a:ext>
                      </a:extLst>
                    </a:blip>
                    <a:stretch>
                      <a:fillRect/>
                    </a:stretch>
                  </pic:blipFill>
                  <pic:spPr>
                    <a:xfrm>
                      <a:off x="0" y="0"/>
                      <a:ext cx="1890395" cy="1799590"/>
                    </a:xfrm>
                    <a:prstGeom prst="rect">
                      <a:avLst/>
                    </a:prstGeom>
                  </pic:spPr>
                </pic:pic>
              </a:graphicData>
            </a:graphic>
            <wp14:sizeRelH relativeFrom="margin">
              <wp14:pctWidth>0</wp14:pctWidth>
            </wp14:sizeRelH>
            <wp14:sizeRelV relativeFrom="margin">
              <wp14:pctHeight>0</wp14:pctHeight>
            </wp14:sizeRelV>
          </wp:anchor>
        </w:drawing>
      </w:r>
      <w:r w:rsidRPr="002F6F92">
        <w:rPr>
          <w:rFonts w:hAnsiTheme="minorHAnsi" w:cstheme="minorHAnsi"/>
          <w:noProof/>
          <w:sz w:val="20"/>
          <w:szCs w:val="20"/>
          <w:lang w:val="en-US"/>
        </w:rPr>
        <w:drawing>
          <wp:anchor distT="0" distB="0" distL="114300" distR="114300" simplePos="0" relativeHeight="251659264" behindDoc="0" locked="0" layoutInCell="1" allowOverlap="1" wp14:anchorId="65D1257F" wp14:editId="1E69DA1B">
            <wp:simplePos x="0" y="0"/>
            <wp:positionH relativeFrom="column">
              <wp:posOffset>3738245</wp:posOffset>
            </wp:positionH>
            <wp:positionV relativeFrom="paragraph">
              <wp:posOffset>194310</wp:posOffset>
            </wp:positionV>
            <wp:extent cx="1974215" cy="1799590"/>
            <wp:effectExtent l="0" t="0" r="6985" b="0"/>
            <wp:wrapNone/>
            <wp:docPr id="7" name="Afbeelding 7"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Ps_carbonprice.png"/>
                    <pic:cNvPicPr/>
                  </pic:nvPicPr>
                  <pic:blipFill>
                    <a:blip r:embed="rId12">
                      <a:extLst>
                        <a:ext uri="{28A0092B-C50C-407E-A947-70E740481C1C}">
                          <a14:useLocalDpi xmlns:a14="http://schemas.microsoft.com/office/drawing/2010/main" val="0"/>
                        </a:ext>
                      </a:extLst>
                    </a:blip>
                    <a:stretch>
                      <a:fillRect/>
                    </a:stretch>
                  </pic:blipFill>
                  <pic:spPr>
                    <a:xfrm>
                      <a:off x="0" y="0"/>
                      <a:ext cx="1974215" cy="1799590"/>
                    </a:xfrm>
                    <a:prstGeom prst="rect">
                      <a:avLst/>
                    </a:prstGeom>
                  </pic:spPr>
                </pic:pic>
              </a:graphicData>
            </a:graphic>
            <wp14:sizeRelH relativeFrom="margin">
              <wp14:pctWidth>0</wp14:pctWidth>
            </wp14:sizeRelH>
            <wp14:sizeRelV relativeFrom="margin">
              <wp14:pctHeight>0</wp14:pctHeight>
            </wp14:sizeRelV>
          </wp:anchor>
        </w:drawing>
      </w:r>
      <w:r w:rsidRPr="002F6F92">
        <w:rPr>
          <w:rFonts w:hAnsiTheme="minorHAnsi" w:cstheme="minorHAnsi"/>
          <w:noProof/>
          <w:sz w:val="20"/>
          <w:szCs w:val="20"/>
          <w:lang w:val="en-US"/>
        </w:rPr>
        <w:drawing>
          <wp:anchor distT="0" distB="0" distL="114300" distR="114300" simplePos="0" relativeHeight="251660288" behindDoc="0" locked="0" layoutInCell="1" allowOverlap="1" wp14:anchorId="0F1B78DF" wp14:editId="68A3ACE7">
            <wp:simplePos x="0" y="0"/>
            <wp:positionH relativeFrom="margin">
              <wp:posOffset>0</wp:posOffset>
            </wp:positionH>
            <wp:positionV relativeFrom="paragraph">
              <wp:posOffset>198120</wp:posOffset>
            </wp:positionV>
            <wp:extent cx="1929130" cy="1799590"/>
            <wp:effectExtent l="0" t="0" r="0" b="0"/>
            <wp:wrapThrough wrapText="bothSides">
              <wp:wrapPolygon edited="0">
                <wp:start x="8532" y="0"/>
                <wp:lineTo x="1280" y="2287"/>
                <wp:lineTo x="1493" y="4802"/>
                <wp:lineTo x="0" y="6174"/>
                <wp:lineTo x="0" y="11433"/>
                <wp:lineTo x="853" y="15091"/>
                <wp:lineTo x="1066" y="17606"/>
                <wp:lineTo x="2346" y="18749"/>
                <wp:lineTo x="4053" y="18978"/>
                <wp:lineTo x="4479" y="19893"/>
                <wp:lineTo x="11518" y="21265"/>
                <wp:lineTo x="14078" y="21265"/>
                <wp:lineTo x="20903" y="19893"/>
                <wp:lineTo x="21330" y="18978"/>
                <wp:lineTo x="21330" y="1829"/>
                <wp:lineTo x="20477" y="1143"/>
                <wp:lineTo x="16637" y="0"/>
                <wp:lineTo x="8532"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Ps_GDP.png"/>
                    <pic:cNvPicPr/>
                  </pic:nvPicPr>
                  <pic:blipFill>
                    <a:blip r:embed="rId13">
                      <a:extLst>
                        <a:ext uri="{28A0092B-C50C-407E-A947-70E740481C1C}">
                          <a14:useLocalDpi xmlns:a14="http://schemas.microsoft.com/office/drawing/2010/main" val="0"/>
                        </a:ext>
                      </a:extLst>
                    </a:blip>
                    <a:stretch>
                      <a:fillRect/>
                    </a:stretch>
                  </pic:blipFill>
                  <pic:spPr>
                    <a:xfrm>
                      <a:off x="0" y="0"/>
                      <a:ext cx="1929130" cy="1799590"/>
                    </a:xfrm>
                    <a:prstGeom prst="rect">
                      <a:avLst/>
                    </a:prstGeom>
                  </pic:spPr>
                </pic:pic>
              </a:graphicData>
            </a:graphic>
            <wp14:sizeRelH relativeFrom="margin">
              <wp14:pctWidth>0</wp14:pctWidth>
            </wp14:sizeRelH>
            <wp14:sizeRelV relativeFrom="margin">
              <wp14:pctHeight>0</wp14:pctHeight>
            </wp14:sizeRelV>
          </wp:anchor>
        </w:drawing>
      </w:r>
    </w:p>
    <w:p w14:paraId="0284C3D6" w14:textId="4D87DA4B" w:rsidR="00852A85" w:rsidRDefault="00852A85" w:rsidP="000843DA">
      <w:pPr>
        <w:rPr>
          <w:lang w:val="en-US"/>
        </w:rPr>
      </w:pPr>
    </w:p>
    <w:p w14:paraId="185B1E16" w14:textId="3C254DAA" w:rsidR="00852A85" w:rsidRDefault="00852A85" w:rsidP="000843DA">
      <w:pPr>
        <w:rPr>
          <w:lang w:val="en-US"/>
        </w:rPr>
      </w:pPr>
    </w:p>
    <w:p w14:paraId="15E384FE" w14:textId="37441800" w:rsidR="00852A85" w:rsidRDefault="00852A85" w:rsidP="000843DA">
      <w:pPr>
        <w:rPr>
          <w:lang w:val="en-US"/>
        </w:rPr>
      </w:pPr>
    </w:p>
    <w:p w14:paraId="4A598CEE" w14:textId="4E266CFD" w:rsidR="00852A85" w:rsidRDefault="00852A85" w:rsidP="000843DA">
      <w:pPr>
        <w:rPr>
          <w:lang w:val="en-US"/>
        </w:rPr>
      </w:pPr>
    </w:p>
    <w:p w14:paraId="33301076" w14:textId="5885F5BC" w:rsidR="00852A85" w:rsidRDefault="00852A85" w:rsidP="000843DA">
      <w:pPr>
        <w:rPr>
          <w:lang w:val="en-US"/>
        </w:rPr>
      </w:pPr>
    </w:p>
    <w:p w14:paraId="263101E5" w14:textId="77777777" w:rsidR="00852A85" w:rsidRDefault="00852A85" w:rsidP="000843DA">
      <w:pPr>
        <w:rPr>
          <w:lang w:val="en-US"/>
        </w:rPr>
      </w:pPr>
    </w:p>
    <w:p w14:paraId="223741E9" w14:textId="63F156C4" w:rsidR="00852A85" w:rsidRDefault="00852A85" w:rsidP="000843DA">
      <w:pPr>
        <w:rPr>
          <w:lang w:val="en-US"/>
        </w:rPr>
      </w:pPr>
      <w:r>
        <w:rPr>
          <w:lang w:val="en-US"/>
        </w:rPr>
        <w:t xml:space="preserve">Figure 1 </w:t>
      </w:r>
      <w:proofErr w:type="spellStart"/>
      <w:r>
        <w:rPr>
          <w:lang w:val="en-US"/>
        </w:rPr>
        <w:t>a,b,c</w:t>
      </w:r>
      <w:proofErr w:type="spellEnd"/>
      <w:r>
        <w:rPr>
          <w:lang w:val="en-US"/>
        </w:rPr>
        <w:t>. GDP, Population and Carbon price in the 5 SSPs.</w:t>
      </w:r>
    </w:p>
    <w:p w14:paraId="6FA3FDBC" w14:textId="32746A86" w:rsidR="00852A85" w:rsidRDefault="00852A85" w:rsidP="00852A85">
      <w:pPr>
        <w:jc w:val="center"/>
        <w:rPr>
          <w:lang w:val="en-US"/>
        </w:rPr>
      </w:pPr>
      <w:r w:rsidRPr="002F6F92">
        <w:rPr>
          <w:noProof/>
          <w:sz w:val="20"/>
          <w:szCs w:val="20"/>
          <w:lang w:val="en-US"/>
        </w:rPr>
        <w:drawing>
          <wp:inline distT="0" distB="0" distL="0" distR="0" wp14:anchorId="0C61EA36" wp14:editId="5B8E660C">
            <wp:extent cx="2933700" cy="1856653"/>
            <wp:effectExtent l="0" t="0" r="0" b="0"/>
            <wp:docPr id="6" name="Afbeelding 6"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nsim_EnergyPriceScenarios.png"/>
                    <pic:cNvPicPr/>
                  </pic:nvPicPr>
                  <pic:blipFill rotWithShape="1">
                    <a:blip r:embed="rId14">
                      <a:extLst>
                        <a:ext uri="{28A0092B-C50C-407E-A947-70E740481C1C}">
                          <a14:useLocalDpi xmlns:a14="http://schemas.microsoft.com/office/drawing/2010/main" val="0"/>
                        </a:ext>
                      </a:extLst>
                    </a:blip>
                    <a:srcRect t="2182" b="2887"/>
                    <a:stretch/>
                  </pic:blipFill>
                  <pic:spPr bwMode="auto">
                    <a:xfrm>
                      <a:off x="0" y="0"/>
                      <a:ext cx="3007299" cy="1903231"/>
                    </a:xfrm>
                    <a:prstGeom prst="rect">
                      <a:avLst/>
                    </a:prstGeom>
                    <a:ln>
                      <a:noFill/>
                    </a:ln>
                    <a:extLst>
                      <a:ext uri="{53640926-AAD7-44D8-BBD7-CCE9431645EC}">
                        <a14:shadowObscured xmlns:a14="http://schemas.microsoft.com/office/drawing/2010/main"/>
                      </a:ext>
                    </a:extLst>
                  </pic:spPr>
                </pic:pic>
              </a:graphicData>
            </a:graphic>
          </wp:inline>
        </w:drawing>
      </w:r>
    </w:p>
    <w:p w14:paraId="0E1CCFCF" w14:textId="77348184" w:rsidR="00852A85" w:rsidRDefault="00852A85" w:rsidP="000843DA">
      <w:pPr>
        <w:rPr>
          <w:lang w:val="en-US"/>
        </w:rPr>
      </w:pPr>
      <w:r>
        <w:rPr>
          <w:lang w:val="en-US"/>
        </w:rPr>
        <w:t>Figure 2. Three scenarios for energy price.</w:t>
      </w:r>
    </w:p>
    <w:p w14:paraId="214E77A4" w14:textId="2210BB1B" w:rsidR="000843DA" w:rsidRPr="002F6F92" w:rsidRDefault="002F6F92" w:rsidP="000843DA">
      <w:pPr>
        <w:rPr>
          <w:b/>
          <w:bCs/>
          <w:lang w:val="en-US"/>
        </w:rPr>
      </w:pPr>
      <w:r w:rsidRPr="002F6F92">
        <w:rPr>
          <w:b/>
          <w:bCs/>
          <w:lang w:val="en-US"/>
        </w:rPr>
        <w:lastRenderedPageBreak/>
        <w:t>References</w:t>
      </w:r>
    </w:p>
    <w:p w14:paraId="12C896FD" w14:textId="7A0D3051" w:rsidR="004E25ED" w:rsidRPr="00E16ADE" w:rsidRDefault="000843DA" w:rsidP="004E25ED">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E16ADE">
        <w:rPr>
          <w:lang w:val="en-US"/>
        </w:rPr>
        <w:instrText xml:space="preserve">ADDIN Mendeley Bibliography CSL_BIBLIOGRAPHY </w:instrText>
      </w:r>
      <w:r>
        <w:fldChar w:fldCharType="separate"/>
      </w:r>
      <w:r w:rsidR="004E25ED" w:rsidRPr="00E16ADE">
        <w:rPr>
          <w:rFonts w:ascii="Calibri" w:hAnsi="Calibri" w:cs="Calibri"/>
          <w:noProof/>
          <w:szCs w:val="24"/>
          <w:lang w:val="en-US"/>
        </w:rPr>
        <w:t>1.</w:t>
      </w:r>
      <w:r w:rsidR="004E25ED" w:rsidRPr="00E16ADE">
        <w:rPr>
          <w:rFonts w:ascii="Calibri" w:hAnsi="Calibri" w:cs="Calibri"/>
          <w:noProof/>
          <w:szCs w:val="24"/>
          <w:lang w:val="en-US"/>
        </w:rPr>
        <w:tab/>
        <w:t xml:space="preserve">Bloomberg NEF. </w:t>
      </w:r>
      <w:r w:rsidR="004E25ED" w:rsidRPr="00E16ADE">
        <w:rPr>
          <w:rFonts w:ascii="Calibri" w:hAnsi="Calibri" w:cs="Calibri"/>
          <w:i/>
          <w:iCs/>
          <w:noProof/>
          <w:szCs w:val="24"/>
          <w:lang w:val="en-US"/>
        </w:rPr>
        <w:t>2H 2019 Battery Metals Outlook: Demand Realities</w:t>
      </w:r>
      <w:r w:rsidR="004E25ED" w:rsidRPr="00E16ADE">
        <w:rPr>
          <w:rFonts w:ascii="Calibri" w:hAnsi="Calibri" w:cs="Calibri"/>
          <w:noProof/>
          <w:szCs w:val="24"/>
          <w:lang w:val="en-US"/>
        </w:rPr>
        <w:t>. (2019).</w:t>
      </w:r>
    </w:p>
    <w:p w14:paraId="345510BF"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2.</w:t>
      </w:r>
      <w:r w:rsidRPr="00E16ADE">
        <w:rPr>
          <w:rFonts w:ascii="Calibri" w:hAnsi="Calibri" w:cs="Calibri"/>
          <w:noProof/>
          <w:szCs w:val="24"/>
          <w:lang w:val="en-US"/>
        </w:rPr>
        <w:tab/>
        <w:t xml:space="preserve">Englmann, F. C. &amp; Woeckener, B. </w:t>
      </w:r>
      <w:r w:rsidRPr="00E16ADE">
        <w:rPr>
          <w:rFonts w:ascii="Calibri" w:hAnsi="Calibri" w:cs="Calibri"/>
          <w:i/>
          <w:iCs/>
          <w:noProof/>
          <w:szCs w:val="24"/>
          <w:lang w:val="en-US"/>
        </w:rPr>
        <w:t>Adoptation and Diffusion of Electric Trucks in Urban Freight Transport</w:t>
      </w:r>
      <w:r w:rsidRPr="00E16ADE">
        <w:rPr>
          <w:rFonts w:ascii="Calibri" w:hAnsi="Calibri" w:cs="Calibri"/>
          <w:noProof/>
          <w:szCs w:val="24"/>
          <w:lang w:val="en-US"/>
        </w:rPr>
        <w:t>. (Institüt für Volkswirtschaftslehre und Recht der Universität Stuttgart, 2019).</w:t>
      </w:r>
    </w:p>
    <w:p w14:paraId="3E704900"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3.</w:t>
      </w:r>
      <w:r w:rsidRPr="00E16ADE">
        <w:rPr>
          <w:rFonts w:ascii="Calibri" w:hAnsi="Calibri" w:cs="Calibri"/>
          <w:noProof/>
          <w:szCs w:val="24"/>
          <w:lang w:val="en-US"/>
        </w:rPr>
        <w:tab/>
        <w:t xml:space="preserve">EEA. </w:t>
      </w:r>
      <w:r w:rsidRPr="00E16ADE">
        <w:rPr>
          <w:rFonts w:ascii="Calibri" w:hAnsi="Calibri" w:cs="Calibri"/>
          <w:i/>
          <w:iCs/>
          <w:noProof/>
          <w:szCs w:val="24"/>
          <w:lang w:val="en-US"/>
        </w:rPr>
        <w:t>Size of the vehicle fleet in Europe</w:t>
      </w:r>
      <w:r w:rsidRPr="00E16ADE">
        <w:rPr>
          <w:rFonts w:ascii="Calibri" w:hAnsi="Calibri" w:cs="Calibri"/>
          <w:noProof/>
          <w:szCs w:val="24"/>
          <w:lang w:val="en-US"/>
        </w:rPr>
        <w:t>. (2018).</w:t>
      </w:r>
    </w:p>
    <w:p w14:paraId="74AD6821"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4.</w:t>
      </w:r>
      <w:r w:rsidRPr="00E16ADE">
        <w:rPr>
          <w:rFonts w:ascii="Calibri" w:hAnsi="Calibri" w:cs="Calibri"/>
          <w:noProof/>
          <w:szCs w:val="24"/>
          <w:lang w:val="en-US"/>
        </w:rPr>
        <w:tab/>
        <w:t xml:space="preserve">Sivak, M. </w:t>
      </w:r>
      <w:r w:rsidRPr="00E16ADE">
        <w:rPr>
          <w:rFonts w:ascii="Calibri" w:hAnsi="Calibri" w:cs="Calibri"/>
          <w:i/>
          <w:iCs/>
          <w:noProof/>
          <w:szCs w:val="24"/>
          <w:lang w:val="en-US"/>
        </w:rPr>
        <w:t>PREDICTING VEHICLE SALES FROM GDP IN 48 COUNTRIES: 2005-2011</w:t>
      </w:r>
      <w:r w:rsidRPr="00E16ADE">
        <w:rPr>
          <w:rFonts w:ascii="Calibri" w:hAnsi="Calibri" w:cs="Calibri"/>
          <w:noProof/>
          <w:szCs w:val="24"/>
          <w:lang w:val="en-US"/>
        </w:rPr>
        <w:t>. (2013).</w:t>
      </w:r>
    </w:p>
    <w:p w14:paraId="3B809FBE"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5.</w:t>
      </w:r>
      <w:r w:rsidRPr="00E16ADE">
        <w:rPr>
          <w:rFonts w:ascii="Calibri" w:hAnsi="Calibri" w:cs="Calibri"/>
          <w:noProof/>
          <w:szCs w:val="24"/>
          <w:lang w:val="en-US"/>
        </w:rPr>
        <w:tab/>
        <w:t xml:space="preserve">Auping, W. L. &amp; Pruyt, E. (Un)desired Tantalum? in </w:t>
      </w:r>
      <w:r w:rsidRPr="00E16ADE">
        <w:rPr>
          <w:rFonts w:ascii="Calibri" w:hAnsi="Calibri" w:cs="Calibri"/>
          <w:i/>
          <w:iCs/>
          <w:noProof/>
          <w:szCs w:val="24"/>
          <w:lang w:val="en-US"/>
        </w:rPr>
        <w:t>Proceedings of the 31st International Conference of the System Dynamics Society</w:t>
      </w:r>
      <w:r w:rsidRPr="00E16ADE">
        <w:rPr>
          <w:rFonts w:ascii="Calibri" w:hAnsi="Calibri" w:cs="Calibri"/>
          <w:noProof/>
          <w:szCs w:val="24"/>
          <w:lang w:val="en-US"/>
        </w:rPr>
        <w:t xml:space="preserve"> (2013).</w:t>
      </w:r>
    </w:p>
    <w:p w14:paraId="507D0946" w14:textId="3649A443"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6.</w:t>
      </w:r>
      <w:r w:rsidRPr="00E16ADE">
        <w:rPr>
          <w:rFonts w:ascii="Calibri" w:hAnsi="Calibri" w:cs="Calibri"/>
          <w:noProof/>
          <w:szCs w:val="24"/>
          <w:lang w:val="en-US"/>
        </w:rPr>
        <w:tab/>
        <w:t xml:space="preserve">Faber, B., Krause, B. &amp; Sánchez de la Sierra, R. </w:t>
      </w:r>
      <w:r w:rsidRPr="00E16ADE">
        <w:rPr>
          <w:rFonts w:ascii="Calibri" w:hAnsi="Calibri" w:cs="Calibri"/>
          <w:i/>
          <w:iCs/>
          <w:noProof/>
          <w:szCs w:val="24"/>
          <w:lang w:val="en-US"/>
        </w:rPr>
        <w:t>Artisanal Mining, Livelihoods, and Child Labor in the Cobalt Supply Chain of the Democratic Republic of Congo</w:t>
      </w:r>
      <w:r w:rsidRPr="00E16ADE">
        <w:rPr>
          <w:rFonts w:ascii="Calibri" w:hAnsi="Calibri" w:cs="Calibri"/>
          <w:noProof/>
          <w:szCs w:val="24"/>
          <w:lang w:val="en-US"/>
        </w:rPr>
        <w:t>. http://cega.berkeley.edu/</w:t>
      </w:r>
      <w:r w:rsidR="003D602A" w:rsidRPr="00E16ADE">
        <w:rPr>
          <w:rFonts w:ascii="Calibri" w:hAnsi="Calibri" w:cs="Calibri"/>
          <w:noProof/>
          <w:szCs w:val="24"/>
          <w:lang w:val="en-US"/>
        </w:rPr>
        <w:t>A</w:t>
      </w:r>
      <w:r w:rsidRPr="00E16ADE">
        <w:rPr>
          <w:rFonts w:ascii="Calibri" w:hAnsi="Calibri" w:cs="Calibri"/>
          <w:noProof/>
          <w:szCs w:val="24"/>
          <w:lang w:val="en-US"/>
        </w:rPr>
        <w:t>ets/cega_research_projects/179/CEGA_Report_v2.pdf (2017).</w:t>
      </w:r>
    </w:p>
    <w:p w14:paraId="67D9A6AE"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7.</w:t>
      </w:r>
      <w:r w:rsidRPr="00E16ADE">
        <w:rPr>
          <w:rFonts w:ascii="Calibri" w:hAnsi="Calibri" w:cs="Calibri"/>
          <w:noProof/>
          <w:szCs w:val="24"/>
          <w:lang w:val="en-US"/>
        </w:rPr>
        <w:tab/>
        <w:t>Auping, W. L. The Uncertain Future of Copper: An Exploratory System Dynamics Model and Analysis of the Global Copper System in the Next 40 Years. (Delft University of Technology, 2011).</w:t>
      </w:r>
    </w:p>
    <w:p w14:paraId="23DC62C4"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8.</w:t>
      </w:r>
      <w:r w:rsidRPr="00E16ADE">
        <w:rPr>
          <w:rFonts w:ascii="Calibri" w:hAnsi="Calibri" w:cs="Calibri"/>
          <w:noProof/>
          <w:szCs w:val="24"/>
          <w:lang w:val="en-US"/>
        </w:rPr>
        <w:tab/>
        <w:t>Kindt, P. Private correspondence. (2019).</w:t>
      </w:r>
    </w:p>
    <w:p w14:paraId="58C5AEDA"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9.</w:t>
      </w:r>
      <w:r w:rsidRPr="00E16ADE">
        <w:rPr>
          <w:rFonts w:ascii="Calibri" w:hAnsi="Calibri" w:cs="Calibri"/>
          <w:noProof/>
          <w:szCs w:val="24"/>
          <w:lang w:val="en-US"/>
        </w:rPr>
        <w:tab/>
        <w:t xml:space="preserve">Sverdrup, H. U., Kristin, ·, Ragnarsdottir, V. &amp; Deniz Koca, ·. Integrated Modelling of the Global Cobalt Extraction, Supply, Price and Depletion of Extractable Resources Using the WORLD6 Model. </w:t>
      </w:r>
      <w:r w:rsidRPr="00E16ADE">
        <w:rPr>
          <w:rFonts w:ascii="Calibri" w:hAnsi="Calibri" w:cs="Calibri"/>
          <w:i/>
          <w:iCs/>
          <w:noProof/>
          <w:szCs w:val="24"/>
          <w:lang w:val="en-US"/>
        </w:rPr>
        <w:t>Biophys. Econ. Resour. Qual.</w:t>
      </w:r>
      <w:r w:rsidRPr="00E16ADE">
        <w:rPr>
          <w:rFonts w:ascii="Calibri" w:hAnsi="Calibri" w:cs="Calibri"/>
          <w:noProof/>
          <w:szCs w:val="24"/>
          <w:lang w:val="en-US"/>
        </w:rPr>
        <w:t xml:space="preserve"> </w:t>
      </w:r>
      <w:r w:rsidRPr="00E16ADE">
        <w:rPr>
          <w:rFonts w:ascii="Calibri" w:hAnsi="Calibri" w:cs="Calibri"/>
          <w:b/>
          <w:bCs/>
          <w:noProof/>
          <w:szCs w:val="24"/>
          <w:lang w:val="en-US"/>
        </w:rPr>
        <w:t>2</w:t>
      </w:r>
      <w:r w:rsidRPr="00E16ADE">
        <w:rPr>
          <w:rFonts w:ascii="Calibri" w:hAnsi="Calibri" w:cs="Calibri"/>
          <w:noProof/>
          <w:szCs w:val="24"/>
          <w:lang w:val="en-US"/>
        </w:rPr>
        <w:t>, (2017).</w:t>
      </w:r>
    </w:p>
    <w:p w14:paraId="32D1BD22"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10.</w:t>
      </w:r>
      <w:r w:rsidRPr="00E16ADE">
        <w:rPr>
          <w:rFonts w:ascii="Calibri" w:hAnsi="Calibri" w:cs="Calibri"/>
          <w:noProof/>
          <w:szCs w:val="24"/>
          <w:lang w:val="en-US"/>
        </w:rPr>
        <w:tab/>
        <w:t xml:space="preserve">Koppelaar, R. H. E. M. &amp; Koppelaar, H. The Ore Grade and Depth Influence on Copper Energy Inputs. </w:t>
      </w:r>
      <w:r w:rsidRPr="00E16ADE">
        <w:rPr>
          <w:rFonts w:ascii="Calibri" w:hAnsi="Calibri" w:cs="Calibri"/>
          <w:i/>
          <w:iCs/>
          <w:noProof/>
          <w:szCs w:val="24"/>
          <w:lang w:val="en-US"/>
        </w:rPr>
        <w:t>Biophys. Econ. Resour. Qual.</w:t>
      </w:r>
      <w:r w:rsidRPr="00E16ADE">
        <w:rPr>
          <w:rFonts w:ascii="Calibri" w:hAnsi="Calibri" w:cs="Calibri"/>
          <w:noProof/>
          <w:szCs w:val="24"/>
          <w:lang w:val="en-US"/>
        </w:rPr>
        <w:t xml:space="preserve"> </w:t>
      </w:r>
      <w:r w:rsidRPr="00E16ADE">
        <w:rPr>
          <w:rFonts w:ascii="Calibri" w:hAnsi="Calibri" w:cs="Calibri"/>
          <w:b/>
          <w:bCs/>
          <w:noProof/>
          <w:szCs w:val="24"/>
          <w:lang w:val="en-US"/>
        </w:rPr>
        <w:t>1</w:t>
      </w:r>
      <w:r w:rsidRPr="00E16ADE">
        <w:rPr>
          <w:rFonts w:ascii="Calibri" w:hAnsi="Calibri" w:cs="Calibri"/>
          <w:noProof/>
          <w:szCs w:val="24"/>
          <w:lang w:val="en-US"/>
        </w:rPr>
        <w:t>, (2016).</w:t>
      </w:r>
    </w:p>
    <w:p w14:paraId="33519652" w14:textId="31113AAC"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11.</w:t>
      </w:r>
      <w:r w:rsidRPr="00E16ADE">
        <w:rPr>
          <w:rFonts w:ascii="Calibri" w:hAnsi="Calibri" w:cs="Calibri"/>
          <w:noProof/>
          <w:szCs w:val="24"/>
          <w:lang w:val="en-US"/>
        </w:rPr>
        <w:tab/>
        <w:t xml:space="preserve">Elshkaki, A., Reck, B. K. &amp; Graedel, T. E. Anthropogenic nickel supply, demand, and </w:t>
      </w:r>
      <w:r w:rsidR="003D602A" w:rsidRPr="00E16ADE">
        <w:rPr>
          <w:rFonts w:ascii="Calibri" w:hAnsi="Calibri" w:cs="Calibri"/>
          <w:noProof/>
          <w:szCs w:val="24"/>
          <w:lang w:val="en-US"/>
        </w:rPr>
        <w:t>A</w:t>
      </w:r>
      <w:r w:rsidRPr="00E16ADE">
        <w:rPr>
          <w:rFonts w:ascii="Calibri" w:hAnsi="Calibri" w:cs="Calibri"/>
          <w:noProof/>
          <w:szCs w:val="24"/>
          <w:lang w:val="en-US"/>
        </w:rPr>
        <w:t xml:space="preserve">ociated energy and water use. </w:t>
      </w:r>
      <w:r w:rsidRPr="00E16ADE">
        <w:rPr>
          <w:rFonts w:ascii="Calibri" w:hAnsi="Calibri" w:cs="Calibri"/>
          <w:i/>
          <w:iCs/>
          <w:noProof/>
          <w:szCs w:val="24"/>
          <w:lang w:val="en-US"/>
        </w:rPr>
        <w:t>Resour. Conserv. Recycl.</w:t>
      </w:r>
      <w:r w:rsidRPr="00E16ADE">
        <w:rPr>
          <w:rFonts w:ascii="Calibri" w:hAnsi="Calibri" w:cs="Calibri"/>
          <w:noProof/>
          <w:szCs w:val="24"/>
          <w:lang w:val="en-US"/>
        </w:rPr>
        <w:t xml:space="preserve"> </w:t>
      </w:r>
      <w:r w:rsidRPr="00E16ADE">
        <w:rPr>
          <w:rFonts w:ascii="Calibri" w:hAnsi="Calibri" w:cs="Calibri"/>
          <w:b/>
          <w:bCs/>
          <w:noProof/>
          <w:szCs w:val="24"/>
          <w:lang w:val="en-US"/>
        </w:rPr>
        <w:t>125</w:t>
      </w:r>
      <w:r w:rsidRPr="00E16ADE">
        <w:rPr>
          <w:rFonts w:ascii="Calibri" w:hAnsi="Calibri" w:cs="Calibri"/>
          <w:noProof/>
          <w:szCs w:val="24"/>
          <w:lang w:val="en-US"/>
        </w:rPr>
        <w:t>, 300–307 (2017).</w:t>
      </w:r>
    </w:p>
    <w:p w14:paraId="5C00A0E1"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12.</w:t>
      </w:r>
      <w:r w:rsidRPr="00E16ADE">
        <w:rPr>
          <w:rFonts w:ascii="Calibri" w:hAnsi="Calibri" w:cs="Calibri"/>
          <w:noProof/>
          <w:szCs w:val="24"/>
          <w:lang w:val="en-US"/>
        </w:rPr>
        <w:tab/>
        <w:t xml:space="preserve">AME. </w:t>
      </w:r>
      <w:r w:rsidRPr="00E16ADE">
        <w:rPr>
          <w:rFonts w:ascii="Calibri" w:hAnsi="Calibri" w:cs="Calibri"/>
          <w:i/>
          <w:iCs/>
          <w:noProof/>
          <w:szCs w:val="24"/>
          <w:lang w:val="en-US"/>
        </w:rPr>
        <w:t>Cobalt Equivalent Method Cash Costs curve</w:t>
      </w:r>
      <w:r w:rsidRPr="00E16ADE">
        <w:rPr>
          <w:rFonts w:ascii="Calibri" w:hAnsi="Calibri" w:cs="Calibri"/>
          <w:noProof/>
          <w:szCs w:val="24"/>
          <w:lang w:val="en-US"/>
        </w:rPr>
        <w:t>. (AME Group, 2019).</w:t>
      </w:r>
    </w:p>
    <w:p w14:paraId="1F28B075"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13.</w:t>
      </w:r>
      <w:r w:rsidRPr="00E16ADE">
        <w:rPr>
          <w:rFonts w:ascii="Calibri" w:hAnsi="Calibri" w:cs="Calibri"/>
          <w:noProof/>
          <w:szCs w:val="24"/>
          <w:lang w:val="en-US"/>
        </w:rPr>
        <w:tab/>
        <w:t xml:space="preserve">Glöser, S., Soulier, M. &amp; Tercero Espinoza, L. A. Dynamic analysis of global copper flows. Global stocks, postconsumer material flows, recycling indicators, and uncertainty evaluation. </w:t>
      </w:r>
      <w:r w:rsidRPr="00E16ADE">
        <w:rPr>
          <w:rFonts w:ascii="Calibri" w:hAnsi="Calibri" w:cs="Calibri"/>
          <w:i/>
          <w:iCs/>
          <w:noProof/>
          <w:szCs w:val="24"/>
          <w:lang w:val="en-US"/>
        </w:rPr>
        <w:t>Environ. Sci. Technol.</w:t>
      </w:r>
      <w:r w:rsidRPr="00E16ADE">
        <w:rPr>
          <w:rFonts w:ascii="Calibri" w:hAnsi="Calibri" w:cs="Calibri"/>
          <w:noProof/>
          <w:szCs w:val="24"/>
          <w:lang w:val="en-US"/>
        </w:rPr>
        <w:t xml:space="preserve"> </w:t>
      </w:r>
      <w:r w:rsidRPr="00E16ADE">
        <w:rPr>
          <w:rFonts w:ascii="Calibri" w:hAnsi="Calibri" w:cs="Calibri"/>
          <w:b/>
          <w:bCs/>
          <w:noProof/>
          <w:szCs w:val="24"/>
          <w:lang w:val="en-US"/>
        </w:rPr>
        <w:t>47</w:t>
      </w:r>
      <w:r w:rsidRPr="00E16ADE">
        <w:rPr>
          <w:rFonts w:ascii="Calibri" w:hAnsi="Calibri" w:cs="Calibri"/>
          <w:noProof/>
          <w:szCs w:val="24"/>
          <w:lang w:val="en-US"/>
        </w:rPr>
        <w:t>, 6564–6572 (2013).</w:t>
      </w:r>
    </w:p>
    <w:p w14:paraId="77062E60" w14:textId="3396C13D"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14.</w:t>
      </w:r>
      <w:r w:rsidRPr="00E16ADE">
        <w:rPr>
          <w:rFonts w:ascii="Calibri" w:hAnsi="Calibri" w:cs="Calibri"/>
          <w:noProof/>
          <w:szCs w:val="24"/>
          <w:lang w:val="en-US"/>
        </w:rPr>
        <w:tab/>
        <w:t xml:space="preserve">International Copper </w:t>
      </w:r>
      <w:r w:rsidR="003D602A" w:rsidRPr="00E16ADE">
        <w:rPr>
          <w:rFonts w:ascii="Calibri" w:hAnsi="Calibri" w:cs="Calibri"/>
          <w:noProof/>
          <w:szCs w:val="24"/>
          <w:lang w:val="en-US"/>
        </w:rPr>
        <w:t>A</w:t>
      </w:r>
      <w:r w:rsidRPr="00E16ADE">
        <w:rPr>
          <w:rFonts w:ascii="Calibri" w:hAnsi="Calibri" w:cs="Calibri"/>
          <w:noProof/>
          <w:szCs w:val="24"/>
          <w:lang w:val="en-US"/>
        </w:rPr>
        <w:t xml:space="preserve">ociation. </w:t>
      </w:r>
      <w:r w:rsidRPr="00E16ADE">
        <w:rPr>
          <w:rFonts w:ascii="Calibri" w:hAnsi="Calibri" w:cs="Calibri"/>
          <w:i/>
          <w:iCs/>
          <w:noProof/>
          <w:szCs w:val="24"/>
          <w:lang w:val="en-US"/>
        </w:rPr>
        <w:t>Copper Recycling</w:t>
      </w:r>
      <w:r w:rsidRPr="00E16ADE">
        <w:rPr>
          <w:rFonts w:ascii="Calibri" w:hAnsi="Calibri" w:cs="Calibri"/>
          <w:noProof/>
          <w:szCs w:val="24"/>
          <w:lang w:val="en-US"/>
        </w:rPr>
        <w:t>. (2017). doi:10.1021/es400069b.</w:t>
      </w:r>
    </w:p>
    <w:p w14:paraId="432E09B8"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15.</w:t>
      </w:r>
      <w:r w:rsidRPr="00E16ADE">
        <w:rPr>
          <w:rFonts w:ascii="Calibri" w:hAnsi="Calibri" w:cs="Calibri"/>
          <w:noProof/>
          <w:szCs w:val="24"/>
          <w:lang w:val="en-US"/>
        </w:rPr>
        <w:tab/>
        <w:t>World Bank. World development indicators. https://databank.worldbank.org/home.aspx (2019).</w:t>
      </w:r>
    </w:p>
    <w:p w14:paraId="5837A099"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16.</w:t>
      </w:r>
      <w:r w:rsidRPr="00E16ADE">
        <w:rPr>
          <w:rFonts w:ascii="Calibri" w:hAnsi="Calibri" w:cs="Calibri"/>
          <w:noProof/>
          <w:szCs w:val="24"/>
          <w:lang w:val="en-US"/>
        </w:rPr>
        <w:tab/>
        <w:t xml:space="preserve">ICSG. </w:t>
      </w:r>
      <w:r w:rsidRPr="00E16ADE">
        <w:rPr>
          <w:rFonts w:ascii="Calibri" w:hAnsi="Calibri" w:cs="Calibri"/>
          <w:i/>
          <w:iCs/>
          <w:noProof/>
          <w:szCs w:val="24"/>
          <w:lang w:val="en-US"/>
        </w:rPr>
        <w:t>The World Copper Factbook 2019</w:t>
      </w:r>
      <w:r w:rsidRPr="00E16ADE">
        <w:rPr>
          <w:rFonts w:ascii="Calibri" w:hAnsi="Calibri" w:cs="Calibri"/>
          <w:noProof/>
          <w:szCs w:val="24"/>
          <w:lang w:val="en-US"/>
        </w:rPr>
        <w:t>. (2019).</w:t>
      </w:r>
    </w:p>
    <w:p w14:paraId="6918F5BB"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17.</w:t>
      </w:r>
      <w:r w:rsidRPr="00E16ADE">
        <w:rPr>
          <w:rFonts w:ascii="Calibri" w:hAnsi="Calibri" w:cs="Calibri"/>
          <w:noProof/>
          <w:szCs w:val="24"/>
          <w:lang w:val="en-US"/>
        </w:rPr>
        <w:tab/>
        <w:t xml:space="preserve">INSG. </w:t>
      </w:r>
      <w:r w:rsidRPr="00E16ADE">
        <w:rPr>
          <w:rFonts w:ascii="Calibri" w:hAnsi="Calibri" w:cs="Calibri"/>
          <w:i/>
          <w:iCs/>
          <w:noProof/>
          <w:szCs w:val="24"/>
          <w:lang w:val="en-US"/>
        </w:rPr>
        <w:t>THE WORLD NICKEL FACTBOOK 2018</w:t>
      </w:r>
      <w:r w:rsidRPr="00E16ADE">
        <w:rPr>
          <w:rFonts w:ascii="Calibri" w:hAnsi="Calibri" w:cs="Calibri"/>
          <w:noProof/>
          <w:szCs w:val="24"/>
          <w:lang w:val="en-US"/>
        </w:rPr>
        <w:t>. (2018).</w:t>
      </w:r>
    </w:p>
    <w:p w14:paraId="7D97F334"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18.</w:t>
      </w:r>
      <w:r w:rsidRPr="00E16ADE">
        <w:rPr>
          <w:rFonts w:ascii="Calibri" w:hAnsi="Calibri" w:cs="Calibri"/>
          <w:noProof/>
          <w:szCs w:val="24"/>
          <w:lang w:val="en-US"/>
        </w:rPr>
        <w:tab/>
        <w:t xml:space="preserve">USGS. </w:t>
      </w:r>
      <w:r w:rsidRPr="00E16ADE">
        <w:rPr>
          <w:rFonts w:ascii="Calibri" w:hAnsi="Calibri" w:cs="Calibri"/>
          <w:i/>
          <w:iCs/>
          <w:noProof/>
          <w:szCs w:val="24"/>
          <w:lang w:val="en-US"/>
        </w:rPr>
        <w:t>Mineral Commodity Summaries 2019</w:t>
      </w:r>
      <w:r w:rsidRPr="00E16ADE">
        <w:rPr>
          <w:rFonts w:ascii="Calibri" w:hAnsi="Calibri" w:cs="Calibri"/>
          <w:noProof/>
          <w:szCs w:val="24"/>
          <w:lang w:val="en-US"/>
        </w:rPr>
        <w:t>. (U.S. Geological Survey, 2019). doi:10.3133/70202434.</w:t>
      </w:r>
    </w:p>
    <w:p w14:paraId="4959FDCA" w14:textId="7EE40B59"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19.</w:t>
      </w:r>
      <w:r w:rsidRPr="00E16ADE">
        <w:rPr>
          <w:rFonts w:ascii="Calibri" w:hAnsi="Calibri" w:cs="Calibri"/>
          <w:noProof/>
          <w:szCs w:val="24"/>
          <w:lang w:val="en-US"/>
        </w:rPr>
        <w:tab/>
        <w:t xml:space="preserve">Elshkaki, A., Reck, B. K. &amp; Graedel, T. E. Anthropogenic nickel supply, demand, and </w:t>
      </w:r>
      <w:r w:rsidR="003D602A" w:rsidRPr="00E16ADE">
        <w:rPr>
          <w:rFonts w:ascii="Calibri" w:hAnsi="Calibri" w:cs="Calibri"/>
          <w:noProof/>
          <w:szCs w:val="24"/>
          <w:lang w:val="en-US"/>
        </w:rPr>
        <w:t>A</w:t>
      </w:r>
      <w:r w:rsidRPr="00E16ADE">
        <w:rPr>
          <w:rFonts w:ascii="Calibri" w:hAnsi="Calibri" w:cs="Calibri"/>
          <w:noProof/>
          <w:szCs w:val="24"/>
          <w:lang w:val="en-US"/>
        </w:rPr>
        <w:t xml:space="preserve">ociated energy and water use. </w:t>
      </w:r>
      <w:r w:rsidRPr="00E16ADE">
        <w:rPr>
          <w:rFonts w:ascii="Calibri" w:hAnsi="Calibri" w:cs="Calibri"/>
          <w:i/>
          <w:iCs/>
          <w:noProof/>
          <w:szCs w:val="24"/>
          <w:lang w:val="en-US"/>
        </w:rPr>
        <w:t>Resour. Conserv. Recycl.</w:t>
      </w:r>
      <w:r w:rsidRPr="00E16ADE">
        <w:rPr>
          <w:rFonts w:ascii="Calibri" w:hAnsi="Calibri" w:cs="Calibri"/>
          <w:noProof/>
          <w:szCs w:val="24"/>
          <w:lang w:val="en-US"/>
        </w:rPr>
        <w:t xml:space="preserve"> </w:t>
      </w:r>
      <w:r w:rsidRPr="00E16ADE">
        <w:rPr>
          <w:rFonts w:ascii="Calibri" w:hAnsi="Calibri" w:cs="Calibri"/>
          <w:b/>
          <w:bCs/>
          <w:noProof/>
          <w:szCs w:val="24"/>
          <w:lang w:val="en-US"/>
        </w:rPr>
        <w:t>125</w:t>
      </w:r>
      <w:r w:rsidRPr="00E16ADE">
        <w:rPr>
          <w:rFonts w:ascii="Calibri" w:hAnsi="Calibri" w:cs="Calibri"/>
          <w:noProof/>
          <w:szCs w:val="24"/>
          <w:lang w:val="en-US"/>
        </w:rPr>
        <w:t>, 300–307 (2017).</w:t>
      </w:r>
    </w:p>
    <w:p w14:paraId="1C69F771" w14:textId="0B665FC4"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20.</w:t>
      </w:r>
      <w:r w:rsidRPr="00E16ADE">
        <w:rPr>
          <w:rFonts w:ascii="Calibri" w:hAnsi="Calibri" w:cs="Calibri"/>
          <w:noProof/>
          <w:szCs w:val="24"/>
          <w:lang w:val="en-US"/>
        </w:rPr>
        <w:tab/>
        <w:t xml:space="preserve">Tilton, J. E. </w:t>
      </w:r>
      <w:r w:rsidRPr="00E16ADE">
        <w:rPr>
          <w:rFonts w:ascii="Calibri" w:hAnsi="Calibri" w:cs="Calibri"/>
          <w:i/>
          <w:iCs/>
          <w:noProof/>
          <w:szCs w:val="24"/>
          <w:lang w:val="en-US"/>
        </w:rPr>
        <w:t xml:space="preserve">On Borrowed Time? </w:t>
      </w:r>
      <w:r w:rsidR="003D602A" w:rsidRPr="003D602A">
        <w:rPr>
          <w:rFonts w:ascii="Calibri" w:hAnsi="Calibri" w:cs="Calibri"/>
          <w:i/>
          <w:iCs/>
          <w:noProof/>
          <w:szCs w:val="24"/>
          <w:lang w:val="en-US"/>
        </w:rPr>
        <w:t>A</w:t>
      </w:r>
      <w:r w:rsidRPr="003D602A">
        <w:rPr>
          <w:rFonts w:ascii="Calibri" w:hAnsi="Calibri" w:cs="Calibri"/>
          <w:i/>
          <w:iCs/>
          <w:noProof/>
          <w:szCs w:val="24"/>
          <w:lang w:val="en-US"/>
        </w:rPr>
        <w:t>essing the Threat of Mineral Depletion</w:t>
      </w:r>
      <w:r w:rsidRPr="003D602A">
        <w:rPr>
          <w:rFonts w:ascii="Calibri" w:hAnsi="Calibri" w:cs="Calibri"/>
          <w:noProof/>
          <w:szCs w:val="24"/>
          <w:lang w:val="en-US"/>
        </w:rPr>
        <w:t xml:space="preserve">. </w:t>
      </w:r>
      <w:r w:rsidRPr="00E16ADE">
        <w:rPr>
          <w:rFonts w:ascii="Calibri" w:hAnsi="Calibri" w:cs="Calibri"/>
          <w:noProof/>
          <w:szCs w:val="24"/>
          <w:lang w:val="en-US"/>
        </w:rPr>
        <w:t>(Resources for the Future, 2003).</w:t>
      </w:r>
    </w:p>
    <w:p w14:paraId="2846615A"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21.</w:t>
      </w:r>
      <w:r w:rsidRPr="00E16ADE">
        <w:rPr>
          <w:rFonts w:ascii="Calibri" w:hAnsi="Calibri" w:cs="Calibri"/>
          <w:noProof/>
          <w:szCs w:val="24"/>
          <w:lang w:val="en-US"/>
        </w:rPr>
        <w:tab/>
        <w:t xml:space="preserve">Tilton, J. E. Exhaustible resources and sustainable development. </w:t>
      </w:r>
      <w:r w:rsidRPr="00E16ADE">
        <w:rPr>
          <w:rFonts w:ascii="Calibri" w:hAnsi="Calibri" w:cs="Calibri"/>
          <w:i/>
          <w:iCs/>
          <w:noProof/>
          <w:szCs w:val="24"/>
          <w:lang w:val="en-US"/>
        </w:rPr>
        <w:t>Resour. Policy</w:t>
      </w:r>
      <w:r w:rsidRPr="00E16ADE">
        <w:rPr>
          <w:rFonts w:ascii="Calibri" w:hAnsi="Calibri" w:cs="Calibri"/>
          <w:noProof/>
          <w:szCs w:val="24"/>
          <w:lang w:val="en-US"/>
        </w:rPr>
        <w:t xml:space="preserve"> </w:t>
      </w:r>
      <w:r w:rsidRPr="00E16ADE">
        <w:rPr>
          <w:rFonts w:ascii="Calibri" w:hAnsi="Calibri" w:cs="Calibri"/>
          <w:b/>
          <w:bCs/>
          <w:noProof/>
          <w:szCs w:val="24"/>
          <w:lang w:val="en-US"/>
        </w:rPr>
        <w:t>22</w:t>
      </w:r>
      <w:r w:rsidRPr="00E16ADE">
        <w:rPr>
          <w:rFonts w:ascii="Calibri" w:hAnsi="Calibri" w:cs="Calibri"/>
          <w:noProof/>
          <w:szCs w:val="24"/>
          <w:lang w:val="en-US"/>
        </w:rPr>
        <w:t>, 91–97 (1996).</w:t>
      </w:r>
    </w:p>
    <w:p w14:paraId="2F116F1F"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lastRenderedPageBreak/>
        <w:t>22.</w:t>
      </w:r>
      <w:r w:rsidRPr="00E16ADE">
        <w:rPr>
          <w:rFonts w:ascii="Calibri" w:hAnsi="Calibri" w:cs="Calibri"/>
          <w:noProof/>
          <w:szCs w:val="24"/>
          <w:lang w:val="en-US"/>
        </w:rPr>
        <w:tab/>
        <w:t xml:space="preserve">Prior, T., Giurco, D., Mudd, G., Mason, L. &amp; Behrisch, J. Resource depletion, peak minerals and the implications for sustainable resource management. </w:t>
      </w:r>
      <w:r w:rsidRPr="00E16ADE">
        <w:rPr>
          <w:rFonts w:ascii="Calibri" w:hAnsi="Calibri" w:cs="Calibri"/>
          <w:i/>
          <w:iCs/>
          <w:noProof/>
          <w:szCs w:val="24"/>
          <w:lang w:val="en-US"/>
        </w:rPr>
        <w:t>Glob. Environ. Chang.</w:t>
      </w:r>
      <w:r w:rsidRPr="00E16ADE">
        <w:rPr>
          <w:rFonts w:ascii="Calibri" w:hAnsi="Calibri" w:cs="Calibri"/>
          <w:noProof/>
          <w:szCs w:val="24"/>
          <w:lang w:val="en-US"/>
        </w:rPr>
        <w:t xml:space="preserve"> </w:t>
      </w:r>
      <w:r w:rsidRPr="00E16ADE">
        <w:rPr>
          <w:rFonts w:ascii="Calibri" w:hAnsi="Calibri" w:cs="Calibri"/>
          <w:b/>
          <w:bCs/>
          <w:noProof/>
          <w:szCs w:val="24"/>
          <w:lang w:val="en-US"/>
        </w:rPr>
        <w:t>22</w:t>
      </w:r>
      <w:r w:rsidRPr="00E16ADE">
        <w:rPr>
          <w:rFonts w:ascii="Calibri" w:hAnsi="Calibri" w:cs="Calibri"/>
          <w:noProof/>
          <w:szCs w:val="24"/>
          <w:lang w:val="en-US"/>
        </w:rPr>
        <w:t>, 577–587 (2012).</w:t>
      </w:r>
    </w:p>
    <w:p w14:paraId="4AE0BF4B"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23.</w:t>
      </w:r>
      <w:r w:rsidRPr="00E16ADE">
        <w:rPr>
          <w:rFonts w:ascii="Calibri" w:hAnsi="Calibri" w:cs="Calibri"/>
          <w:noProof/>
          <w:szCs w:val="24"/>
          <w:lang w:val="en-US"/>
        </w:rPr>
        <w:tab/>
        <w:t xml:space="preserve">van Vuuren, D. P. </w:t>
      </w:r>
      <w:r w:rsidRPr="00E16ADE">
        <w:rPr>
          <w:rFonts w:ascii="Calibri" w:hAnsi="Calibri" w:cs="Calibri"/>
          <w:i/>
          <w:iCs/>
          <w:noProof/>
          <w:szCs w:val="24"/>
          <w:lang w:val="en-US"/>
        </w:rPr>
        <w:t>et al.</w:t>
      </w:r>
      <w:r w:rsidRPr="00E16ADE">
        <w:rPr>
          <w:rFonts w:ascii="Calibri" w:hAnsi="Calibri" w:cs="Calibri"/>
          <w:noProof/>
          <w:szCs w:val="24"/>
          <w:lang w:val="en-US"/>
        </w:rPr>
        <w:t xml:space="preserve"> Energy, land-use and greenhouse gas emissions trajectories under a green growth paradigm. </w:t>
      </w:r>
      <w:r w:rsidRPr="00E16ADE">
        <w:rPr>
          <w:rFonts w:ascii="Calibri" w:hAnsi="Calibri" w:cs="Calibri"/>
          <w:i/>
          <w:iCs/>
          <w:noProof/>
          <w:szCs w:val="24"/>
          <w:lang w:val="en-US"/>
        </w:rPr>
        <w:t>Glob. Environ. Chang.</w:t>
      </w:r>
      <w:r w:rsidRPr="00E16ADE">
        <w:rPr>
          <w:rFonts w:ascii="Calibri" w:hAnsi="Calibri" w:cs="Calibri"/>
          <w:noProof/>
          <w:szCs w:val="24"/>
          <w:lang w:val="en-US"/>
        </w:rPr>
        <w:t xml:space="preserve"> </w:t>
      </w:r>
      <w:r w:rsidRPr="00E16ADE">
        <w:rPr>
          <w:rFonts w:ascii="Calibri" w:hAnsi="Calibri" w:cs="Calibri"/>
          <w:b/>
          <w:bCs/>
          <w:noProof/>
          <w:szCs w:val="24"/>
          <w:lang w:val="en-US"/>
        </w:rPr>
        <w:t>42</w:t>
      </w:r>
      <w:r w:rsidRPr="00E16ADE">
        <w:rPr>
          <w:rFonts w:ascii="Calibri" w:hAnsi="Calibri" w:cs="Calibri"/>
          <w:noProof/>
          <w:szCs w:val="24"/>
          <w:lang w:val="en-US"/>
        </w:rPr>
        <w:t>, 237–250 (2017).</w:t>
      </w:r>
    </w:p>
    <w:p w14:paraId="2B178194"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24.</w:t>
      </w:r>
      <w:r w:rsidRPr="00E16ADE">
        <w:rPr>
          <w:rFonts w:ascii="Calibri" w:hAnsi="Calibri" w:cs="Calibri"/>
          <w:noProof/>
          <w:szCs w:val="24"/>
          <w:lang w:val="en-US"/>
        </w:rPr>
        <w:tab/>
        <w:t xml:space="preserve">Fricko, O. </w:t>
      </w:r>
      <w:r w:rsidRPr="00E16ADE">
        <w:rPr>
          <w:rFonts w:ascii="Calibri" w:hAnsi="Calibri" w:cs="Calibri"/>
          <w:i/>
          <w:iCs/>
          <w:noProof/>
          <w:szCs w:val="24"/>
          <w:lang w:val="en-US"/>
        </w:rPr>
        <w:t>et al.</w:t>
      </w:r>
      <w:r w:rsidRPr="00E16ADE">
        <w:rPr>
          <w:rFonts w:ascii="Calibri" w:hAnsi="Calibri" w:cs="Calibri"/>
          <w:noProof/>
          <w:szCs w:val="24"/>
          <w:lang w:val="en-US"/>
        </w:rPr>
        <w:t xml:space="preserve"> The marker quantification of the Shared Socioeconomic Pathway 2: A middle-of-the-road scenario for the 21st century. </w:t>
      </w:r>
      <w:r w:rsidRPr="00E16ADE">
        <w:rPr>
          <w:rFonts w:ascii="Calibri" w:hAnsi="Calibri" w:cs="Calibri"/>
          <w:i/>
          <w:iCs/>
          <w:noProof/>
          <w:szCs w:val="24"/>
          <w:lang w:val="en-US"/>
        </w:rPr>
        <w:t>Glob. Environ. Chang.</w:t>
      </w:r>
      <w:r w:rsidRPr="00E16ADE">
        <w:rPr>
          <w:rFonts w:ascii="Calibri" w:hAnsi="Calibri" w:cs="Calibri"/>
          <w:noProof/>
          <w:szCs w:val="24"/>
          <w:lang w:val="en-US"/>
        </w:rPr>
        <w:t xml:space="preserve"> </w:t>
      </w:r>
      <w:r w:rsidRPr="00E16ADE">
        <w:rPr>
          <w:rFonts w:ascii="Calibri" w:hAnsi="Calibri" w:cs="Calibri"/>
          <w:b/>
          <w:bCs/>
          <w:noProof/>
          <w:szCs w:val="24"/>
          <w:lang w:val="en-US"/>
        </w:rPr>
        <w:t>42</w:t>
      </w:r>
      <w:r w:rsidRPr="00E16ADE">
        <w:rPr>
          <w:rFonts w:ascii="Calibri" w:hAnsi="Calibri" w:cs="Calibri"/>
          <w:noProof/>
          <w:szCs w:val="24"/>
          <w:lang w:val="en-US"/>
        </w:rPr>
        <w:t>, 251–267 (2017).</w:t>
      </w:r>
    </w:p>
    <w:p w14:paraId="3FD2E2BB"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25.</w:t>
      </w:r>
      <w:r w:rsidRPr="00E16ADE">
        <w:rPr>
          <w:rFonts w:ascii="Calibri" w:hAnsi="Calibri" w:cs="Calibri"/>
          <w:noProof/>
          <w:szCs w:val="24"/>
          <w:lang w:val="en-US"/>
        </w:rPr>
        <w:tab/>
        <w:t xml:space="preserve">Fujimori, S. </w:t>
      </w:r>
      <w:r w:rsidRPr="00E16ADE">
        <w:rPr>
          <w:rFonts w:ascii="Calibri" w:hAnsi="Calibri" w:cs="Calibri"/>
          <w:i/>
          <w:iCs/>
          <w:noProof/>
          <w:szCs w:val="24"/>
          <w:lang w:val="en-US"/>
        </w:rPr>
        <w:t>et al.</w:t>
      </w:r>
      <w:r w:rsidRPr="00E16ADE">
        <w:rPr>
          <w:rFonts w:ascii="Calibri" w:hAnsi="Calibri" w:cs="Calibri"/>
          <w:noProof/>
          <w:szCs w:val="24"/>
          <w:lang w:val="en-US"/>
        </w:rPr>
        <w:t xml:space="preserve"> SSP3: AIM implementation of Shared Socioeconomic Pathways. </w:t>
      </w:r>
      <w:r w:rsidRPr="00E16ADE">
        <w:rPr>
          <w:rFonts w:ascii="Calibri" w:hAnsi="Calibri" w:cs="Calibri"/>
          <w:i/>
          <w:iCs/>
          <w:noProof/>
          <w:szCs w:val="24"/>
          <w:lang w:val="en-US"/>
        </w:rPr>
        <w:t>Glob. Environ. Chang.</w:t>
      </w:r>
      <w:r w:rsidRPr="00E16ADE">
        <w:rPr>
          <w:rFonts w:ascii="Calibri" w:hAnsi="Calibri" w:cs="Calibri"/>
          <w:noProof/>
          <w:szCs w:val="24"/>
          <w:lang w:val="en-US"/>
        </w:rPr>
        <w:t xml:space="preserve"> </w:t>
      </w:r>
      <w:r w:rsidRPr="00E16ADE">
        <w:rPr>
          <w:rFonts w:ascii="Calibri" w:hAnsi="Calibri" w:cs="Calibri"/>
          <w:b/>
          <w:bCs/>
          <w:noProof/>
          <w:szCs w:val="24"/>
          <w:lang w:val="en-US"/>
        </w:rPr>
        <w:t>42</w:t>
      </w:r>
      <w:r w:rsidRPr="00E16ADE">
        <w:rPr>
          <w:rFonts w:ascii="Calibri" w:hAnsi="Calibri" w:cs="Calibri"/>
          <w:noProof/>
          <w:szCs w:val="24"/>
          <w:lang w:val="en-US"/>
        </w:rPr>
        <w:t>, 268–283 (2017).</w:t>
      </w:r>
    </w:p>
    <w:p w14:paraId="18510337"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26.</w:t>
      </w:r>
      <w:r w:rsidRPr="00E16ADE">
        <w:rPr>
          <w:rFonts w:ascii="Calibri" w:hAnsi="Calibri" w:cs="Calibri"/>
          <w:noProof/>
          <w:szCs w:val="24"/>
          <w:lang w:val="en-US"/>
        </w:rPr>
        <w:tab/>
        <w:t xml:space="preserve">Calvin, K. </w:t>
      </w:r>
      <w:r w:rsidRPr="00E16ADE">
        <w:rPr>
          <w:rFonts w:ascii="Calibri" w:hAnsi="Calibri" w:cs="Calibri"/>
          <w:i/>
          <w:iCs/>
          <w:noProof/>
          <w:szCs w:val="24"/>
          <w:lang w:val="en-US"/>
        </w:rPr>
        <w:t>et al.</w:t>
      </w:r>
      <w:r w:rsidRPr="00E16ADE">
        <w:rPr>
          <w:rFonts w:ascii="Calibri" w:hAnsi="Calibri" w:cs="Calibri"/>
          <w:noProof/>
          <w:szCs w:val="24"/>
          <w:lang w:val="en-US"/>
        </w:rPr>
        <w:t xml:space="preserve"> The SSP4: A world of deepening inequality. </w:t>
      </w:r>
      <w:r w:rsidRPr="00E16ADE">
        <w:rPr>
          <w:rFonts w:ascii="Calibri" w:hAnsi="Calibri" w:cs="Calibri"/>
          <w:i/>
          <w:iCs/>
          <w:noProof/>
          <w:szCs w:val="24"/>
          <w:lang w:val="en-US"/>
        </w:rPr>
        <w:t>Glob. Environ. Chang.</w:t>
      </w:r>
      <w:r w:rsidRPr="00E16ADE">
        <w:rPr>
          <w:rFonts w:ascii="Calibri" w:hAnsi="Calibri" w:cs="Calibri"/>
          <w:noProof/>
          <w:szCs w:val="24"/>
          <w:lang w:val="en-US"/>
        </w:rPr>
        <w:t xml:space="preserve"> </w:t>
      </w:r>
      <w:r w:rsidRPr="00E16ADE">
        <w:rPr>
          <w:rFonts w:ascii="Calibri" w:hAnsi="Calibri" w:cs="Calibri"/>
          <w:b/>
          <w:bCs/>
          <w:noProof/>
          <w:szCs w:val="24"/>
          <w:lang w:val="en-US"/>
        </w:rPr>
        <w:t>42</w:t>
      </w:r>
      <w:r w:rsidRPr="00E16ADE">
        <w:rPr>
          <w:rFonts w:ascii="Calibri" w:hAnsi="Calibri" w:cs="Calibri"/>
          <w:noProof/>
          <w:szCs w:val="24"/>
          <w:lang w:val="en-US"/>
        </w:rPr>
        <w:t>, 284–296 (2017).</w:t>
      </w:r>
    </w:p>
    <w:p w14:paraId="76F5224E"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27.</w:t>
      </w:r>
      <w:r w:rsidRPr="00E16ADE">
        <w:rPr>
          <w:rFonts w:ascii="Calibri" w:hAnsi="Calibri" w:cs="Calibri"/>
          <w:noProof/>
          <w:szCs w:val="24"/>
          <w:lang w:val="en-US"/>
        </w:rPr>
        <w:tab/>
        <w:t xml:space="preserve">Kriegler, E. </w:t>
      </w:r>
      <w:r w:rsidRPr="00E16ADE">
        <w:rPr>
          <w:rFonts w:ascii="Calibri" w:hAnsi="Calibri" w:cs="Calibri"/>
          <w:i/>
          <w:iCs/>
          <w:noProof/>
          <w:szCs w:val="24"/>
          <w:lang w:val="en-US"/>
        </w:rPr>
        <w:t>et al.</w:t>
      </w:r>
      <w:r w:rsidRPr="00E16ADE">
        <w:rPr>
          <w:rFonts w:ascii="Calibri" w:hAnsi="Calibri" w:cs="Calibri"/>
          <w:noProof/>
          <w:szCs w:val="24"/>
          <w:lang w:val="en-US"/>
        </w:rPr>
        <w:t xml:space="preserve"> Fossil-fueled development (SSP5): An energy and resource intensive scenario for the 21st century. </w:t>
      </w:r>
      <w:r w:rsidRPr="00E16ADE">
        <w:rPr>
          <w:rFonts w:ascii="Calibri" w:hAnsi="Calibri" w:cs="Calibri"/>
          <w:i/>
          <w:iCs/>
          <w:noProof/>
          <w:szCs w:val="24"/>
          <w:lang w:val="en-US"/>
        </w:rPr>
        <w:t>Glob. Environ. Chang.</w:t>
      </w:r>
      <w:r w:rsidRPr="00E16ADE">
        <w:rPr>
          <w:rFonts w:ascii="Calibri" w:hAnsi="Calibri" w:cs="Calibri"/>
          <w:noProof/>
          <w:szCs w:val="24"/>
          <w:lang w:val="en-US"/>
        </w:rPr>
        <w:t xml:space="preserve"> </w:t>
      </w:r>
      <w:r w:rsidRPr="00E16ADE">
        <w:rPr>
          <w:rFonts w:ascii="Calibri" w:hAnsi="Calibri" w:cs="Calibri"/>
          <w:b/>
          <w:bCs/>
          <w:noProof/>
          <w:szCs w:val="24"/>
          <w:lang w:val="en-US"/>
        </w:rPr>
        <w:t>42</w:t>
      </w:r>
      <w:r w:rsidRPr="00E16ADE">
        <w:rPr>
          <w:rFonts w:ascii="Calibri" w:hAnsi="Calibri" w:cs="Calibri"/>
          <w:noProof/>
          <w:szCs w:val="24"/>
          <w:lang w:val="en-US"/>
        </w:rPr>
        <w:t>, 297–315 (2017).</w:t>
      </w:r>
    </w:p>
    <w:p w14:paraId="3531F58F"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28.</w:t>
      </w:r>
      <w:r w:rsidRPr="00E16ADE">
        <w:rPr>
          <w:rFonts w:ascii="Calibri" w:hAnsi="Calibri" w:cs="Calibri"/>
          <w:noProof/>
          <w:szCs w:val="24"/>
          <w:lang w:val="en-US"/>
        </w:rPr>
        <w:tab/>
        <w:t xml:space="preserve">Riahi, K. </w:t>
      </w:r>
      <w:r w:rsidRPr="00E16ADE">
        <w:rPr>
          <w:rFonts w:ascii="Calibri" w:hAnsi="Calibri" w:cs="Calibri"/>
          <w:i/>
          <w:iCs/>
          <w:noProof/>
          <w:szCs w:val="24"/>
          <w:lang w:val="en-US"/>
        </w:rPr>
        <w:t>et al.</w:t>
      </w:r>
      <w:r w:rsidRPr="00E16ADE">
        <w:rPr>
          <w:rFonts w:ascii="Calibri" w:hAnsi="Calibri" w:cs="Calibri"/>
          <w:noProof/>
          <w:szCs w:val="24"/>
          <w:lang w:val="en-US"/>
        </w:rPr>
        <w:t xml:space="preserve"> The Shared Socioeconomic Pathways and their energy, land use, and greenhouse gas emissions implications: An overview. </w:t>
      </w:r>
      <w:r w:rsidRPr="00E16ADE">
        <w:rPr>
          <w:rFonts w:ascii="Calibri" w:hAnsi="Calibri" w:cs="Calibri"/>
          <w:i/>
          <w:iCs/>
          <w:noProof/>
          <w:szCs w:val="24"/>
          <w:lang w:val="en-US"/>
        </w:rPr>
        <w:t>Glob. Environ. Chang.</w:t>
      </w:r>
      <w:r w:rsidRPr="00E16ADE">
        <w:rPr>
          <w:rFonts w:ascii="Calibri" w:hAnsi="Calibri" w:cs="Calibri"/>
          <w:noProof/>
          <w:szCs w:val="24"/>
          <w:lang w:val="en-US"/>
        </w:rPr>
        <w:t xml:space="preserve"> </w:t>
      </w:r>
      <w:r w:rsidRPr="00E16ADE">
        <w:rPr>
          <w:rFonts w:ascii="Calibri" w:hAnsi="Calibri" w:cs="Calibri"/>
          <w:b/>
          <w:bCs/>
          <w:noProof/>
          <w:szCs w:val="24"/>
          <w:lang w:val="en-US"/>
        </w:rPr>
        <w:t>42</w:t>
      </w:r>
      <w:r w:rsidRPr="00E16ADE">
        <w:rPr>
          <w:rFonts w:ascii="Calibri" w:hAnsi="Calibri" w:cs="Calibri"/>
          <w:noProof/>
          <w:szCs w:val="24"/>
          <w:lang w:val="en-US"/>
        </w:rPr>
        <w:t>, 153–168 (2017).</w:t>
      </w:r>
    </w:p>
    <w:p w14:paraId="58A64617"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szCs w:val="24"/>
          <w:lang w:val="en-US"/>
        </w:rPr>
      </w:pPr>
      <w:r w:rsidRPr="00E16ADE">
        <w:rPr>
          <w:rFonts w:ascii="Calibri" w:hAnsi="Calibri" w:cs="Calibri"/>
          <w:noProof/>
          <w:szCs w:val="24"/>
          <w:lang w:val="en-US"/>
        </w:rPr>
        <w:t>29.</w:t>
      </w:r>
      <w:r w:rsidRPr="00E16ADE">
        <w:rPr>
          <w:rFonts w:ascii="Calibri" w:hAnsi="Calibri" w:cs="Calibri"/>
          <w:noProof/>
          <w:szCs w:val="24"/>
          <w:lang w:val="en-US"/>
        </w:rPr>
        <w:tab/>
        <w:t xml:space="preserve">O’Neill, B. C. </w:t>
      </w:r>
      <w:r w:rsidRPr="00E16ADE">
        <w:rPr>
          <w:rFonts w:ascii="Calibri" w:hAnsi="Calibri" w:cs="Calibri"/>
          <w:i/>
          <w:iCs/>
          <w:noProof/>
          <w:szCs w:val="24"/>
          <w:lang w:val="en-US"/>
        </w:rPr>
        <w:t>et al.</w:t>
      </w:r>
      <w:r w:rsidRPr="00E16ADE">
        <w:rPr>
          <w:rFonts w:ascii="Calibri" w:hAnsi="Calibri" w:cs="Calibri"/>
          <w:noProof/>
          <w:szCs w:val="24"/>
          <w:lang w:val="en-US"/>
        </w:rPr>
        <w:t xml:space="preserve"> The roads ahead: Narratives for shared socioeconomic pathways describing world futures in the 21st century. </w:t>
      </w:r>
      <w:r w:rsidRPr="00E16ADE">
        <w:rPr>
          <w:rFonts w:ascii="Calibri" w:hAnsi="Calibri" w:cs="Calibri"/>
          <w:i/>
          <w:iCs/>
          <w:noProof/>
          <w:szCs w:val="24"/>
          <w:lang w:val="en-US"/>
        </w:rPr>
        <w:t>Glob. Environ. Chang.</w:t>
      </w:r>
      <w:r w:rsidRPr="00E16ADE">
        <w:rPr>
          <w:rFonts w:ascii="Calibri" w:hAnsi="Calibri" w:cs="Calibri"/>
          <w:noProof/>
          <w:szCs w:val="24"/>
          <w:lang w:val="en-US"/>
        </w:rPr>
        <w:t xml:space="preserve"> </w:t>
      </w:r>
      <w:r w:rsidRPr="00E16ADE">
        <w:rPr>
          <w:rFonts w:ascii="Calibri" w:hAnsi="Calibri" w:cs="Calibri"/>
          <w:b/>
          <w:bCs/>
          <w:noProof/>
          <w:szCs w:val="24"/>
          <w:lang w:val="en-US"/>
        </w:rPr>
        <w:t>42</w:t>
      </w:r>
      <w:r w:rsidRPr="00E16ADE">
        <w:rPr>
          <w:rFonts w:ascii="Calibri" w:hAnsi="Calibri" w:cs="Calibri"/>
          <w:noProof/>
          <w:szCs w:val="24"/>
          <w:lang w:val="en-US"/>
        </w:rPr>
        <w:t>, 169–180 (2017).</w:t>
      </w:r>
    </w:p>
    <w:p w14:paraId="7DDBC3B5" w14:textId="77777777" w:rsidR="004E25ED" w:rsidRPr="00E16ADE" w:rsidRDefault="004E25ED" w:rsidP="004E25ED">
      <w:pPr>
        <w:widowControl w:val="0"/>
        <w:autoSpaceDE w:val="0"/>
        <w:autoSpaceDN w:val="0"/>
        <w:adjustRightInd w:val="0"/>
        <w:spacing w:line="240" w:lineRule="auto"/>
        <w:ind w:left="640" w:hanging="640"/>
        <w:rPr>
          <w:rFonts w:ascii="Calibri" w:hAnsi="Calibri" w:cs="Calibri"/>
          <w:noProof/>
          <w:lang w:val="en-US"/>
        </w:rPr>
      </w:pPr>
      <w:r w:rsidRPr="00E16ADE">
        <w:rPr>
          <w:rFonts w:ascii="Calibri" w:hAnsi="Calibri" w:cs="Calibri"/>
          <w:noProof/>
          <w:szCs w:val="24"/>
          <w:lang w:val="en-US"/>
        </w:rPr>
        <w:t>30.</w:t>
      </w:r>
      <w:r w:rsidRPr="00E16ADE">
        <w:rPr>
          <w:rFonts w:ascii="Calibri" w:hAnsi="Calibri" w:cs="Calibri"/>
          <w:noProof/>
          <w:szCs w:val="24"/>
          <w:lang w:val="en-US"/>
        </w:rPr>
        <w:tab/>
        <w:t xml:space="preserve">Auping, W. L., Pruyt, E., de Jong, S. &amp; Kwakkel, J. H. Simulating the Impact of Climate Mitigation Policies on Social Unrest in Rentier States. in </w:t>
      </w:r>
      <w:r w:rsidRPr="00E16ADE">
        <w:rPr>
          <w:rFonts w:ascii="Calibri" w:hAnsi="Calibri" w:cs="Calibri"/>
          <w:i/>
          <w:iCs/>
          <w:noProof/>
          <w:szCs w:val="24"/>
          <w:lang w:val="en-US"/>
        </w:rPr>
        <w:t>International System Dynamics Conference</w:t>
      </w:r>
      <w:r w:rsidRPr="00E16ADE">
        <w:rPr>
          <w:rFonts w:ascii="Calibri" w:hAnsi="Calibri" w:cs="Calibri"/>
          <w:noProof/>
          <w:szCs w:val="24"/>
          <w:lang w:val="en-US"/>
        </w:rPr>
        <w:t xml:space="preserve"> (International System Dynamics Society, 2016).</w:t>
      </w:r>
    </w:p>
    <w:p w14:paraId="4E507E3C" w14:textId="54FAF901" w:rsidR="00FA0AB3" w:rsidRDefault="000843DA">
      <w:r>
        <w:fldChar w:fldCharType="end"/>
      </w:r>
    </w:p>
    <w:sectPr w:rsidR="00FA0AB3" w:rsidSect="00357427">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ika van der Linden - TBM" w:date="2020-06-16T09:37:00Z" w:initials="EvdL-T">
    <w:p w14:paraId="14C765ED" w14:textId="53895374" w:rsidR="00E51D3A" w:rsidRDefault="00E51D3A">
      <w:pPr>
        <w:pStyle w:val="Tekstopmerking"/>
      </w:pPr>
      <w:r>
        <w:rPr>
          <w:rStyle w:val="Verwijzingopmerking"/>
        </w:rPr>
        <w:annotationRef/>
      </w:r>
      <w:r>
        <w:t>Voeg beschrijvende alinea</w:t>
      </w:r>
      <w:r>
        <w:t>’</w:t>
      </w:r>
      <w:r>
        <w:t>s toe</w:t>
      </w:r>
    </w:p>
  </w:comment>
  <w:comment w:id="2" w:author="Erika van der Linden - TBM" w:date="2020-06-16T09:37:00Z" w:initials="EvdL-T">
    <w:p w14:paraId="16501B5D" w14:textId="4EF7D586" w:rsidR="00E51D3A" w:rsidRDefault="00E51D3A">
      <w:pPr>
        <w:pStyle w:val="Tekstopmerking"/>
      </w:pPr>
      <w:r>
        <w:rPr>
          <w:rStyle w:val="Verwijzingopmerking"/>
        </w:rPr>
        <w:annotationRef/>
      </w:r>
      <w:proofErr w:type="spellStart"/>
      <w:r>
        <w:t>Add</w:t>
      </w:r>
      <w:proofErr w:type="spellEnd"/>
      <w:r>
        <w:t xml:space="preserve"> </w:t>
      </w:r>
      <w:proofErr w:type="spellStart"/>
      <w:r>
        <w:t>reasoning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C765ED" w15:done="0"/>
  <w15:commentEx w15:paraId="16501B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114F" w16cex:dateUtc="2020-06-16T07:37:00Z"/>
  <w16cex:commentExtensible w16cex:durableId="2293113C" w16cex:dateUtc="2020-06-16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C765ED" w16cid:durableId="2293114F"/>
  <w16cid:commentId w16cid:paraId="16501B5D" w16cid:durableId="229311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B4E96" w14:textId="77777777" w:rsidR="00514997" w:rsidRDefault="00514997">
      <w:pPr>
        <w:spacing w:after="0" w:line="240" w:lineRule="auto"/>
      </w:pPr>
      <w:r>
        <w:separator/>
      </w:r>
    </w:p>
  </w:endnote>
  <w:endnote w:type="continuationSeparator" w:id="0">
    <w:p w14:paraId="2A68985F" w14:textId="77777777" w:rsidR="00514997" w:rsidRDefault="00514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Utopia-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70090"/>
      <w:docPartObj>
        <w:docPartGallery w:val="Page Numbers (Bottom of Page)"/>
        <w:docPartUnique/>
      </w:docPartObj>
    </w:sdtPr>
    <w:sdtContent>
      <w:p w14:paraId="2A390E67" w14:textId="77777777" w:rsidR="00E51D3A" w:rsidRDefault="00E51D3A">
        <w:pPr>
          <w:pStyle w:val="Voettekst"/>
          <w:jc w:val="right"/>
        </w:pPr>
        <w:r>
          <w:fldChar w:fldCharType="begin"/>
        </w:r>
        <w:r>
          <w:instrText>PAGE   \* MERGEFORMAT</w:instrText>
        </w:r>
        <w:r>
          <w:fldChar w:fldCharType="separate"/>
        </w:r>
        <w:r>
          <w:t>2</w:t>
        </w:r>
        <w:r>
          <w:fldChar w:fldCharType="end"/>
        </w:r>
      </w:p>
    </w:sdtContent>
  </w:sdt>
  <w:p w14:paraId="69EA5238" w14:textId="77777777" w:rsidR="00E51D3A" w:rsidRDefault="00E51D3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E6D17" w14:textId="77777777" w:rsidR="00514997" w:rsidRDefault="00514997">
      <w:pPr>
        <w:spacing w:after="0" w:line="240" w:lineRule="auto"/>
      </w:pPr>
      <w:r>
        <w:separator/>
      </w:r>
    </w:p>
  </w:footnote>
  <w:footnote w:type="continuationSeparator" w:id="0">
    <w:p w14:paraId="7EB2680F" w14:textId="77777777" w:rsidR="00514997" w:rsidRDefault="005149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ka van der Linden - TBM">
    <w15:presenceInfo w15:providerId="None" w15:userId="Erika van der Linden - TB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DA"/>
    <w:rsid w:val="000707B0"/>
    <w:rsid w:val="000843DA"/>
    <w:rsid w:val="00092585"/>
    <w:rsid w:val="000B1EDF"/>
    <w:rsid w:val="002D47EB"/>
    <w:rsid w:val="002F6F92"/>
    <w:rsid w:val="00357427"/>
    <w:rsid w:val="003D602A"/>
    <w:rsid w:val="004E25ED"/>
    <w:rsid w:val="00514997"/>
    <w:rsid w:val="00852A85"/>
    <w:rsid w:val="008928EC"/>
    <w:rsid w:val="00916DC5"/>
    <w:rsid w:val="009F4043"/>
    <w:rsid w:val="00A030F9"/>
    <w:rsid w:val="00A81EFA"/>
    <w:rsid w:val="00A94F6B"/>
    <w:rsid w:val="00B2171F"/>
    <w:rsid w:val="00B44741"/>
    <w:rsid w:val="00B635B2"/>
    <w:rsid w:val="00C50B5C"/>
    <w:rsid w:val="00C544CF"/>
    <w:rsid w:val="00CC7A86"/>
    <w:rsid w:val="00CD654F"/>
    <w:rsid w:val="00D52BE2"/>
    <w:rsid w:val="00E16ADE"/>
    <w:rsid w:val="00E23C2E"/>
    <w:rsid w:val="00E50857"/>
    <w:rsid w:val="00E51D3A"/>
    <w:rsid w:val="00E83930"/>
    <w:rsid w:val="00EA1677"/>
    <w:rsid w:val="00F43364"/>
    <w:rsid w:val="00F72F4F"/>
    <w:rsid w:val="00FA0AB3"/>
    <w:rsid w:val="00FA5619"/>
    <w:rsid w:val="00FE6B4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6747D"/>
  <w15:chartTrackingRefBased/>
  <w15:docId w15:val="{E1D34306-7914-46C7-9D2B-2E6E2FA5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43DA"/>
  </w:style>
  <w:style w:type="paragraph" w:styleId="Kop1">
    <w:name w:val="heading 1"/>
    <w:basedOn w:val="Standaard"/>
    <w:next w:val="Standaard"/>
    <w:link w:val="Kop1Char"/>
    <w:uiPriority w:val="9"/>
    <w:qFormat/>
    <w:rsid w:val="00084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43DA"/>
    <w:rPr>
      <w:rFonts w:asciiTheme="majorHAnsi" w:eastAsiaTheme="majorEastAsia" w:hAnsiTheme="majorHAnsi" w:cstheme="majorBidi"/>
      <w:color w:val="2F5496" w:themeColor="accent1" w:themeShade="BF"/>
      <w:sz w:val="32"/>
      <w:szCs w:val="32"/>
    </w:rPr>
  </w:style>
  <w:style w:type="paragraph" w:styleId="Voettekst">
    <w:name w:val="footer"/>
    <w:basedOn w:val="Standaard"/>
    <w:link w:val="VoettekstChar"/>
    <w:uiPriority w:val="99"/>
    <w:unhideWhenUsed/>
    <w:rsid w:val="000843DA"/>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0843DA"/>
  </w:style>
  <w:style w:type="table" w:styleId="Onopgemaaktetabel2">
    <w:name w:val="Plain Table 2"/>
    <w:basedOn w:val="Standaardtabel"/>
    <w:uiPriority w:val="42"/>
    <w:rsid w:val="000843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ntekst">
    <w:name w:val="Balloon Text"/>
    <w:basedOn w:val="Standaard"/>
    <w:link w:val="BallontekstChar"/>
    <w:uiPriority w:val="99"/>
    <w:semiHidden/>
    <w:unhideWhenUsed/>
    <w:rsid w:val="000843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843DA"/>
    <w:rPr>
      <w:rFonts w:ascii="Segoe UI" w:hAnsi="Segoe UI" w:cs="Segoe UI"/>
      <w:sz w:val="18"/>
      <w:szCs w:val="18"/>
    </w:rPr>
  </w:style>
  <w:style w:type="character" w:styleId="Verwijzingopmerking">
    <w:name w:val="annotation reference"/>
    <w:basedOn w:val="Standaardalinea-lettertype"/>
    <w:uiPriority w:val="99"/>
    <w:semiHidden/>
    <w:unhideWhenUsed/>
    <w:rsid w:val="00FA5619"/>
    <w:rPr>
      <w:sz w:val="16"/>
      <w:szCs w:val="16"/>
    </w:rPr>
  </w:style>
  <w:style w:type="paragraph" w:styleId="Tekstopmerking">
    <w:name w:val="annotation text"/>
    <w:basedOn w:val="Standaard"/>
    <w:link w:val="TekstopmerkingChar"/>
    <w:uiPriority w:val="99"/>
    <w:semiHidden/>
    <w:unhideWhenUsed/>
    <w:rsid w:val="00FA561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A5619"/>
    <w:rPr>
      <w:sz w:val="20"/>
      <w:szCs w:val="20"/>
    </w:rPr>
  </w:style>
  <w:style w:type="paragraph" w:styleId="Onderwerpvanopmerking">
    <w:name w:val="annotation subject"/>
    <w:basedOn w:val="Tekstopmerking"/>
    <w:next w:val="Tekstopmerking"/>
    <w:link w:val="OnderwerpvanopmerkingChar"/>
    <w:uiPriority w:val="99"/>
    <w:semiHidden/>
    <w:unhideWhenUsed/>
    <w:rsid w:val="00FA5619"/>
    <w:rPr>
      <w:b/>
      <w:bCs/>
    </w:rPr>
  </w:style>
  <w:style w:type="character" w:customStyle="1" w:styleId="OnderwerpvanopmerkingChar">
    <w:name w:val="Onderwerp van opmerking Char"/>
    <w:basedOn w:val="TekstopmerkingChar"/>
    <w:link w:val="Onderwerpvanopmerking"/>
    <w:uiPriority w:val="99"/>
    <w:semiHidden/>
    <w:rsid w:val="00FA56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789B8-E89E-4B8A-93F2-6D307A22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23734</Words>
  <Characters>135286</Characters>
  <Application>Microsoft Office Word</Application>
  <DocSecurity>0</DocSecurity>
  <Lines>1127</Lines>
  <Paragraphs>317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van der Linden - TBM</dc:creator>
  <cp:keywords/>
  <dc:description/>
  <cp:lastModifiedBy>Erika van der Linden - TBM</cp:lastModifiedBy>
  <cp:revision>12</cp:revision>
  <dcterms:created xsi:type="dcterms:W3CDTF">2020-06-09T11:35:00Z</dcterms:created>
  <dcterms:modified xsi:type="dcterms:W3CDTF">2020-06-16T12:41:00Z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6ee6de74-ffb5-3147-8772-dc31e76d67f8</vt:lpwstr>
  </property>
  <property fmtid="{D5CDD505-2E9C-101B-9397-08002B2CF9AE}" pid="24" name="Mendeley Citation Style_1">
    <vt:lpwstr>http://www.zotero.org/styles/nature</vt:lpwstr>
  </property>
</Properties>
</file>