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B7BA0" w14:textId="77777777" w:rsidR="006172D7" w:rsidRPr="006172D7" w:rsidRDefault="006172D7" w:rsidP="006172D7">
      <w:pPr>
        <w:rPr>
          <w:b/>
        </w:rPr>
      </w:pPr>
      <w:r w:rsidRPr="006172D7">
        <w:rPr>
          <w:b/>
        </w:rPr>
        <w:t>Antiepileptic drug treatment after an unprovoked first seizure: A decision analysis</w:t>
      </w:r>
    </w:p>
    <w:p w14:paraId="683503C6" w14:textId="77777777" w:rsidR="007901B6" w:rsidRDefault="007901B6"/>
    <w:p w14:paraId="162A11FF" w14:textId="1CC429AE" w:rsidR="001F1F11" w:rsidRPr="007A7800" w:rsidRDefault="00DE3950" w:rsidP="001F1F11">
      <w:pPr>
        <w:outlineLvl w:val="0"/>
      </w:pPr>
      <w:r w:rsidRPr="007A7800">
        <w:t>Erik</w:t>
      </w:r>
      <w:r>
        <w:t xml:space="preserve"> L.</w:t>
      </w:r>
      <w:r w:rsidRPr="007A7800">
        <w:t xml:space="preserve"> Bao</w:t>
      </w:r>
      <w:r w:rsidRPr="007A7800">
        <w:rPr>
          <w:vertAlign w:val="superscript"/>
        </w:rPr>
        <w:t>1*</w:t>
      </w:r>
      <w:r w:rsidRPr="007A7800">
        <w:t xml:space="preserve">, </w:t>
      </w:r>
      <w:r w:rsidR="001F1F11" w:rsidRPr="007A7800">
        <w:t>Ling-</w:t>
      </w:r>
      <w:proofErr w:type="spellStart"/>
      <w:r w:rsidR="001F1F11" w:rsidRPr="007A7800">
        <w:t>Ya</w:t>
      </w:r>
      <w:proofErr w:type="spellEnd"/>
      <w:r w:rsidR="001F1F11" w:rsidRPr="007A7800">
        <w:t xml:space="preserve"> Chao</w:t>
      </w:r>
      <w:r w:rsidR="001F1F11" w:rsidRPr="007A7800">
        <w:rPr>
          <w:vertAlign w:val="superscript"/>
        </w:rPr>
        <w:t>1*</w:t>
      </w:r>
      <w:r w:rsidR="001F1F11" w:rsidRPr="007A7800">
        <w:t xml:space="preserve">, </w:t>
      </w:r>
      <w:proofErr w:type="spellStart"/>
      <w:r w:rsidR="001F1F11" w:rsidRPr="007A7800">
        <w:t>Peiyun</w:t>
      </w:r>
      <w:proofErr w:type="spellEnd"/>
      <w:r w:rsidR="001F1F11" w:rsidRPr="007A7800">
        <w:t xml:space="preserve"> Ni</w:t>
      </w:r>
      <w:r w:rsidR="001F1F11" w:rsidRPr="007A7800">
        <w:rPr>
          <w:vertAlign w:val="superscript"/>
        </w:rPr>
        <w:t>1*</w:t>
      </w:r>
      <w:r w:rsidR="001F1F11" w:rsidRPr="007A7800">
        <w:t>, Lidia M.V.R. Moura</w:t>
      </w:r>
      <w:r w:rsidR="001F1F11" w:rsidRPr="007A7800">
        <w:rPr>
          <w:vertAlign w:val="superscript"/>
        </w:rPr>
        <w:t>2</w:t>
      </w:r>
      <w:r w:rsidR="001F1F11" w:rsidRPr="007A7800">
        <w:t xml:space="preserve">, Andrew </w:t>
      </w:r>
      <w:r w:rsidR="001F1F11">
        <w:t xml:space="preserve">J. </w:t>
      </w:r>
      <w:r w:rsidR="001F1F11" w:rsidRPr="007A7800">
        <w:t>Cole</w:t>
      </w:r>
      <w:r w:rsidR="001F1F11" w:rsidRPr="007A7800">
        <w:rPr>
          <w:vertAlign w:val="superscript"/>
        </w:rPr>
        <w:t>2</w:t>
      </w:r>
      <w:r w:rsidR="001F1F11" w:rsidRPr="007A7800">
        <w:t xml:space="preserve">, Sydney </w:t>
      </w:r>
      <w:r w:rsidR="001F1F11">
        <w:t xml:space="preserve">S. </w:t>
      </w:r>
      <w:r w:rsidR="001F1F11" w:rsidRPr="007A7800">
        <w:t>Cash</w:t>
      </w:r>
      <w:r w:rsidR="001F1F11" w:rsidRPr="007A7800">
        <w:rPr>
          <w:vertAlign w:val="superscript"/>
        </w:rPr>
        <w:t>2</w:t>
      </w:r>
      <w:r w:rsidR="001F1F11" w:rsidRPr="007A7800">
        <w:t>, Daniel</w:t>
      </w:r>
      <w:r w:rsidR="001F1F11">
        <w:t xml:space="preserve"> B.</w:t>
      </w:r>
      <w:r w:rsidR="001F1F11" w:rsidRPr="007A7800">
        <w:t xml:space="preserve"> Hoch</w:t>
      </w:r>
      <w:r w:rsidR="001F1F11" w:rsidRPr="007A7800">
        <w:rPr>
          <w:vertAlign w:val="superscript"/>
        </w:rPr>
        <w:t>2</w:t>
      </w:r>
      <w:r w:rsidR="001F1F11" w:rsidRPr="007A7800">
        <w:t>, Matt T. Bianchi</w:t>
      </w:r>
      <w:r w:rsidR="001F1F11" w:rsidRPr="007A7800">
        <w:rPr>
          <w:vertAlign w:val="superscript"/>
        </w:rPr>
        <w:t>2+</w:t>
      </w:r>
      <w:r w:rsidR="001F1F11" w:rsidRPr="007A7800">
        <w:t>, M. Brandon Westover</w:t>
      </w:r>
      <w:r w:rsidR="001F1F11" w:rsidRPr="007A7800">
        <w:rPr>
          <w:vertAlign w:val="superscript"/>
        </w:rPr>
        <w:t>2+</w:t>
      </w:r>
    </w:p>
    <w:p w14:paraId="670125DF" w14:textId="77777777" w:rsidR="001F1F11" w:rsidRPr="007A7800" w:rsidRDefault="001F1F11" w:rsidP="001F1F11">
      <w:pPr>
        <w:tabs>
          <w:tab w:val="left" w:pos="0"/>
        </w:tabs>
        <w:rPr>
          <w:vertAlign w:val="superscript"/>
        </w:rPr>
      </w:pPr>
    </w:p>
    <w:p w14:paraId="55BEA56F" w14:textId="77777777" w:rsidR="00321DFB" w:rsidRPr="007A7800" w:rsidRDefault="00321DFB" w:rsidP="00321DFB">
      <w:pPr>
        <w:tabs>
          <w:tab w:val="left" w:pos="0"/>
        </w:tabs>
        <w:rPr>
          <w:vertAlign w:val="superscript"/>
        </w:rPr>
      </w:pPr>
      <w:r w:rsidRPr="007A7800">
        <w:rPr>
          <w:vertAlign w:val="superscript"/>
        </w:rPr>
        <w:t xml:space="preserve">1 </w:t>
      </w:r>
      <w:r w:rsidRPr="007A7800">
        <w:t>Harvard-MIT Health Sciences and Technology, Harvard Medical School, Boston, MA</w:t>
      </w:r>
      <w:r>
        <w:t>, USA.</w:t>
      </w:r>
      <w:r w:rsidRPr="007A7800">
        <w:t xml:space="preserve"> </w:t>
      </w:r>
    </w:p>
    <w:p w14:paraId="0DDD65AC" w14:textId="77777777" w:rsidR="00321DFB" w:rsidRPr="007A7800" w:rsidRDefault="00321DFB" w:rsidP="00321DFB">
      <w:pPr>
        <w:tabs>
          <w:tab w:val="left" w:pos="0"/>
        </w:tabs>
        <w:rPr>
          <w:vertAlign w:val="superscript"/>
        </w:rPr>
      </w:pPr>
      <w:r w:rsidRPr="007A7800">
        <w:rPr>
          <w:vertAlign w:val="superscript"/>
        </w:rPr>
        <w:t>2</w:t>
      </w:r>
      <w:r>
        <w:rPr>
          <w:vertAlign w:val="superscript"/>
        </w:rPr>
        <w:t xml:space="preserve"> </w:t>
      </w:r>
      <w:r>
        <w:t>Department of N</w:t>
      </w:r>
      <w:r w:rsidRPr="007A7800">
        <w:t>eurology, Massachuset</w:t>
      </w:r>
      <w:r>
        <w:t xml:space="preserve">ts General Hospital, Boston, MA, USA. </w:t>
      </w:r>
    </w:p>
    <w:p w14:paraId="13D965FB" w14:textId="77777777" w:rsidR="001F1F11" w:rsidRDefault="001F1F11"/>
    <w:p w14:paraId="5241B51E" w14:textId="77777777" w:rsidR="00E41A57" w:rsidRPr="00CA265A" w:rsidRDefault="00E41A57" w:rsidP="00E41A57">
      <w:pPr>
        <w:rPr>
          <w:color w:val="000000" w:themeColor="text1"/>
        </w:rPr>
      </w:pPr>
      <w:r w:rsidRPr="00CA265A">
        <w:rPr>
          <w:color w:val="000000" w:themeColor="text1"/>
        </w:rPr>
        <w:t>* These authors contributed equally to the manuscript.</w:t>
      </w:r>
    </w:p>
    <w:p w14:paraId="236F6D61" w14:textId="31D49483" w:rsidR="00F45BE1" w:rsidRPr="008C5EA5" w:rsidRDefault="00E41A57">
      <w:pPr>
        <w:rPr>
          <w:color w:val="000000" w:themeColor="text1"/>
        </w:rPr>
      </w:pPr>
      <w:r w:rsidRPr="00CA265A">
        <w:rPr>
          <w:color w:val="000000" w:themeColor="text1"/>
          <w:vertAlign w:val="superscript"/>
        </w:rPr>
        <w:t>+</w:t>
      </w:r>
      <w:r w:rsidRPr="00CA265A">
        <w:rPr>
          <w:color w:val="000000" w:themeColor="text1"/>
        </w:rPr>
        <w:t xml:space="preserve"> These authors contributed equally to the manuscript.</w:t>
      </w:r>
    </w:p>
    <w:p w14:paraId="04C3D6C4" w14:textId="77777777" w:rsidR="00F45BE1" w:rsidRDefault="00F45BE1"/>
    <w:p w14:paraId="37F32080" w14:textId="0BE9751D" w:rsidR="00A02BFD" w:rsidRDefault="002E7010">
      <w:pPr>
        <w:rPr>
          <w:b/>
        </w:rPr>
      </w:pPr>
      <w:r>
        <w:rPr>
          <w:b/>
        </w:rPr>
        <w:t>Supplemental Data</w:t>
      </w:r>
    </w:p>
    <w:p w14:paraId="78A5CE54" w14:textId="77777777" w:rsidR="002E7010" w:rsidRDefault="002E7010">
      <w:pPr>
        <w:rPr>
          <w:b/>
        </w:rPr>
      </w:pPr>
    </w:p>
    <w:p w14:paraId="163E921C" w14:textId="7977F4F7" w:rsidR="002E7010" w:rsidRDefault="002E7010">
      <w:pPr>
        <w:rPr>
          <w:b/>
        </w:rPr>
      </w:pPr>
      <w:r>
        <w:rPr>
          <w:b/>
        </w:rPr>
        <w:t>Appendix e-1</w:t>
      </w:r>
    </w:p>
    <w:p w14:paraId="41F0EF7C" w14:textId="77777777" w:rsidR="009E2A89" w:rsidRPr="00B208D8" w:rsidRDefault="009E2A89"/>
    <w:p w14:paraId="3C1158DB" w14:textId="02E694D4" w:rsidR="007B0B80" w:rsidRPr="00357024" w:rsidRDefault="00357024" w:rsidP="00C12EB8">
      <w:pPr>
        <w:spacing w:line="480" w:lineRule="auto"/>
        <w:rPr>
          <w:b/>
        </w:rPr>
      </w:pPr>
      <w:r>
        <w:rPr>
          <w:b/>
        </w:rPr>
        <w:t>Calculation of utility</w:t>
      </w:r>
      <w:r w:rsidR="00FD06FF">
        <w:rPr>
          <w:b/>
        </w:rPr>
        <w:t xml:space="preserve"> of antiepileptic drug </w:t>
      </w:r>
      <w:r w:rsidR="00782E68">
        <w:rPr>
          <w:b/>
        </w:rPr>
        <w:t xml:space="preserve">(AED) </w:t>
      </w:r>
      <w:r w:rsidR="00FD06FF">
        <w:rPr>
          <w:b/>
        </w:rPr>
        <w:t>adverse effects</w:t>
      </w:r>
    </w:p>
    <w:p w14:paraId="53204D93" w14:textId="04D12A9C" w:rsidR="009E2A89" w:rsidRPr="00B208D8" w:rsidRDefault="009E2A89" w:rsidP="009E2A89">
      <w:pPr>
        <w:spacing w:line="480" w:lineRule="auto"/>
      </w:pPr>
      <w:r w:rsidRPr="00B208D8">
        <w:t xml:space="preserve">The utility of AED adverse effects, </w:t>
      </w:r>
      <w:proofErr w:type="spellStart"/>
      <w:r w:rsidRPr="00B208D8">
        <w:rPr>
          <w:i/>
        </w:rPr>
        <w:t>uSe</w:t>
      </w:r>
      <w:proofErr w:type="spellEnd"/>
      <w:r w:rsidRPr="00B208D8">
        <w:t>, was estimated to be 0.9 by extrapolation from a clinical study which compared Liverpool Adverse Effects Profile (LAEP) scores between first seizure patients who had taken AEDs and those who had not.</w:t>
      </w:r>
      <w:r w:rsidRPr="00B208D8">
        <w:fldChar w:fldCharType="begin"/>
      </w:r>
      <w:r w:rsidR="005C01BB">
        <w:instrText xml:space="preserve"> ADDIN EN.CITE &lt;EndNote&gt;&lt;Cite&gt;&lt;Author&gt;Panelli Rosemary&lt;/Author&gt;&lt;Year&gt;2007&lt;/Year&gt;&lt;RecNum&gt;402&lt;/RecNum&gt;&lt;DisplayText&gt;&lt;style face="superscript"&gt;1&lt;/style&gt;&lt;/DisplayText&gt;&lt;record&gt;&lt;rec-number&gt;402&lt;/rec-number&gt;&lt;foreign-keys&gt;&lt;key app="EN" db-id="der2w2zz4ts9d6evvsjxt20zdaxpwpfv02xz" timestamp="1523722383"&gt;402&lt;/key&gt;&lt;/foreign-keys&gt;&lt;ref-type name="Journal Article"&gt;17&lt;/ref-type&gt;&lt;contributors&gt;&lt;authors&gt;&lt;author&gt;Panelli Rosemary, June&lt;/author&gt;&lt;author&gt;Kilpatrick, Christine&lt;/author&gt;&lt;author&gt;Moore Susan, M.&lt;/author&gt;&lt;author&gt;Matkovic, Zelko&lt;/author&gt;&lt;author&gt;D&amp;apos;Souza Wendyl, J.&lt;/author&gt;&lt;author&gt;O&amp;apos;Brien Terence, J.&lt;/author&gt;&lt;/authors&gt;&lt;/contributors&gt;&lt;titles&gt;&lt;title&gt;The Liverpool Adverse Events Profile: Relation to AED Use and Mood&lt;/title&gt;&lt;secondary-title&gt;Epilepsia&lt;/secondary-title&gt;&lt;/titles&gt;&lt;periodical&gt;&lt;full-title&gt;Epilepsia&lt;/full-title&gt;&lt;abbr-1&gt;Epilepsia&lt;/abbr-1&gt;&lt;/periodical&gt;&lt;pages&gt;456-463&lt;/pages&gt;&lt;volume&gt;48&lt;/volume&gt;&lt;number&gt;3&lt;/number&gt;&lt;keywords&gt;&lt;keyword&gt;Antiepileptic drugs&lt;/keyword&gt;&lt;keyword&gt;Adverse effects&lt;/keyword&gt;&lt;keyword&gt;Anxiety&lt;/keyword&gt;&lt;keyword&gt;Depression&lt;/keyword&gt;&lt;/keywords&gt;&lt;dates&gt;&lt;year&gt;2007&lt;/year&gt;&lt;/dates&gt;&lt;publisher&gt;Wiley/Blackwell (10.1111)&lt;/publisher&gt;&lt;isbn&gt;0013-9580&lt;/isbn&gt;&lt;urls&gt;&lt;related-urls&gt;&lt;url&gt;https://doi.org/10.1111/j.1528-1167.2006.00956.x&lt;/url&gt;&lt;/related-urls&gt;&lt;/urls&gt;&lt;electronic-resource-num&gt;10.1111/j.1528-1167.2006.00956.x&lt;/electronic-resource-num&gt;&lt;access-date&gt;2018/04/14&lt;/access-date&gt;&lt;/record&gt;&lt;/Cite&gt;&lt;/EndNote&gt;</w:instrText>
      </w:r>
      <w:r w:rsidRPr="00B208D8">
        <w:fldChar w:fldCharType="separate"/>
      </w:r>
      <w:r w:rsidR="005C01BB" w:rsidRPr="005C01BB">
        <w:rPr>
          <w:noProof/>
          <w:vertAlign w:val="superscript"/>
        </w:rPr>
        <w:t>1</w:t>
      </w:r>
      <w:r w:rsidRPr="00B208D8">
        <w:fldChar w:fldCharType="end"/>
      </w:r>
      <w:r w:rsidRPr="00B208D8">
        <w:t xml:space="preserve"> The LAEP score is a validated systematic measure of adverse effects from AEDs. Because participants from both groups A and B used AEDs and were only divided by their duration of use, the mean global score from these two groups was calculated to capture the average effect of AED adverse effects, </w:t>
      </w:r>
      <w:r w:rsidRPr="00B208D8">
        <w:rPr>
          <w:i/>
        </w:rPr>
        <w:t>LAEP</w:t>
      </w:r>
      <w:r w:rsidRPr="00B208D8">
        <w:rPr>
          <w:i/>
          <w:vertAlign w:val="subscript"/>
        </w:rPr>
        <w:t>AED</w:t>
      </w:r>
      <w:r w:rsidRPr="00B208D8">
        <w:t>:</w:t>
      </w:r>
    </w:p>
    <w:p w14:paraId="194CDEF7" w14:textId="77777777" w:rsidR="009E2A89" w:rsidRPr="00B208D8" w:rsidRDefault="009E2A89" w:rsidP="009E2A89">
      <w:pPr>
        <w:spacing w:line="480" w:lineRule="auto"/>
      </w:pPr>
      <m:oMathPara>
        <m:oMath>
          <m:sSub>
            <m:sSubPr>
              <m:ctrlPr>
                <w:rPr>
                  <w:rFonts w:ascii="Cambria Math" w:hAnsi="Cambria Math"/>
                  <w:i/>
                </w:rPr>
              </m:ctrlPr>
            </m:sSubPr>
            <m:e>
              <m:r>
                <w:rPr>
                  <w:rFonts w:ascii="Cambria Math" w:hAnsi="Cambria Math"/>
                </w:rPr>
                <m:t>LAEP</m:t>
              </m:r>
            </m:e>
            <m:sub>
              <m:r>
                <w:rPr>
                  <w:rFonts w:ascii="Cambria Math" w:hAnsi="Cambria Math"/>
                </w:rPr>
                <m:t>AED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LAEP</m:t>
                  </m:r>
                </m:e>
                <m:sub>
                  <m:r>
                    <w:rPr>
                      <w:rFonts w:ascii="Cambria Math" w:hAnsi="Cambria Math"/>
                    </w:rPr>
                    <m:t>Group A</m:t>
                  </m:r>
                </m:sub>
              </m:sSub>
              <m:r>
                <w:rPr>
                  <w:rFonts w:ascii="Cambria Math" w:hAnsi="Cambria Math"/>
                </w:rPr>
                <m:t>+</m:t>
              </m:r>
              <m:sSub>
                <m:sSubPr>
                  <m:ctrlPr>
                    <w:rPr>
                      <w:rFonts w:ascii="Cambria Math" w:hAnsi="Cambria Math"/>
                      <w:i/>
                    </w:rPr>
                  </m:ctrlPr>
                </m:sSubPr>
                <m:e>
                  <m:r>
                    <w:rPr>
                      <w:rFonts w:ascii="Cambria Math" w:hAnsi="Cambria Math"/>
                    </w:rPr>
                    <m:t>LAEP</m:t>
                  </m:r>
                </m:e>
                <m:sub>
                  <m:r>
                    <w:rPr>
                      <w:rFonts w:ascii="Cambria Math" w:hAnsi="Cambria Math"/>
                    </w:rPr>
                    <m:t>Group B</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37.2+43.2</m:t>
              </m:r>
            </m:num>
            <m:den>
              <m:r>
                <w:rPr>
                  <w:rFonts w:ascii="Cambria Math" w:hAnsi="Cambria Math"/>
                </w:rPr>
                <m:t>2</m:t>
              </m:r>
            </m:den>
          </m:f>
          <m:r>
            <w:rPr>
              <w:rFonts w:ascii="Cambria Math" w:hAnsi="Cambria Math"/>
            </w:rPr>
            <m:t>=40.2</m:t>
          </m:r>
        </m:oMath>
      </m:oMathPara>
    </w:p>
    <w:p w14:paraId="3512660C" w14:textId="77777777" w:rsidR="009E2A89" w:rsidRPr="00B208D8" w:rsidRDefault="009E2A89" w:rsidP="009E2A89">
      <w:pPr>
        <w:spacing w:line="480" w:lineRule="auto"/>
      </w:pPr>
      <w:r w:rsidRPr="00B208D8">
        <w:t>The mean LAEP score from Group C, consisting of patients who had not taken AEDs, was 35.8 (</w:t>
      </w:r>
      <w:proofErr w:type="spellStart"/>
      <w:r w:rsidRPr="00B208D8">
        <w:rPr>
          <w:i/>
        </w:rPr>
        <w:t>LAEP</w:t>
      </w:r>
      <w:r w:rsidRPr="00B208D8">
        <w:rPr>
          <w:i/>
          <w:vertAlign w:val="subscript"/>
        </w:rPr>
        <w:t>no</w:t>
      </w:r>
      <w:proofErr w:type="spellEnd"/>
      <w:r w:rsidRPr="00B208D8">
        <w:rPr>
          <w:i/>
          <w:vertAlign w:val="subscript"/>
        </w:rPr>
        <w:t xml:space="preserve"> AED</w:t>
      </w:r>
      <w:r w:rsidRPr="00B208D8">
        <w:t xml:space="preserve">). The relative difference between </w:t>
      </w:r>
      <w:r w:rsidRPr="00B208D8">
        <w:rPr>
          <w:i/>
        </w:rPr>
        <w:t>LAEP</w:t>
      </w:r>
      <w:r w:rsidRPr="00B208D8">
        <w:rPr>
          <w:i/>
          <w:vertAlign w:val="subscript"/>
        </w:rPr>
        <w:t>AED</w:t>
      </w:r>
      <w:r w:rsidRPr="00B208D8">
        <w:rPr>
          <w:i/>
        </w:rPr>
        <w:t xml:space="preserve"> </w:t>
      </w:r>
      <w:r w:rsidRPr="00B208D8">
        <w:t xml:space="preserve">vs. </w:t>
      </w:r>
      <w:proofErr w:type="spellStart"/>
      <w:r w:rsidRPr="00B208D8">
        <w:rPr>
          <w:i/>
        </w:rPr>
        <w:t>LAEP</w:t>
      </w:r>
      <w:r w:rsidRPr="00B208D8">
        <w:rPr>
          <w:i/>
          <w:vertAlign w:val="subscript"/>
        </w:rPr>
        <w:t>no</w:t>
      </w:r>
      <w:proofErr w:type="spellEnd"/>
      <w:r w:rsidRPr="00B208D8">
        <w:rPr>
          <w:i/>
          <w:vertAlign w:val="subscript"/>
        </w:rPr>
        <w:t xml:space="preserve"> AED</w:t>
      </w:r>
      <w:r w:rsidRPr="00B208D8">
        <w:t xml:space="preserve"> was:</w:t>
      </w:r>
    </w:p>
    <w:p w14:paraId="1DE1BCAB" w14:textId="77777777" w:rsidR="009E2A89" w:rsidRPr="00B208D8" w:rsidRDefault="009E2A89" w:rsidP="009E2A89">
      <w:pPr>
        <w:spacing w:line="48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LAEP</m:t>
                  </m:r>
                </m:e>
                <m:sub>
                  <m:r>
                    <w:rPr>
                      <w:rFonts w:ascii="Cambria Math" w:hAnsi="Cambria Math"/>
                    </w:rPr>
                    <m:t>AED</m:t>
                  </m:r>
                </m:sub>
              </m:sSub>
            </m:num>
            <m:den>
              <m:sSub>
                <m:sSubPr>
                  <m:ctrlPr>
                    <w:rPr>
                      <w:rFonts w:ascii="Cambria Math" w:hAnsi="Cambria Math"/>
                      <w:i/>
                    </w:rPr>
                  </m:ctrlPr>
                </m:sSubPr>
                <m:e>
                  <m:r>
                    <w:rPr>
                      <w:rFonts w:ascii="Cambria Math" w:hAnsi="Cambria Math"/>
                    </w:rPr>
                    <m:t>LAEP</m:t>
                  </m:r>
                </m:e>
                <m:sub>
                  <m:r>
                    <w:rPr>
                      <w:rFonts w:ascii="Cambria Math" w:hAnsi="Cambria Math"/>
                    </w:rPr>
                    <m:t>no AED</m:t>
                  </m:r>
                </m:sub>
              </m:sSub>
            </m:den>
          </m:f>
          <m:r>
            <w:rPr>
              <w:rFonts w:ascii="Cambria Math" w:hAnsi="Cambria Math"/>
            </w:rPr>
            <m:t>=</m:t>
          </m:r>
          <m:f>
            <m:fPr>
              <m:ctrlPr>
                <w:rPr>
                  <w:rFonts w:ascii="Cambria Math" w:hAnsi="Cambria Math"/>
                  <w:i/>
                </w:rPr>
              </m:ctrlPr>
            </m:fPr>
            <m:num>
              <m:r>
                <w:rPr>
                  <w:rFonts w:ascii="Cambria Math" w:hAnsi="Cambria Math"/>
                </w:rPr>
                <m:t>35.8</m:t>
              </m:r>
            </m:num>
            <m:den>
              <m:r>
                <w:rPr>
                  <w:rFonts w:ascii="Cambria Math" w:hAnsi="Cambria Math"/>
                </w:rPr>
                <m:t>40.2</m:t>
              </m:r>
            </m:den>
          </m:f>
          <m:r>
            <w:rPr>
              <w:rFonts w:ascii="Cambria Math" w:hAnsi="Cambria Math"/>
            </w:rPr>
            <m:t>=0.9</m:t>
          </m:r>
        </m:oMath>
      </m:oMathPara>
    </w:p>
    <w:p w14:paraId="48CB3E35" w14:textId="19E9729F" w:rsidR="00EE762F" w:rsidRDefault="009E2A89" w:rsidP="00C12EB8">
      <w:pPr>
        <w:spacing w:line="480" w:lineRule="auto"/>
      </w:pPr>
      <w:r w:rsidRPr="00B208D8">
        <w:t xml:space="preserve">This ratio was used to estimate </w:t>
      </w:r>
      <w:proofErr w:type="spellStart"/>
      <w:r w:rsidRPr="00B208D8">
        <w:rPr>
          <w:i/>
        </w:rPr>
        <w:t>uSe</w:t>
      </w:r>
      <w:proofErr w:type="spellEnd"/>
      <w:r w:rsidRPr="00B208D8">
        <w:t xml:space="preserve">, the reduction in QOL due to AED adverse effects. As further support that this value is reasonable, we note that it is close to but slightly lower than the QOL value of 0.96 for the health state of </w:t>
      </w:r>
      <w:r w:rsidRPr="00B208D8">
        <w:rPr>
          <w:i/>
        </w:rPr>
        <w:t>no recurrent seizures, AED treatment, no AED adverse effects</w:t>
      </w:r>
      <w:r w:rsidRPr="00B208D8">
        <w:t>.</w:t>
      </w:r>
      <w:r w:rsidRPr="00B208D8">
        <w:fldChar w:fldCharType="begin"/>
      </w:r>
      <w:r w:rsidR="005C01BB">
        <w:instrText xml:space="preserve"> ADDIN EN.CITE &lt;EndNote&gt;&lt;Cite&gt;&lt;Author&gt;Choi&lt;/Author&gt;&lt;Year&gt;2008&lt;/Year&gt;&lt;RecNum&gt;271&lt;/RecNum&gt;&lt;DisplayText&gt;&lt;style face="superscript"&gt;2&lt;/style&gt;&lt;/DisplayText&gt;&lt;record&gt;&lt;rec-number&gt;271&lt;/rec-number&gt;&lt;foreign-keys&gt;&lt;key app="EN" db-id="der2w2zz4ts9d6evvsjxt20zdaxpwpfv02xz" timestamp="1485405961"&gt;271&lt;/key&gt;&lt;/foreign-keys&gt;&lt;ref-type name="Journal Article"&gt;17&lt;/ref-type&gt;&lt;contributors&gt;&lt;authors&gt;&lt;author&gt;Choi, H.&lt;/author&gt;&lt;author&gt;Sell, R. L.&lt;/author&gt;&lt;author&gt;Lenert, L.&lt;/author&gt;&lt;author&gt;et al.,&lt;/author&gt;&lt;/authors&gt;&lt;/contributors&gt;&lt;titles&gt;&lt;title&gt;Epilepsy surgery for pharmacoresistant temporal lobe epilepsy: A decision analysis&lt;/title&gt;&lt;secondary-title&gt;JAMA&lt;/secondary-title&gt;&lt;/titles&gt;&lt;periodical&gt;&lt;full-title&gt;JAMA&lt;/full-title&gt;&lt;/periodical&gt;&lt;pages&gt;2497-2505&lt;/pages&gt;&lt;volume&gt;300&lt;/volume&gt;&lt;number&gt;21&lt;/number&gt;&lt;dates&gt;&lt;year&gt;2008&lt;/year&gt;&lt;/dates&gt;&lt;isbn&gt;0098-7484&lt;/isbn&gt;&lt;urls&gt;&lt;related-urls&gt;&lt;url&gt;http://dx.doi.org/10.1001/jama.2008.771&lt;/url&gt;&lt;/related-urls&gt;&lt;/urls&gt;&lt;electronic-resource-num&gt;10.1001/jama.2008.771&lt;/electronic-resource-num&gt;&lt;/record&gt;&lt;/Cite&gt;&lt;/EndNote&gt;</w:instrText>
      </w:r>
      <w:r w:rsidRPr="00B208D8">
        <w:fldChar w:fldCharType="separate"/>
      </w:r>
      <w:r w:rsidR="005C01BB" w:rsidRPr="005C01BB">
        <w:rPr>
          <w:noProof/>
          <w:vertAlign w:val="superscript"/>
        </w:rPr>
        <w:t>2</w:t>
      </w:r>
      <w:r w:rsidRPr="00B208D8">
        <w:fldChar w:fldCharType="end"/>
      </w:r>
      <w:r w:rsidRPr="00B208D8">
        <w:t xml:space="preserve">  </w:t>
      </w:r>
    </w:p>
    <w:p w14:paraId="0668BF13" w14:textId="77777777" w:rsidR="00FD06FF" w:rsidRDefault="00FD06FF" w:rsidP="00C12EB8">
      <w:pPr>
        <w:spacing w:line="480" w:lineRule="auto"/>
      </w:pPr>
    </w:p>
    <w:p w14:paraId="6F480FD6" w14:textId="77777777" w:rsidR="006F3EA6" w:rsidRPr="00732790" w:rsidRDefault="006F3EA6" w:rsidP="006F3EA6">
      <w:pPr>
        <w:spacing w:line="480" w:lineRule="auto"/>
        <w:rPr>
          <w:b/>
        </w:rPr>
      </w:pPr>
      <w:r w:rsidRPr="00732790">
        <w:rPr>
          <w:b/>
        </w:rPr>
        <w:t>Calculation of death rate for non-seizure-free individuals</w:t>
      </w:r>
    </w:p>
    <w:p w14:paraId="3A947A28" w14:textId="6611B1B3" w:rsidR="006F3EA6" w:rsidRDefault="006F3EA6" w:rsidP="006F3EA6">
      <w:pPr>
        <w:spacing w:line="480" w:lineRule="auto"/>
        <w:ind w:firstLine="720"/>
      </w:pPr>
      <w:r>
        <w:t>The mean standardized mortality ratio for patients with ongoing seizures despite medical management is 5.40.</w:t>
      </w:r>
      <w:r>
        <w:fldChar w:fldCharType="begin"/>
      </w:r>
      <w:r w:rsidR="005C01BB">
        <w:instrText xml:space="preserve"> ADDIN EN.CITE &lt;EndNote&gt;&lt;Cite&gt;&lt;Author&gt;Choi&lt;/Author&gt;&lt;Year&gt;2008&lt;/Year&gt;&lt;RecNum&gt;271&lt;/RecNum&gt;&lt;DisplayText&gt;&lt;style face="superscript"&gt;2&lt;/style&gt;&lt;/DisplayText&gt;&lt;record&gt;&lt;rec-number&gt;271&lt;/rec-number&gt;&lt;foreign-keys&gt;&lt;key app="EN" db-id="der2w2zz4ts9d6evvsjxt20zdaxpwpfv02xz" timestamp="1485405961"&gt;271&lt;/key&gt;&lt;/foreign-keys&gt;&lt;ref-type name="Journal Article"&gt;17&lt;/ref-type&gt;&lt;contributors&gt;&lt;authors&gt;&lt;author&gt;Choi, H.&lt;/author&gt;&lt;author&gt;Sell, R. L.&lt;/author&gt;&lt;author&gt;Lenert, L.&lt;/author&gt;&lt;author&gt;et al.,&lt;/author&gt;&lt;/authors&gt;&lt;/contributors&gt;&lt;titles&gt;&lt;title&gt;Epilepsy surgery for pharmacoresistant temporal lobe epilepsy: A decision analysis&lt;/title&gt;&lt;secondary-title&gt;JAMA&lt;/secondary-title&gt;&lt;/titles&gt;&lt;periodical&gt;&lt;full-title&gt;JAMA&lt;/full-title&gt;&lt;/periodical&gt;&lt;pages&gt;2497-2505&lt;/pages&gt;&lt;volume&gt;300&lt;/volume&gt;&lt;number&gt;21&lt;/number&gt;&lt;dates&gt;&lt;year&gt;2008&lt;/year&gt;&lt;/dates&gt;&lt;isbn&gt;0098-7484&lt;/isbn&gt;&lt;urls&gt;&lt;related-urls&gt;&lt;url&gt;http://dx.doi.org/10.1001/jama.2008.771&lt;/url&gt;&lt;/related-urls&gt;&lt;/urls&gt;&lt;electronic-resource-num&gt;10.1001/jama.2008.771&lt;/electronic-resource-num&gt;&lt;/record&gt;&lt;/Cite&gt;&lt;/EndNote&gt;</w:instrText>
      </w:r>
      <w:r>
        <w:fldChar w:fldCharType="separate"/>
      </w:r>
      <w:r w:rsidR="005C01BB" w:rsidRPr="005C01BB">
        <w:rPr>
          <w:noProof/>
          <w:vertAlign w:val="superscript"/>
        </w:rPr>
        <w:t>2</w:t>
      </w:r>
      <w:r>
        <w:fldChar w:fldCharType="end"/>
      </w:r>
      <w:r>
        <w:t xml:space="preserve"> This increased mortality ratio factors in deaths due to sudden unexpected death in epilepsy as well as other epilepsy-related causes of death including seizure-induced accidents, status epilepticus, and suicide.</w:t>
      </w:r>
    </w:p>
    <w:p w14:paraId="6D1F1C48" w14:textId="2A3D3BD2" w:rsidR="006F3EA6" w:rsidRDefault="006F3EA6" w:rsidP="006F3EA6">
      <w:pPr>
        <w:spacing w:line="480" w:lineRule="auto"/>
        <w:ind w:firstLine="720"/>
        <w:rPr>
          <w:i/>
        </w:rPr>
      </w:pPr>
      <w:r>
        <w:t xml:space="preserve">The mortality ratio is related to the death rate by </w:t>
      </w:r>
      <m:oMath>
        <m:r>
          <w:rPr>
            <w:rFonts w:ascii="Cambria Math" w:hAnsi="Cambria Math"/>
          </w:rPr>
          <m:t>MR</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m:t>
            </m:r>
          </m:sup>
        </m:sSup>
        <m:r>
          <w:rPr>
            <w:rFonts w:ascii="Cambria Math" w:hAnsi="Cambria Math"/>
          </w:rPr>
          <m:t>)</m:t>
        </m:r>
      </m:oMath>
      <w:r>
        <w:t xml:space="preserve">, where </w:t>
      </w:r>
      <w:r>
        <w:rPr>
          <w:i/>
        </w:rPr>
        <w:t>x</w:t>
      </w:r>
      <w:r>
        <w:t xml:space="preserve"> is age in years, </w:t>
      </w:r>
      <w:r>
        <w:rPr>
          <w:i/>
        </w:rPr>
        <w:t>r(x)</w:t>
      </w:r>
      <w:r>
        <w:t xml:space="preserve"> is death rate at age </w:t>
      </w:r>
      <w:r>
        <w:rPr>
          <w:i/>
        </w:rPr>
        <w:t>x</w:t>
      </w:r>
      <w:r>
        <w:t xml:space="preserve">, </w:t>
      </w:r>
      <w:r>
        <w:rPr>
          <w:i/>
        </w:rPr>
        <w:t>R(x)</w:t>
      </w:r>
      <w:r>
        <w:t xml:space="preserve"> is adjusted death rate at age </w:t>
      </w:r>
      <w:r>
        <w:rPr>
          <w:i/>
        </w:rPr>
        <w:t>x</w:t>
      </w:r>
      <w:r>
        <w:t xml:space="preserve"> due to illness, and </w:t>
      </w:r>
      <m:oMath>
        <m:r>
          <w:rPr>
            <w:rFonts w:ascii="Cambria Math" w:hAnsi="Cambria Math"/>
          </w:rPr>
          <m:t>∆x</m:t>
        </m:r>
      </m:oMath>
      <w:r>
        <w:t xml:space="preserve"> is the time step.</w:t>
      </w:r>
      <w:r>
        <w:fldChar w:fldCharType="begin"/>
      </w:r>
      <w:r w:rsidR="005C01BB">
        <w:instrText xml:space="preserve"> ADDIN EN.CITE &lt;EndNote&gt;&lt;Cite&gt;&lt;Author&gt;Hotan&lt;/Author&gt;&lt;Year&gt;2016&lt;/Year&gt;&lt;RecNum&gt;340&lt;/RecNum&gt;&lt;DisplayText&gt;&lt;style face="superscript"&gt;3&lt;/style&gt;&lt;/DisplayText&gt;&lt;record&gt;&lt;rec-number&gt;340&lt;/rec-number&gt;&lt;foreign-keys&gt;&lt;key app="EN" db-id="der2w2zz4ts9d6evvsjxt20zdaxpwpfv02xz" timestamp="1497323554"&gt;340&lt;/key&gt;&lt;/foreign-keys&gt;&lt;ref-type name="Journal Article"&gt;17&lt;/ref-type&gt;&lt;contributors&gt;&lt;authors&gt;&lt;author&gt;Hotan, G. C.&lt;/author&gt;&lt;author&gt;Struck, A. F.&lt;/author&gt;&lt;author&gt;Bianchi, M. T.&lt;/author&gt;&lt;author&gt;Eskandar, E. N.&lt;/author&gt;&lt;author&gt;Cole, A. J.&lt;/author&gt;&lt;author&gt;Westover, M. B.&lt;/author&gt;&lt;/authors&gt;&lt;/contributors&gt;&lt;titles&gt;&lt;title&gt;Decision analysis of intracranial monitoring in non-lesional epilepsy&lt;/title&gt;&lt;secondary-title&gt;Seizure&lt;/secondary-title&gt;&lt;/titles&gt;&lt;periodical&gt;&lt;full-title&gt;Seizure&lt;/full-title&gt;&lt;/periodical&gt;&lt;pages&gt;59-70&lt;/pages&gt;&lt;volume&gt;40&lt;/volume&gt;&lt;keywords&gt;&lt;keyword&gt;Epilepsy Surgery&lt;/keyword&gt;&lt;keyword&gt;Decision Analysis&lt;/keyword&gt;&lt;keyword&gt;Non-lesional Epilepsy&lt;/keyword&gt;&lt;keyword&gt;Intracranial EEG&lt;/keyword&gt;&lt;/keywords&gt;&lt;dates&gt;&lt;year&gt;2016&lt;/year&gt;&lt;pub-dates&gt;&lt;date&gt;8//&lt;/date&gt;&lt;/pub-dates&gt;&lt;/dates&gt;&lt;isbn&gt;1059-1311&lt;/isbn&gt;&lt;urls&gt;&lt;related-urls&gt;&lt;url&gt;http://www.sciencedirect.com/science/article/pii/S1059131116300735&lt;/url&gt;&lt;/related-urls&gt;&lt;/urls&gt;&lt;electronic-resource-num&gt;https://doi.org/10.1016/j.seizure.2016.06.010&lt;/electronic-resource-num&gt;&lt;/record&gt;&lt;/Cite&gt;&lt;/EndNote&gt;</w:instrText>
      </w:r>
      <w:r>
        <w:fldChar w:fldCharType="separate"/>
      </w:r>
      <w:r w:rsidR="005C01BB" w:rsidRPr="005C01BB">
        <w:rPr>
          <w:noProof/>
          <w:vertAlign w:val="superscript"/>
        </w:rPr>
        <w:t>3</w:t>
      </w:r>
      <w:r>
        <w:fldChar w:fldCharType="end"/>
      </w:r>
      <w:r>
        <w:t xml:space="preserve"> We used a time step of </w:t>
      </w:r>
      <m:oMath>
        <m:r>
          <w:rPr>
            <w:rFonts w:ascii="Cambria Math" w:hAnsi="Cambria Math"/>
          </w:rPr>
          <m:t>∆x</m:t>
        </m:r>
      </m:oMath>
      <w:r>
        <w:t xml:space="preserve"> = 1 year. The death rate </w:t>
      </w:r>
      <w:r>
        <w:rPr>
          <w:i/>
        </w:rPr>
        <w:t>r(x)</w:t>
      </w:r>
      <w:r>
        <w:t xml:space="preserve"> is related to </w:t>
      </w:r>
      <w:proofErr w:type="spellStart"/>
      <w:r>
        <w:rPr>
          <w:i/>
        </w:rPr>
        <w:t>pDie</w:t>
      </w:r>
      <w:proofErr w:type="spellEnd"/>
      <w:r>
        <w:t xml:space="preserve"> – the probability of dying between ages </w:t>
      </w:r>
      <w:r>
        <w:rPr>
          <w:i/>
        </w:rPr>
        <w:t>x</w:t>
      </w:r>
      <w:r>
        <w:t xml:space="preserve"> and </w:t>
      </w:r>
      <w:r>
        <w:rPr>
          <w:i/>
        </w:rPr>
        <w:t>x+1</w:t>
      </w:r>
      <w:r>
        <w:t xml:space="preserve"> obtained from US life tables</w:t>
      </w:r>
      <w:r>
        <w:fldChar w:fldCharType="begin"/>
      </w:r>
      <w:r w:rsidR="005C01BB">
        <w:instrText xml:space="preserve"> ADDIN EN.CITE &lt;EndNote&gt;&lt;Cite&gt;&lt;Author&gt;Arias&lt;/Author&gt;&lt;Year&gt;2016&lt;/Year&gt;&lt;RecNum&gt;279&lt;/RecNum&gt;&lt;DisplayText&gt;&lt;style face="superscript"&gt;4&lt;/style&gt;&lt;/DisplayText&gt;&lt;record&gt;&lt;rec-number&gt;279&lt;/rec-number&gt;&lt;foreign-keys&gt;&lt;key app="EN" db-id="der2w2zz4ts9d6evvsjxt20zdaxpwpfv02xz" timestamp="1485452916"&gt;279&lt;/key&gt;&lt;/foreign-keys&gt;&lt;ref-type name="Report"&gt;27&lt;/ref-type&gt;&lt;contributors&gt;&lt;authors&gt;&lt;author&gt;Arias, E&lt;/author&gt;&lt;author&gt;Heron, M&lt;/author&gt;&lt;author&gt;Xu, JQ&lt;/author&gt;&lt;/authors&gt;&lt;/contributors&gt;&lt;titles&gt;&lt;title&gt;United States life tables, 2012&lt;/title&gt;&lt;secondary-title&gt;National vital statistics reports&lt;/secondary-title&gt;&lt;/titles&gt;&lt;periodical&gt;&lt;full-title&gt;National Vital Statistics Reports&lt;/full-title&gt;&lt;/periodical&gt;&lt;volume&gt;65&lt;/volume&gt;&lt;num-vols&gt;8&lt;/num-vols&gt;&lt;dates&gt;&lt;year&gt;2016&lt;/year&gt;&lt;/dates&gt;&lt;pub-location&gt;Hyattsville, MD&lt;/pub-location&gt;&lt;publisher&gt;National Center for Health Statistics&lt;/publisher&gt;&lt;urls&gt;&lt;/urls&gt;&lt;/record&gt;&lt;/Cite&gt;&lt;/EndNote&gt;</w:instrText>
      </w:r>
      <w:r>
        <w:fldChar w:fldCharType="separate"/>
      </w:r>
      <w:r w:rsidR="005C01BB" w:rsidRPr="005C01BB">
        <w:rPr>
          <w:noProof/>
          <w:vertAlign w:val="superscript"/>
        </w:rPr>
        <w:t>4</w:t>
      </w:r>
      <w:r>
        <w:fldChar w:fldCharType="end"/>
      </w:r>
      <w:r>
        <w:t xml:space="preserve"> – by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r>
          <m:rPr>
            <m:sty m:val="p"/>
          </m:rPr>
          <w:rPr>
            <w:rFonts w:ascii="Cambria Math" w:hAnsi="Cambria Math"/>
          </w:rPr>
          <m:t>ln⁡</m:t>
        </m:r>
        <m:r>
          <w:rPr>
            <w:rFonts w:ascii="Cambria Math" w:hAnsi="Cambria Math"/>
          </w:rPr>
          <m:t>(1-pDie)</m:t>
        </m:r>
      </m:oMath>
      <w:r>
        <w:t xml:space="preserve">. </w:t>
      </w:r>
    </w:p>
    <w:p w14:paraId="5D8CE87F" w14:textId="77777777" w:rsidR="006F3EA6" w:rsidRDefault="006F3EA6" w:rsidP="006F3EA6">
      <w:pPr>
        <w:spacing w:line="480" w:lineRule="auto"/>
      </w:pPr>
    </w:p>
    <w:p w14:paraId="01C0312C" w14:textId="77777777" w:rsidR="006F3EA6" w:rsidRDefault="006F3EA6" w:rsidP="006F3EA6">
      <w:pPr>
        <w:spacing w:line="480" w:lineRule="auto"/>
      </w:pPr>
      <w:r>
        <w:t xml:space="preserve">The adjusted death rate,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r>
        <w:t>, was calculated from the mortality ratio value:</w:t>
      </w:r>
    </w:p>
    <w:p w14:paraId="452B2114" w14:textId="77777777" w:rsidR="006F3EA6" w:rsidRDefault="006F3EA6" w:rsidP="006F3EA6">
      <w:pPr>
        <w:spacing w:line="480" w:lineRule="auto"/>
      </w:pPr>
      <m:oMathPara>
        <m:oMath>
          <m:r>
            <w:rPr>
              <w:rFonts w:ascii="Cambria Math" w:hAnsi="Cambria Math"/>
            </w:rPr>
            <m:t>MR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m:t>
                  </m:r>
                </m:sup>
              </m:sSup>
            </m:den>
          </m:f>
        </m:oMath>
      </m:oMathPara>
    </w:p>
    <w:p w14:paraId="22A0C9AC" w14:textId="77777777" w:rsidR="006F3EA6" w:rsidRDefault="006F3EA6" w:rsidP="006F3EA6">
      <w:pPr>
        <w:spacing w:line="480" w:lineRule="auto"/>
        <w:rPr>
          <w:rFonts w:ascii="Cambria Math" w:hAnsi="Cambria Math"/>
          <w:oMath/>
        </w:rPr>
      </w:pPr>
      <m:oMathPara>
        <m:oMath>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sup>
          </m:sSup>
          <m:r>
            <w:rPr>
              <w:rFonts w:ascii="Cambria Math" w:hAnsi="Cambria Math"/>
            </w:rPr>
            <m:t>=1-MR</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sup>
              </m:sSup>
            </m:e>
          </m:d>
        </m:oMath>
      </m:oMathPara>
    </w:p>
    <w:p w14:paraId="0D6587F4" w14:textId="77777777" w:rsidR="006F3EA6" w:rsidRDefault="006F3EA6" w:rsidP="006F3EA6">
      <w:pPr>
        <w:spacing w:line="480" w:lineRule="auto"/>
      </w:pPr>
      <m:oMathPara>
        <m:oMath>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sup>
          </m:sSup>
          <m:r>
            <w:rPr>
              <w:rFonts w:ascii="Cambria Math" w:hAnsi="Cambria Math"/>
            </w:rPr>
            <m:t>=1-MR</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1-q</m:t>
                  </m:r>
                  <m:d>
                    <m:dPr>
                      <m:ctrlPr>
                        <w:rPr>
                          <w:rFonts w:ascii="Cambria Math" w:hAnsi="Cambria Math"/>
                          <w:i/>
                        </w:rPr>
                      </m:ctrlPr>
                    </m:dPr>
                    <m:e>
                      <m:r>
                        <w:rPr>
                          <w:rFonts w:ascii="Cambria Math" w:hAnsi="Cambria Math"/>
                        </w:rPr>
                        <m:t>x</m:t>
                      </m:r>
                    </m:e>
                  </m:d>
                </m:den>
              </m:f>
            </m:e>
          </m:d>
        </m:oMath>
      </m:oMathPara>
    </w:p>
    <w:p w14:paraId="0B1D6586" w14:textId="77777777" w:rsidR="006F3EA6" w:rsidRDefault="006F3EA6" w:rsidP="006F3EA6">
      <w:pPr>
        <w:spacing w:line="480" w:lineRule="auto"/>
      </w:pPr>
      <m:oMathPara>
        <m:oMath>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1-MR(x)(1-</m:t>
              </m:r>
              <m:f>
                <m:fPr>
                  <m:ctrlPr>
                    <w:rPr>
                      <w:rFonts w:ascii="Cambria Math" w:hAnsi="Cambria Math"/>
                      <w:i/>
                    </w:rPr>
                  </m:ctrlPr>
                </m:fPr>
                <m:num>
                  <m:r>
                    <w:rPr>
                      <w:rFonts w:ascii="Cambria Math" w:hAnsi="Cambria Math"/>
                    </w:rPr>
                    <m:t>1</m:t>
                  </m:r>
                </m:num>
                <m:den>
                  <m:r>
                    <w:rPr>
                      <w:rFonts w:ascii="Cambria Math" w:hAnsi="Cambria Math"/>
                    </w:rPr>
                    <m:t>1-q</m:t>
                  </m:r>
                  <m:d>
                    <m:dPr>
                      <m:ctrlPr>
                        <w:rPr>
                          <w:rFonts w:ascii="Cambria Math" w:hAnsi="Cambria Math"/>
                          <w:i/>
                        </w:rPr>
                      </m:ctrlPr>
                    </m:dPr>
                    <m:e>
                      <m:r>
                        <w:rPr>
                          <w:rFonts w:ascii="Cambria Math" w:hAnsi="Cambria Math"/>
                        </w:rPr>
                        <m:t>x</m:t>
                      </m:r>
                    </m:e>
                  </m:d>
                </m:den>
              </m:f>
              <m:r>
                <w:rPr>
                  <w:rFonts w:ascii="Cambria Math" w:hAnsi="Cambria Math"/>
                </w:rPr>
                <m:t>)</m:t>
              </m:r>
            </m:den>
          </m:f>
        </m:oMath>
      </m:oMathPara>
    </w:p>
    <w:p w14:paraId="01CC7CE8" w14:textId="77777777" w:rsidR="006F3EA6" w:rsidRDefault="006F3EA6" w:rsidP="006F3EA6">
      <w:pPr>
        <w:spacing w:line="480" w:lineRule="auto"/>
      </w:pPr>
      <m:oMathPara>
        <m:oMath>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MR</m:t>
                  </m:r>
                  <m:d>
                    <m:dPr>
                      <m:ctrlPr>
                        <w:rPr>
                          <w:rFonts w:ascii="Cambria Math" w:hAnsi="Cambria Math"/>
                          <w:i/>
                        </w:rPr>
                      </m:ctrlPr>
                    </m:dPr>
                    <m:e>
                      <m:r>
                        <w:rPr>
                          <w:rFonts w:ascii="Cambria Math" w:hAnsi="Cambria Math"/>
                        </w:rPr>
                        <m:t>x</m:t>
                      </m:r>
                    </m:e>
                  </m:d>
                  <m:r>
                    <w:rPr>
                      <w:rFonts w:ascii="Cambria Math" w:hAnsi="Cambria Math"/>
                    </w:rPr>
                    <m:t>⋅pDie</m:t>
                  </m:r>
                </m:num>
                <m:den>
                  <m:r>
                    <w:rPr>
                      <w:rFonts w:ascii="Cambria Math" w:hAnsi="Cambria Math"/>
                    </w:rPr>
                    <m:t>1-pDie</m:t>
                  </m:r>
                </m:den>
              </m:f>
            </m:den>
          </m:f>
        </m:oMath>
      </m:oMathPara>
    </w:p>
    <w:p w14:paraId="1CE07EBD" w14:textId="77777777" w:rsidR="006F3EA6" w:rsidRDefault="006F3EA6" w:rsidP="006F3EA6">
      <w:pPr>
        <w:spacing w:line="480" w:lineRule="auto"/>
      </w:pPr>
    </w:p>
    <w:p w14:paraId="6B6AE3D0" w14:textId="77777777" w:rsidR="006F3EA6" w:rsidRDefault="006F3EA6" w:rsidP="006F3EA6">
      <w:pPr>
        <w:spacing w:line="480" w:lineRule="auto"/>
      </w:pPr>
      <w:r>
        <w:lastRenderedPageBreak/>
        <w:t xml:space="preserve">The adjusted probability of dying due to recurrent seizures, </w:t>
      </w:r>
      <w:proofErr w:type="spellStart"/>
      <w:r>
        <w:rPr>
          <w:i/>
        </w:rPr>
        <w:t>pDieSz</w:t>
      </w:r>
      <w:proofErr w:type="spellEnd"/>
      <w:r>
        <w:t xml:space="preserve">, was obtained from the adjusted death rate by: </w:t>
      </w:r>
    </w:p>
    <w:p w14:paraId="7EB29A85" w14:textId="77777777" w:rsidR="006F3EA6" w:rsidRDefault="006F3EA6" w:rsidP="006F3EA6">
      <w:pPr>
        <w:spacing w:line="480" w:lineRule="auto"/>
        <w:jc w:val="center"/>
      </w:pPr>
      <m:oMath>
        <m:r>
          <w:rPr>
            <w:rFonts w:ascii="Cambria Math" w:hAnsi="Cambria Math"/>
          </w:rPr>
          <m:t>pDieSz=1-</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MR</m:t>
                </m:r>
                <m:d>
                  <m:dPr>
                    <m:ctrlPr>
                      <w:rPr>
                        <w:rFonts w:ascii="Cambria Math" w:hAnsi="Cambria Math"/>
                        <w:i/>
                      </w:rPr>
                    </m:ctrlPr>
                  </m:dPr>
                  <m:e>
                    <m:r>
                      <w:rPr>
                        <w:rFonts w:ascii="Cambria Math" w:hAnsi="Cambria Math"/>
                      </w:rPr>
                      <m:t>x</m:t>
                    </m:r>
                  </m:e>
                </m:d>
                <m:r>
                  <w:rPr>
                    <w:rFonts w:ascii="Cambria Math" w:hAnsi="Cambria Math"/>
                  </w:rPr>
                  <m:t>*pDie</m:t>
                </m:r>
              </m:num>
              <m:den>
                <m:r>
                  <w:rPr>
                    <w:rFonts w:ascii="Cambria Math" w:hAnsi="Cambria Math"/>
                  </w:rPr>
                  <m:t>1-pDie</m:t>
                </m:r>
              </m:den>
            </m:f>
          </m:num>
          <m:den>
            <m:r>
              <w:rPr>
                <w:rFonts w:ascii="Cambria Math" w:hAnsi="Cambria Math"/>
              </w:rPr>
              <m:t>1+</m:t>
            </m:r>
            <m:f>
              <m:fPr>
                <m:ctrlPr>
                  <w:rPr>
                    <w:rFonts w:ascii="Cambria Math" w:hAnsi="Cambria Math"/>
                    <w:i/>
                  </w:rPr>
                </m:ctrlPr>
              </m:fPr>
              <m:num>
                <m:r>
                  <w:rPr>
                    <w:rFonts w:ascii="Cambria Math" w:hAnsi="Cambria Math"/>
                  </w:rPr>
                  <m:t>MR</m:t>
                </m:r>
                <m:d>
                  <m:dPr>
                    <m:ctrlPr>
                      <w:rPr>
                        <w:rFonts w:ascii="Cambria Math" w:hAnsi="Cambria Math"/>
                        <w:i/>
                      </w:rPr>
                    </m:ctrlPr>
                  </m:dPr>
                  <m:e>
                    <m:r>
                      <w:rPr>
                        <w:rFonts w:ascii="Cambria Math" w:hAnsi="Cambria Math"/>
                      </w:rPr>
                      <m:t>x</m:t>
                    </m:r>
                  </m:e>
                </m:d>
                <m:r>
                  <w:rPr>
                    <w:rFonts w:ascii="Cambria Math" w:hAnsi="Cambria Math"/>
                  </w:rPr>
                  <m:t>⋅pDie</m:t>
                </m:r>
              </m:num>
              <m:den>
                <m:r>
                  <w:rPr>
                    <w:rFonts w:ascii="Cambria Math" w:hAnsi="Cambria Math"/>
                  </w:rPr>
                  <m:t>1-pDie</m:t>
                </m:r>
              </m:den>
            </m:f>
          </m:den>
        </m:f>
      </m:oMath>
      <w:r>
        <w:t xml:space="preserve">  (table e-1).</w:t>
      </w:r>
    </w:p>
    <w:p w14:paraId="24DED92D" w14:textId="77777777" w:rsidR="006F3EA6" w:rsidRDefault="006F3EA6" w:rsidP="006F3EA6">
      <w:pPr>
        <w:spacing w:line="480" w:lineRule="auto"/>
      </w:pPr>
    </w:p>
    <w:p w14:paraId="143E6CBD" w14:textId="77777777" w:rsidR="006F3EA6" w:rsidRDefault="006F3EA6" w:rsidP="006F3EA6">
      <w:pPr>
        <w:spacing w:line="480" w:lineRule="auto"/>
      </w:pPr>
      <w:r>
        <w:t xml:space="preserve">Using </w:t>
      </w:r>
      <w:proofErr w:type="spellStart"/>
      <w:r>
        <w:rPr>
          <w:i/>
        </w:rPr>
        <w:t>muASR</w:t>
      </w:r>
      <w:proofErr w:type="spellEnd"/>
      <w:r>
        <w:t xml:space="preserve"> as the function to define </w:t>
      </w:r>
      <m:oMath>
        <m:r>
          <w:rPr>
            <w:rFonts w:ascii="Cambria Math" w:hAnsi="Cambria Math"/>
          </w:rPr>
          <m:t>pDie=1-</m:t>
        </m:r>
        <m:sSup>
          <m:sSupPr>
            <m:ctrlPr>
              <w:rPr>
                <w:rFonts w:ascii="Cambria Math" w:hAnsi="Cambria Math"/>
                <w:i/>
              </w:rPr>
            </m:ctrlPr>
          </m:sSupPr>
          <m:e>
            <m:r>
              <w:rPr>
                <w:rFonts w:ascii="Cambria Math" w:hAnsi="Cambria Math"/>
              </w:rPr>
              <m:t>e</m:t>
            </m:r>
          </m:e>
          <m:sup>
            <m:r>
              <w:rPr>
                <w:rFonts w:ascii="Cambria Math" w:hAnsi="Cambria Math"/>
              </w:rPr>
              <m:t>-muASR</m:t>
            </m:r>
            <m:d>
              <m:dPr>
                <m:begChr m:val="["/>
                <m:endChr m:val="]"/>
                <m:ctrlPr>
                  <w:rPr>
                    <w:rFonts w:ascii="Cambria Math" w:hAnsi="Cambria Math"/>
                    <w:i/>
                  </w:rPr>
                </m:ctrlPr>
              </m:dPr>
              <m:e>
                <m:r>
                  <w:rPr>
                    <w:rFonts w:ascii="Cambria Math" w:hAnsi="Cambria Math"/>
                  </w:rPr>
                  <m:t>Age</m:t>
                </m:r>
              </m:e>
            </m:d>
          </m:sup>
        </m:sSup>
      </m:oMath>
      <w:r>
        <w:t xml:space="preserve">, we obtain </w:t>
      </w:r>
      <m:oMath>
        <m:f>
          <m:fPr>
            <m:ctrlPr>
              <w:rPr>
                <w:rFonts w:ascii="Cambria Math" w:hAnsi="Cambria Math"/>
                <w:i/>
              </w:rPr>
            </m:ctrlPr>
          </m:fPr>
          <m:num>
            <m:r>
              <w:rPr>
                <w:rFonts w:ascii="Cambria Math" w:hAnsi="Cambria Math"/>
              </w:rPr>
              <m:t>pDie</m:t>
            </m:r>
          </m:num>
          <m:den>
            <m:r>
              <w:rPr>
                <w:rFonts w:ascii="Cambria Math" w:hAnsi="Cambria Math"/>
              </w:rPr>
              <m:t>1-pDie</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muASR</m:t>
            </m:r>
            <m:d>
              <m:dPr>
                <m:begChr m:val="["/>
                <m:endChr m:val="]"/>
                <m:ctrlPr>
                  <w:rPr>
                    <w:rFonts w:ascii="Cambria Math" w:hAnsi="Cambria Math"/>
                    <w:i/>
                  </w:rPr>
                </m:ctrlPr>
              </m:dPr>
              <m:e>
                <m:r>
                  <w:rPr>
                    <w:rFonts w:ascii="Cambria Math" w:hAnsi="Cambria Math"/>
                  </w:rPr>
                  <m:t>Age</m:t>
                </m:r>
              </m:e>
            </m:d>
          </m:sup>
        </m:sSup>
        <m:r>
          <w:rPr>
            <w:rFonts w:ascii="Cambria Math" w:hAnsi="Cambria Math"/>
          </w:rPr>
          <m:t>-1</m:t>
        </m:r>
      </m:oMath>
      <w:r>
        <w:t>. Therefore:</w:t>
      </w:r>
    </w:p>
    <w:p w14:paraId="39DE5CE3" w14:textId="77777777" w:rsidR="006F3EA6" w:rsidRDefault="006F3EA6" w:rsidP="006F3EA6">
      <w:pPr>
        <w:spacing w:line="480" w:lineRule="auto"/>
        <w:jc w:val="center"/>
      </w:pPr>
      <m:oMath>
        <m:r>
          <w:rPr>
            <w:rFonts w:ascii="Cambria Math" w:hAnsi="Cambria Math"/>
          </w:rPr>
          <m:t>pDieSz=MR⋅</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muASR</m:t>
                    </m:r>
                    <m:d>
                      <m:dPr>
                        <m:begChr m:val="["/>
                        <m:endChr m:val="]"/>
                        <m:ctrlPr>
                          <w:rPr>
                            <w:rFonts w:ascii="Cambria Math" w:hAnsi="Cambria Math"/>
                            <w:i/>
                          </w:rPr>
                        </m:ctrlPr>
                      </m:dPr>
                      <m:e>
                        <m:r>
                          <w:rPr>
                            <w:rFonts w:ascii="Cambria Math" w:hAnsi="Cambria Math"/>
                          </w:rPr>
                          <m:t>Age</m:t>
                        </m:r>
                      </m:e>
                    </m:d>
                  </m:sup>
                </m:sSup>
                <m:r>
                  <w:rPr>
                    <w:rFonts w:ascii="Cambria Math" w:hAnsi="Cambria Math"/>
                  </w:rPr>
                  <m:t>-1</m:t>
                </m:r>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muASR</m:t>
                    </m:r>
                    <m:d>
                      <m:dPr>
                        <m:begChr m:val="["/>
                        <m:endChr m:val="]"/>
                        <m:ctrlPr>
                          <w:rPr>
                            <w:rFonts w:ascii="Cambria Math" w:hAnsi="Cambria Math"/>
                            <w:i/>
                          </w:rPr>
                        </m:ctrlPr>
                      </m:dPr>
                      <m:e>
                        <m:r>
                          <w:rPr>
                            <w:rFonts w:ascii="Cambria Math" w:hAnsi="Cambria Math"/>
                          </w:rPr>
                          <m:t>Age</m:t>
                        </m:r>
                      </m:e>
                    </m:d>
                  </m:sup>
                </m:sSup>
                <m:r>
                  <w:rPr>
                    <w:rFonts w:ascii="Cambria Math" w:hAnsi="Cambria Math"/>
                  </w:rPr>
                  <m:t>-1</m:t>
                </m:r>
              </m:e>
            </m:d>
          </m:den>
        </m:f>
      </m:oMath>
      <w:r>
        <w:t xml:space="preserve">  (table e-1).</w:t>
      </w:r>
    </w:p>
    <w:p w14:paraId="207E54FE" w14:textId="4E11E1D7" w:rsidR="00CE4110" w:rsidRPr="00CE4110" w:rsidRDefault="00CE4110" w:rsidP="00C12EB8">
      <w:pPr>
        <w:spacing w:line="480" w:lineRule="auto"/>
        <w:rPr>
          <w:i/>
        </w:rPr>
      </w:pPr>
    </w:p>
    <w:p w14:paraId="4B6695DA" w14:textId="791B2C2D" w:rsidR="00933A70" w:rsidRPr="005E6BCF" w:rsidRDefault="005E6BCF" w:rsidP="003F7FDA">
      <w:pPr>
        <w:spacing w:line="480" w:lineRule="auto"/>
        <w:rPr>
          <w:b/>
        </w:rPr>
      </w:pPr>
      <w:r w:rsidRPr="005E6BCF">
        <w:rPr>
          <w:b/>
        </w:rPr>
        <w:t>References</w:t>
      </w:r>
      <w:bookmarkStart w:id="0" w:name="_GoBack"/>
      <w:bookmarkEnd w:id="0"/>
    </w:p>
    <w:p w14:paraId="37EB0CD0" w14:textId="77777777" w:rsidR="005C01BB" w:rsidRPr="005C01BB" w:rsidRDefault="00933A70" w:rsidP="005C01BB">
      <w:pPr>
        <w:pStyle w:val="EndNoteBibliography"/>
        <w:rPr>
          <w:noProof/>
        </w:rPr>
      </w:pPr>
      <w:r>
        <w:fldChar w:fldCharType="begin"/>
      </w:r>
      <w:r>
        <w:instrText xml:space="preserve"> ADDIN EN.REFLIST </w:instrText>
      </w:r>
      <w:r>
        <w:fldChar w:fldCharType="separate"/>
      </w:r>
      <w:r w:rsidR="005C01BB" w:rsidRPr="005C01BB">
        <w:rPr>
          <w:noProof/>
        </w:rPr>
        <w:t>1.</w:t>
      </w:r>
      <w:r w:rsidR="005C01BB" w:rsidRPr="005C01BB">
        <w:rPr>
          <w:noProof/>
        </w:rPr>
        <w:tab/>
        <w:t>Panelli Rosemary J, Kilpatrick C, Moore Susan M, Matkovic Z, D'Souza Wendyl J, O'Brien Terence J. The Liverpool Adverse Events Profile: Relation to AED Use and Mood. Epilepsia 2007;48:456-463.</w:t>
      </w:r>
    </w:p>
    <w:p w14:paraId="1E62A6BD" w14:textId="77777777" w:rsidR="005C01BB" w:rsidRPr="005C01BB" w:rsidRDefault="005C01BB" w:rsidP="005C01BB">
      <w:pPr>
        <w:pStyle w:val="EndNoteBibliography"/>
        <w:rPr>
          <w:noProof/>
        </w:rPr>
      </w:pPr>
      <w:r w:rsidRPr="005C01BB">
        <w:rPr>
          <w:noProof/>
        </w:rPr>
        <w:t>2.</w:t>
      </w:r>
      <w:r w:rsidRPr="005C01BB">
        <w:rPr>
          <w:noProof/>
        </w:rPr>
        <w:tab/>
        <w:t>Choi H, Sell RL, Lenert L, et al. Epilepsy surgery for pharmacoresistant temporal lobe epilepsy: A decision analysis. JAMA 2008;300:2497-2505.</w:t>
      </w:r>
    </w:p>
    <w:p w14:paraId="1E99BDF1" w14:textId="77777777" w:rsidR="005C01BB" w:rsidRPr="005C01BB" w:rsidRDefault="005C01BB" w:rsidP="005C01BB">
      <w:pPr>
        <w:pStyle w:val="EndNoteBibliography"/>
        <w:rPr>
          <w:noProof/>
        </w:rPr>
      </w:pPr>
      <w:r w:rsidRPr="005C01BB">
        <w:rPr>
          <w:noProof/>
        </w:rPr>
        <w:t>3.</w:t>
      </w:r>
      <w:r w:rsidRPr="005C01BB">
        <w:rPr>
          <w:noProof/>
        </w:rPr>
        <w:tab/>
        <w:t>Hotan GC, Struck AF, Bianchi MT, Eskandar EN, Cole AJ, Westover MB. Decision analysis of intracranial monitoring in non-lesional epilepsy. Seizure 2016;40:59-70.</w:t>
      </w:r>
    </w:p>
    <w:p w14:paraId="39E8429F" w14:textId="77777777" w:rsidR="005C01BB" w:rsidRPr="005C01BB" w:rsidRDefault="005C01BB" w:rsidP="005C01BB">
      <w:pPr>
        <w:pStyle w:val="EndNoteBibliography"/>
        <w:rPr>
          <w:noProof/>
        </w:rPr>
      </w:pPr>
      <w:r w:rsidRPr="005C01BB">
        <w:rPr>
          <w:noProof/>
        </w:rPr>
        <w:t>4.</w:t>
      </w:r>
      <w:r w:rsidRPr="005C01BB">
        <w:rPr>
          <w:noProof/>
        </w:rPr>
        <w:tab/>
        <w:t>Arias E, Heron M, Xu J. United States life tables, 2012. Hyattsville, MD: National Center for Health Statistics, 2016.</w:t>
      </w:r>
    </w:p>
    <w:p w14:paraId="07CA91A1" w14:textId="49721DA6" w:rsidR="00A10FB9" w:rsidRPr="00775B46" w:rsidRDefault="00933A70">
      <w:r>
        <w:fldChar w:fldCharType="end"/>
      </w:r>
    </w:p>
    <w:sectPr w:rsidR="00A10FB9" w:rsidRPr="00775B46" w:rsidSect="00C1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r2w2zz4ts9d6evvsjxt20zdaxpwpfv02xz&quot;&gt;My EndNote Library&lt;record-ids&gt;&lt;item&gt;271&lt;/item&gt;&lt;item&gt;279&lt;/item&gt;&lt;item&gt;340&lt;/item&gt;&lt;item&gt;402&lt;/item&gt;&lt;/record-ids&gt;&lt;/item&gt;&lt;/Libraries&gt;"/>
  </w:docVars>
  <w:rsids>
    <w:rsidRoot w:val="00480163"/>
    <w:rsid w:val="0000273E"/>
    <w:rsid w:val="00010FE9"/>
    <w:rsid w:val="00020012"/>
    <w:rsid w:val="000216B7"/>
    <w:rsid w:val="00026E57"/>
    <w:rsid w:val="00030A77"/>
    <w:rsid w:val="000342CF"/>
    <w:rsid w:val="0003658F"/>
    <w:rsid w:val="000422EC"/>
    <w:rsid w:val="00052491"/>
    <w:rsid w:val="0007361E"/>
    <w:rsid w:val="00076F84"/>
    <w:rsid w:val="00095FA8"/>
    <w:rsid w:val="000A0F51"/>
    <w:rsid w:val="000A6E5C"/>
    <w:rsid w:val="000B2FCF"/>
    <w:rsid w:val="000B3478"/>
    <w:rsid w:val="000B655B"/>
    <w:rsid w:val="000C3216"/>
    <w:rsid w:val="000D7E03"/>
    <w:rsid w:val="000F17AA"/>
    <w:rsid w:val="0010309B"/>
    <w:rsid w:val="00114944"/>
    <w:rsid w:val="00116B7F"/>
    <w:rsid w:val="0012188B"/>
    <w:rsid w:val="00121D49"/>
    <w:rsid w:val="00121DC5"/>
    <w:rsid w:val="00145DD5"/>
    <w:rsid w:val="00146A84"/>
    <w:rsid w:val="0015571D"/>
    <w:rsid w:val="00161518"/>
    <w:rsid w:val="00162480"/>
    <w:rsid w:val="00162755"/>
    <w:rsid w:val="0016775F"/>
    <w:rsid w:val="00173C3D"/>
    <w:rsid w:val="00176B0D"/>
    <w:rsid w:val="001947D9"/>
    <w:rsid w:val="00197363"/>
    <w:rsid w:val="001A327F"/>
    <w:rsid w:val="001B1B58"/>
    <w:rsid w:val="001B4430"/>
    <w:rsid w:val="001C27A3"/>
    <w:rsid w:val="001C439A"/>
    <w:rsid w:val="001D1AFF"/>
    <w:rsid w:val="001D550A"/>
    <w:rsid w:val="001E0BA7"/>
    <w:rsid w:val="001F1F11"/>
    <w:rsid w:val="001F59FE"/>
    <w:rsid w:val="001F5D17"/>
    <w:rsid w:val="0020572C"/>
    <w:rsid w:val="0020642C"/>
    <w:rsid w:val="00210D83"/>
    <w:rsid w:val="00223A78"/>
    <w:rsid w:val="00235A74"/>
    <w:rsid w:val="002528EA"/>
    <w:rsid w:val="00292C8B"/>
    <w:rsid w:val="002C2F7E"/>
    <w:rsid w:val="002C5E87"/>
    <w:rsid w:val="002C7CA3"/>
    <w:rsid w:val="002D48AE"/>
    <w:rsid w:val="002E2F41"/>
    <w:rsid w:val="002E7010"/>
    <w:rsid w:val="002F3683"/>
    <w:rsid w:val="00300669"/>
    <w:rsid w:val="0030173E"/>
    <w:rsid w:val="00317806"/>
    <w:rsid w:val="00321DFB"/>
    <w:rsid w:val="003222D8"/>
    <w:rsid w:val="00322BE2"/>
    <w:rsid w:val="00324305"/>
    <w:rsid w:val="0032706F"/>
    <w:rsid w:val="00357024"/>
    <w:rsid w:val="00362D5C"/>
    <w:rsid w:val="003655C9"/>
    <w:rsid w:val="00365AA5"/>
    <w:rsid w:val="00383C0F"/>
    <w:rsid w:val="003A2A9F"/>
    <w:rsid w:val="003A593F"/>
    <w:rsid w:val="003A6513"/>
    <w:rsid w:val="003C026E"/>
    <w:rsid w:val="003C536F"/>
    <w:rsid w:val="003C7087"/>
    <w:rsid w:val="003C73C5"/>
    <w:rsid w:val="003D0286"/>
    <w:rsid w:val="003F14B8"/>
    <w:rsid w:val="003F517C"/>
    <w:rsid w:val="003F6134"/>
    <w:rsid w:val="003F7FDA"/>
    <w:rsid w:val="00415FB2"/>
    <w:rsid w:val="0042035E"/>
    <w:rsid w:val="004266DB"/>
    <w:rsid w:val="00430537"/>
    <w:rsid w:val="004340EB"/>
    <w:rsid w:val="00437C10"/>
    <w:rsid w:val="00440665"/>
    <w:rsid w:val="00442835"/>
    <w:rsid w:val="00450C78"/>
    <w:rsid w:val="00451369"/>
    <w:rsid w:val="00452397"/>
    <w:rsid w:val="00461B88"/>
    <w:rsid w:val="004708CB"/>
    <w:rsid w:val="00472358"/>
    <w:rsid w:val="00480163"/>
    <w:rsid w:val="00487236"/>
    <w:rsid w:val="004968BD"/>
    <w:rsid w:val="004B018C"/>
    <w:rsid w:val="004B0AE4"/>
    <w:rsid w:val="004C05E3"/>
    <w:rsid w:val="004C6B00"/>
    <w:rsid w:val="004D236E"/>
    <w:rsid w:val="004D7100"/>
    <w:rsid w:val="004E2EFC"/>
    <w:rsid w:val="004E56D0"/>
    <w:rsid w:val="004E7C94"/>
    <w:rsid w:val="005015AD"/>
    <w:rsid w:val="00503472"/>
    <w:rsid w:val="00505340"/>
    <w:rsid w:val="0051120E"/>
    <w:rsid w:val="00514D69"/>
    <w:rsid w:val="005238D7"/>
    <w:rsid w:val="00541392"/>
    <w:rsid w:val="00546C3D"/>
    <w:rsid w:val="0054761D"/>
    <w:rsid w:val="0055070F"/>
    <w:rsid w:val="00566E20"/>
    <w:rsid w:val="00570B5D"/>
    <w:rsid w:val="0057772B"/>
    <w:rsid w:val="00580EFC"/>
    <w:rsid w:val="005968C6"/>
    <w:rsid w:val="005A692D"/>
    <w:rsid w:val="005B78D9"/>
    <w:rsid w:val="005C01BB"/>
    <w:rsid w:val="005E126B"/>
    <w:rsid w:val="005E64C0"/>
    <w:rsid w:val="005E6BCF"/>
    <w:rsid w:val="005F5E75"/>
    <w:rsid w:val="00601737"/>
    <w:rsid w:val="006020F0"/>
    <w:rsid w:val="00604C0C"/>
    <w:rsid w:val="006172D7"/>
    <w:rsid w:val="00633A00"/>
    <w:rsid w:val="00637381"/>
    <w:rsid w:val="006407E3"/>
    <w:rsid w:val="0064184E"/>
    <w:rsid w:val="00643024"/>
    <w:rsid w:val="0064715D"/>
    <w:rsid w:val="00647405"/>
    <w:rsid w:val="006513DF"/>
    <w:rsid w:val="006607CC"/>
    <w:rsid w:val="00675B59"/>
    <w:rsid w:val="00676741"/>
    <w:rsid w:val="0068636D"/>
    <w:rsid w:val="0069224E"/>
    <w:rsid w:val="00693BB5"/>
    <w:rsid w:val="00696A7B"/>
    <w:rsid w:val="006A3D9D"/>
    <w:rsid w:val="006B10EE"/>
    <w:rsid w:val="006B1EED"/>
    <w:rsid w:val="006B5A0D"/>
    <w:rsid w:val="006C01B9"/>
    <w:rsid w:val="006C0930"/>
    <w:rsid w:val="006D044A"/>
    <w:rsid w:val="006D5118"/>
    <w:rsid w:val="006E158E"/>
    <w:rsid w:val="006E6A59"/>
    <w:rsid w:val="006F0BB8"/>
    <w:rsid w:val="006F28D7"/>
    <w:rsid w:val="006F3EA6"/>
    <w:rsid w:val="006F5AC1"/>
    <w:rsid w:val="0070603C"/>
    <w:rsid w:val="00722B3E"/>
    <w:rsid w:val="00723D57"/>
    <w:rsid w:val="00732790"/>
    <w:rsid w:val="007343BD"/>
    <w:rsid w:val="00742220"/>
    <w:rsid w:val="00763058"/>
    <w:rsid w:val="00766521"/>
    <w:rsid w:val="00766D16"/>
    <w:rsid w:val="00766EE8"/>
    <w:rsid w:val="00775B46"/>
    <w:rsid w:val="007779A1"/>
    <w:rsid w:val="0078165C"/>
    <w:rsid w:val="00782E68"/>
    <w:rsid w:val="007850C8"/>
    <w:rsid w:val="00786717"/>
    <w:rsid w:val="007901B6"/>
    <w:rsid w:val="00795C95"/>
    <w:rsid w:val="007B0B80"/>
    <w:rsid w:val="007B7569"/>
    <w:rsid w:val="007C2E88"/>
    <w:rsid w:val="007C5397"/>
    <w:rsid w:val="007D17C9"/>
    <w:rsid w:val="007D49E5"/>
    <w:rsid w:val="007E263F"/>
    <w:rsid w:val="007E6ED2"/>
    <w:rsid w:val="007F2DA5"/>
    <w:rsid w:val="0081033F"/>
    <w:rsid w:val="00812C7A"/>
    <w:rsid w:val="00832656"/>
    <w:rsid w:val="00835A5F"/>
    <w:rsid w:val="008407E9"/>
    <w:rsid w:val="00847462"/>
    <w:rsid w:val="008527D4"/>
    <w:rsid w:val="008550A2"/>
    <w:rsid w:val="008602BE"/>
    <w:rsid w:val="00863D15"/>
    <w:rsid w:val="008656FB"/>
    <w:rsid w:val="00874AE0"/>
    <w:rsid w:val="0088364C"/>
    <w:rsid w:val="00886511"/>
    <w:rsid w:val="008865F0"/>
    <w:rsid w:val="00886B91"/>
    <w:rsid w:val="008874E5"/>
    <w:rsid w:val="008877CB"/>
    <w:rsid w:val="00893D2B"/>
    <w:rsid w:val="00896205"/>
    <w:rsid w:val="008A7160"/>
    <w:rsid w:val="008B0BC0"/>
    <w:rsid w:val="008B1021"/>
    <w:rsid w:val="008C19C7"/>
    <w:rsid w:val="008C3386"/>
    <w:rsid w:val="008C5E78"/>
    <w:rsid w:val="008C5EA5"/>
    <w:rsid w:val="008C71E9"/>
    <w:rsid w:val="008F5593"/>
    <w:rsid w:val="009230B4"/>
    <w:rsid w:val="00925801"/>
    <w:rsid w:val="00930593"/>
    <w:rsid w:val="00933A70"/>
    <w:rsid w:val="009410B3"/>
    <w:rsid w:val="0094215F"/>
    <w:rsid w:val="00946DF4"/>
    <w:rsid w:val="0095449C"/>
    <w:rsid w:val="00963035"/>
    <w:rsid w:val="0096478C"/>
    <w:rsid w:val="009746C7"/>
    <w:rsid w:val="00985FF4"/>
    <w:rsid w:val="0098637E"/>
    <w:rsid w:val="009921D3"/>
    <w:rsid w:val="009933A5"/>
    <w:rsid w:val="00993996"/>
    <w:rsid w:val="009B1C72"/>
    <w:rsid w:val="009B55B1"/>
    <w:rsid w:val="009B5965"/>
    <w:rsid w:val="009E27A3"/>
    <w:rsid w:val="009E2A89"/>
    <w:rsid w:val="009F166B"/>
    <w:rsid w:val="009F5A86"/>
    <w:rsid w:val="00A00CB3"/>
    <w:rsid w:val="00A01519"/>
    <w:rsid w:val="00A02BFD"/>
    <w:rsid w:val="00A10FB9"/>
    <w:rsid w:val="00A133D5"/>
    <w:rsid w:val="00A224F6"/>
    <w:rsid w:val="00A279F8"/>
    <w:rsid w:val="00A3393E"/>
    <w:rsid w:val="00A36B3B"/>
    <w:rsid w:val="00A403F8"/>
    <w:rsid w:val="00A40C9A"/>
    <w:rsid w:val="00A43643"/>
    <w:rsid w:val="00A5268A"/>
    <w:rsid w:val="00A56794"/>
    <w:rsid w:val="00A60817"/>
    <w:rsid w:val="00A64C85"/>
    <w:rsid w:val="00A76FAF"/>
    <w:rsid w:val="00A84951"/>
    <w:rsid w:val="00A86CF1"/>
    <w:rsid w:val="00A970D4"/>
    <w:rsid w:val="00AA1223"/>
    <w:rsid w:val="00AA5076"/>
    <w:rsid w:val="00AC1BC3"/>
    <w:rsid w:val="00AC6936"/>
    <w:rsid w:val="00AE1C24"/>
    <w:rsid w:val="00AE2686"/>
    <w:rsid w:val="00AE7BA6"/>
    <w:rsid w:val="00AF0BCC"/>
    <w:rsid w:val="00AF12DA"/>
    <w:rsid w:val="00B00A5E"/>
    <w:rsid w:val="00B06639"/>
    <w:rsid w:val="00B15AA4"/>
    <w:rsid w:val="00B1609C"/>
    <w:rsid w:val="00B173E2"/>
    <w:rsid w:val="00B208D8"/>
    <w:rsid w:val="00B30911"/>
    <w:rsid w:val="00B37990"/>
    <w:rsid w:val="00B41567"/>
    <w:rsid w:val="00B6605F"/>
    <w:rsid w:val="00B66F3F"/>
    <w:rsid w:val="00B67F4A"/>
    <w:rsid w:val="00B76808"/>
    <w:rsid w:val="00B768B6"/>
    <w:rsid w:val="00B85C65"/>
    <w:rsid w:val="00B912DD"/>
    <w:rsid w:val="00BA22D1"/>
    <w:rsid w:val="00BA2C4C"/>
    <w:rsid w:val="00BB12E8"/>
    <w:rsid w:val="00BD294C"/>
    <w:rsid w:val="00BD56BF"/>
    <w:rsid w:val="00BE640A"/>
    <w:rsid w:val="00BF4C4E"/>
    <w:rsid w:val="00BF718C"/>
    <w:rsid w:val="00C04F48"/>
    <w:rsid w:val="00C05921"/>
    <w:rsid w:val="00C10482"/>
    <w:rsid w:val="00C12EB8"/>
    <w:rsid w:val="00C14071"/>
    <w:rsid w:val="00C21A90"/>
    <w:rsid w:val="00C244E9"/>
    <w:rsid w:val="00C26E0B"/>
    <w:rsid w:val="00C34B09"/>
    <w:rsid w:val="00C34CE6"/>
    <w:rsid w:val="00C50D1E"/>
    <w:rsid w:val="00C53365"/>
    <w:rsid w:val="00C72B4C"/>
    <w:rsid w:val="00C777CE"/>
    <w:rsid w:val="00C8545B"/>
    <w:rsid w:val="00CA166C"/>
    <w:rsid w:val="00CA1BCC"/>
    <w:rsid w:val="00CA47E7"/>
    <w:rsid w:val="00CC7674"/>
    <w:rsid w:val="00CD6799"/>
    <w:rsid w:val="00CE1D41"/>
    <w:rsid w:val="00CE3B06"/>
    <w:rsid w:val="00CE4110"/>
    <w:rsid w:val="00CE537C"/>
    <w:rsid w:val="00CF35DF"/>
    <w:rsid w:val="00CF3FF8"/>
    <w:rsid w:val="00D04DBC"/>
    <w:rsid w:val="00D17645"/>
    <w:rsid w:val="00D27086"/>
    <w:rsid w:val="00D33383"/>
    <w:rsid w:val="00D35B90"/>
    <w:rsid w:val="00D52714"/>
    <w:rsid w:val="00D52DBE"/>
    <w:rsid w:val="00D53AB9"/>
    <w:rsid w:val="00D54276"/>
    <w:rsid w:val="00D55267"/>
    <w:rsid w:val="00D6201B"/>
    <w:rsid w:val="00D6799B"/>
    <w:rsid w:val="00D70E1D"/>
    <w:rsid w:val="00D86F15"/>
    <w:rsid w:val="00D95C2D"/>
    <w:rsid w:val="00D9638A"/>
    <w:rsid w:val="00DA4E0A"/>
    <w:rsid w:val="00DB0B27"/>
    <w:rsid w:val="00DB33E1"/>
    <w:rsid w:val="00DB3587"/>
    <w:rsid w:val="00DC1A19"/>
    <w:rsid w:val="00DE3950"/>
    <w:rsid w:val="00DF2DB3"/>
    <w:rsid w:val="00E005A9"/>
    <w:rsid w:val="00E02C8F"/>
    <w:rsid w:val="00E04989"/>
    <w:rsid w:val="00E22ACD"/>
    <w:rsid w:val="00E30789"/>
    <w:rsid w:val="00E41A57"/>
    <w:rsid w:val="00E42669"/>
    <w:rsid w:val="00E42F01"/>
    <w:rsid w:val="00E50A85"/>
    <w:rsid w:val="00E52872"/>
    <w:rsid w:val="00E64299"/>
    <w:rsid w:val="00E64594"/>
    <w:rsid w:val="00E66350"/>
    <w:rsid w:val="00E825E1"/>
    <w:rsid w:val="00E85940"/>
    <w:rsid w:val="00E8684F"/>
    <w:rsid w:val="00E871A5"/>
    <w:rsid w:val="00E921A8"/>
    <w:rsid w:val="00EB0323"/>
    <w:rsid w:val="00EB23C5"/>
    <w:rsid w:val="00EB5D09"/>
    <w:rsid w:val="00EB5E68"/>
    <w:rsid w:val="00EC24AA"/>
    <w:rsid w:val="00EC4A7A"/>
    <w:rsid w:val="00EC51FB"/>
    <w:rsid w:val="00ED778F"/>
    <w:rsid w:val="00EE3C9F"/>
    <w:rsid w:val="00EE5851"/>
    <w:rsid w:val="00EE762F"/>
    <w:rsid w:val="00EF1488"/>
    <w:rsid w:val="00EF58FE"/>
    <w:rsid w:val="00F05507"/>
    <w:rsid w:val="00F12F74"/>
    <w:rsid w:val="00F2237E"/>
    <w:rsid w:val="00F235A8"/>
    <w:rsid w:val="00F25B1D"/>
    <w:rsid w:val="00F404F1"/>
    <w:rsid w:val="00F40711"/>
    <w:rsid w:val="00F40A33"/>
    <w:rsid w:val="00F45BE1"/>
    <w:rsid w:val="00F50022"/>
    <w:rsid w:val="00F569AC"/>
    <w:rsid w:val="00F57891"/>
    <w:rsid w:val="00F61DC8"/>
    <w:rsid w:val="00F646AE"/>
    <w:rsid w:val="00F7156F"/>
    <w:rsid w:val="00F75451"/>
    <w:rsid w:val="00F76800"/>
    <w:rsid w:val="00F80466"/>
    <w:rsid w:val="00F80E04"/>
    <w:rsid w:val="00F916B1"/>
    <w:rsid w:val="00F91C38"/>
    <w:rsid w:val="00F92BC8"/>
    <w:rsid w:val="00FA07DF"/>
    <w:rsid w:val="00FA6F3B"/>
    <w:rsid w:val="00FB2570"/>
    <w:rsid w:val="00FB57F3"/>
    <w:rsid w:val="00FC46BD"/>
    <w:rsid w:val="00FD06FF"/>
    <w:rsid w:val="00FE02D0"/>
    <w:rsid w:val="00FF52EB"/>
    <w:rsid w:val="00FF5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9D2B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4E0A"/>
    <w:rPr>
      <w:rFonts w:eastAsiaTheme="minorEastAsia"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383"/>
    <w:rPr>
      <w:color w:val="808080"/>
    </w:rPr>
  </w:style>
  <w:style w:type="paragraph" w:customStyle="1" w:styleId="EndNoteBibliographyTitle">
    <w:name w:val="EndNote Bibliography Title"/>
    <w:basedOn w:val="Normal"/>
    <w:rsid w:val="00933A70"/>
    <w:pPr>
      <w:jc w:val="center"/>
    </w:pPr>
  </w:style>
  <w:style w:type="paragraph" w:customStyle="1" w:styleId="EndNoteBibliography">
    <w:name w:val="EndNote Bibliography"/>
    <w:basedOn w:val="Normal"/>
    <w:rsid w:val="0093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39564">
      <w:bodyDiv w:val="1"/>
      <w:marLeft w:val="0"/>
      <w:marRight w:val="0"/>
      <w:marTop w:val="0"/>
      <w:marBottom w:val="0"/>
      <w:divBdr>
        <w:top w:val="none" w:sz="0" w:space="0" w:color="auto"/>
        <w:left w:val="none" w:sz="0" w:space="0" w:color="auto"/>
        <w:bottom w:val="none" w:sz="0" w:space="0" w:color="auto"/>
        <w:right w:val="none" w:sz="0" w:space="0" w:color="auto"/>
      </w:divBdr>
    </w:div>
    <w:div w:id="252280146">
      <w:bodyDiv w:val="1"/>
      <w:marLeft w:val="0"/>
      <w:marRight w:val="0"/>
      <w:marTop w:val="0"/>
      <w:marBottom w:val="0"/>
      <w:divBdr>
        <w:top w:val="none" w:sz="0" w:space="0" w:color="auto"/>
        <w:left w:val="none" w:sz="0" w:space="0" w:color="auto"/>
        <w:bottom w:val="none" w:sz="0" w:space="0" w:color="auto"/>
        <w:right w:val="none" w:sz="0" w:space="0" w:color="auto"/>
      </w:divBdr>
    </w:div>
    <w:div w:id="388042159">
      <w:bodyDiv w:val="1"/>
      <w:marLeft w:val="0"/>
      <w:marRight w:val="0"/>
      <w:marTop w:val="0"/>
      <w:marBottom w:val="0"/>
      <w:divBdr>
        <w:top w:val="none" w:sz="0" w:space="0" w:color="auto"/>
        <w:left w:val="none" w:sz="0" w:space="0" w:color="auto"/>
        <w:bottom w:val="none" w:sz="0" w:space="0" w:color="auto"/>
        <w:right w:val="none" w:sz="0" w:space="0" w:color="auto"/>
      </w:divBdr>
    </w:div>
    <w:div w:id="635796260">
      <w:bodyDiv w:val="1"/>
      <w:marLeft w:val="0"/>
      <w:marRight w:val="0"/>
      <w:marTop w:val="0"/>
      <w:marBottom w:val="0"/>
      <w:divBdr>
        <w:top w:val="none" w:sz="0" w:space="0" w:color="auto"/>
        <w:left w:val="none" w:sz="0" w:space="0" w:color="auto"/>
        <w:bottom w:val="none" w:sz="0" w:space="0" w:color="auto"/>
        <w:right w:val="none" w:sz="0" w:space="0" w:color="auto"/>
      </w:divBdr>
    </w:div>
    <w:div w:id="729618573">
      <w:bodyDiv w:val="1"/>
      <w:marLeft w:val="0"/>
      <w:marRight w:val="0"/>
      <w:marTop w:val="0"/>
      <w:marBottom w:val="0"/>
      <w:divBdr>
        <w:top w:val="none" w:sz="0" w:space="0" w:color="auto"/>
        <w:left w:val="none" w:sz="0" w:space="0" w:color="auto"/>
        <w:bottom w:val="none" w:sz="0" w:space="0" w:color="auto"/>
        <w:right w:val="none" w:sz="0" w:space="0" w:color="auto"/>
      </w:divBdr>
    </w:div>
    <w:div w:id="993874676">
      <w:bodyDiv w:val="1"/>
      <w:marLeft w:val="0"/>
      <w:marRight w:val="0"/>
      <w:marTop w:val="0"/>
      <w:marBottom w:val="0"/>
      <w:divBdr>
        <w:top w:val="none" w:sz="0" w:space="0" w:color="auto"/>
        <w:left w:val="none" w:sz="0" w:space="0" w:color="auto"/>
        <w:bottom w:val="none" w:sz="0" w:space="0" w:color="auto"/>
        <w:right w:val="none" w:sz="0" w:space="0" w:color="auto"/>
      </w:divBdr>
    </w:div>
    <w:div w:id="1403328544">
      <w:bodyDiv w:val="1"/>
      <w:marLeft w:val="0"/>
      <w:marRight w:val="0"/>
      <w:marTop w:val="0"/>
      <w:marBottom w:val="0"/>
      <w:divBdr>
        <w:top w:val="none" w:sz="0" w:space="0" w:color="auto"/>
        <w:left w:val="none" w:sz="0" w:space="0" w:color="auto"/>
        <w:bottom w:val="none" w:sz="0" w:space="0" w:color="auto"/>
        <w:right w:val="none" w:sz="0" w:space="0" w:color="auto"/>
      </w:divBdr>
    </w:div>
    <w:div w:id="1737781350">
      <w:bodyDiv w:val="1"/>
      <w:marLeft w:val="0"/>
      <w:marRight w:val="0"/>
      <w:marTop w:val="0"/>
      <w:marBottom w:val="0"/>
      <w:divBdr>
        <w:top w:val="none" w:sz="0" w:space="0" w:color="auto"/>
        <w:left w:val="none" w:sz="0" w:space="0" w:color="auto"/>
        <w:bottom w:val="none" w:sz="0" w:space="0" w:color="auto"/>
        <w:right w:val="none" w:sz="0" w:space="0" w:color="auto"/>
      </w:divBdr>
    </w:div>
    <w:div w:id="1775400582">
      <w:bodyDiv w:val="1"/>
      <w:marLeft w:val="0"/>
      <w:marRight w:val="0"/>
      <w:marTop w:val="0"/>
      <w:marBottom w:val="0"/>
      <w:divBdr>
        <w:top w:val="none" w:sz="0" w:space="0" w:color="auto"/>
        <w:left w:val="none" w:sz="0" w:space="0" w:color="auto"/>
        <w:bottom w:val="none" w:sz="0" w:space="0" w:color="auto"/>
        <w:right w:val="none" w:sz="0" w:space="0" w:color="auto"/>
      </w:divBdr>
    </w:div>
    <w:div w:id="1782455355">
      <w:bodyDiv w:val="1"/>
      <w:marLeft w:val="0"/>
      <w:marRight w:val="0"/>
      <w:marTop w:val="0"/>
      <w:marBottom w:val="0"/>
      <w:divBdr>
        <w:top w:val="none" w:sz="0" w:space="0" w:color="auto"/>
        <w:left w:val="none" w:sz="0" w:space="0" w:color="auto"/>
        <w:bottom w:val="none" w:sz="0" w:space="0" w:color="auto"/>
        <w:right w:val="none" w:sz="0" w:space="0" w:color="auto"/>
      </w:divBdr>
    </w:div>
    <w:div w:id="2065134459">
      <w:bodyDiv w:val="1"/>
      <w:marLeft w:val="0"/>
      <w:marRight w:val="0"/>
      <w:marTop w:val="0"/>
      <w:marBottom w:val="0"/>
      <w:divBdr>
        <w:top w:val="none" w:sz="0" w:space="0" w:color="auto"/>
        <w:left w:val="none" w:sz="0" w:space="0" w:color="auto"/>
        <w:bottom w:val="none" w:sz="0" w:space="0" w:color="auto"/>
        <w:right w:val="none" w:sz="0" w:space="0" w:color="auto"/>
      </w:divBdr>
    </w:div>
    <w:div w:id="2091078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1455</Words>
  <Characters>8298</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Ling-Ya Chao1*, Peiyun Ni1*, Erik L. Bao1*, Lidia M.V.R. Moura2, Andrew J. Cole2</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Bao</dc:creator>
  <cp:keywords/>
  <dc:description/>
  <cp:lastModifiedBy>Erik Bao</cp:lastModifiedBy>
  <cp:revision>119</cp:revision>
  <dcterms:created xsi:type="dcterms:W3CDTF">2017-12-25T23:39:00Z</dcterms:created>
  <dcterms:modified xsi:type="dcterms:W3CDTF">2018-05-22T19:27:00Z</dcterms:modified>
</cp:coreProperties>
</file>